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87E" w:rsidRPr="009B5734" w:rsidRDefault="00700706" w:rsidP="00700706">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E6AE85F-4D82-4316-9994-0B89E797B2FD" style="width:455.25pt;height:496.5pt">
            <v:imagedata r:id="rId11" o:title=""/>
          </v:shape>
        </w:pict>
      </w:r>
    </w:p>
    <w:bookmarkEnd w:id="0"/>
    <w:p w:rsidR="00160DCE" w:rsidRPr="009B5734" w:rsidRDefault="00160DCE" w:rsidP="00160DCE">
      <w:pPr>
        <w:rPr>
          <w:noProof/>
        </w:rPr>
        <w:sectPr w:rsidR="00160DCE" w:rsidRPr="009B5734" w:rsidSect="00700706">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299"/>
        </w:sectPr>
      </w:pPr>
    </w:p>
    <w:p w:rsidR="006B087E" w:rsidRPr="009B5734" w:rsidRDefault="006B087E" w:rsidP="006B087E">
      <w:pPr>
        <w:pStyle w:val="TOCHeading"/>
        <w:rPr>
          <w:noProof/>
          <w:sz w:val="28"/>
          <w:szCs w:val="28"/>
        </w:rPr>
      </w:pPr>
      <w:bookmarkStart w:id="1" w:name="_GoBack"/>
      <w:bookmarkEnd w:id="1"/>
      <w:r w:rsidRPr="009B5734">
        <w:rPr>
          <w:noProof/>
          <w:sz w:val="28"/>
          <w:szCs w:val="28"/>
        </w:rPr>
        <w:lastRenderedPageBreak/>
        <w:t>Table of contents</w:t>
      </w:r>
    </w:p>
    <w:p w:rsidR="00125511" w:rsidRDefault="006B087E">
      <w:pPr>
        <w:pStyle w:val="TOC1"/>
        <w:rPr>
          <w:rFonts w:asciiTheme="minorHAnsi" w:eastAsiaTheme="minorEastAsia" w:hAnsiTheme="minorHAnsi" w:cstheme="minorBidi"/>
          <w:caps w:val="0"/>
          <w:noProof/>
          <w:sz w:val="22"/>
          <w:szCs w:val="22"/>
          <w:lang w:val="ga-IE" w:eastAsia="ga-IE"/>
        </w:rPr>
      </w:pPr>
      <w:r w:rsidRPr="009B5734">
        <w:rPr>
          <w:noProof/>
          <w:sz w:val="24"/>
          <w:szCs w:val="24"/>
        </w:rPr>
        <w:fldChar w:fldCharType="begin"/>
      </w:r>
      <w:r w:rsidRPr="009B5734">
        <w:rPr>
          <w:noProof/>
          <w:sz w:val="24"/>
          <w:szCs w:val="24"/>
        </w:rPr>
        <w:instrText xml:space="preserve"> TOC \o "1-1" \h \z \t "Heading 2;2;Heading 3;3;Annex Title;1" </w:instrText>
      </w:r>
      <w:r w:rsidRPr="009B5734">
        <w:rPr>
          <w:noProof/>
          <w:sz w:val="24"/>
          <w:szCs w:val="24"/>
        </w:rPr>
        <w:fldChar w:fldCharType="separate"/>
      </w:r>
      <w:hyperlink w:anchor="_Toc86391724" w:history="1">
        <w:r w:rsidR="00125511" w:rsidRPr="00A36F30">
          <w:rPr>
            <w:rStyle w:val="Hyperlink"/>
            <w:noProof/>
          </w:rPr>
          <w:t>1.</w:t>
        </w:r>
        <w:r w:rsidR="00125511">
          <w:rPr>
            <w:rFonts w:asciiTheme="minorHAnsi" w:eastAsiaTheme="minorEastAsia" w:hAnsiTheme="minorHAnsi" w:cstheme="minorBidi"/>
            <w:caps w:val="0"/>
            <w:noProof/>
            <w:sz w:val="22"/>
            <w:szCs w:val="22"/>
            <w:lang w:val="ga-IE" w:eastAsia="ga-IE"/>
          </w:rPr>
          <w:tab/>
        </w:r>
        <w:r w:rsidR="00125511" w:rsidRPr="00A36F30">
          <w:rPr>
            <w:rStyle w:val="Hyperlink"/>
            <w:noProof/>
          </w:rPr>
          <w:t>Introduction: Political and legal context</w:t>
        </w:r>
        <w:r w:rsidR="00125511">
          <w:rPr>
            <w:noProof/>
            <w:webHidden/>
          </w:rPr>
          <w:tab/>
        </w:r>
        <w:r w:rsidR="00125511">
          <w:rPr>
            <w:noProof/>
            <w:webHidden/>
          </w:rPr>
          <w:fldChar w:fldCharType="begin"/>
        </w:r>
        <w:r w:rsidR="00125511">
          <w:rPr>
            <w:noProof/>
            <w:webHidden/>
          </w:rPr>
          <w:instrText xml:space="preserve"> PAGEREF _Toc86391724 \h </w:instrText>
        </w:r>
        <w:r w:rsidR="00125511">
          <w:rPr>
            <w:noProof/>
            <w:webHidden/>
          </w:rPr>
        </w:r>
        <w:r w:rsidR="00125511">
          <w:rPr>
            <w:noProof/>
            <w:webHidden/>
          </w:rPr>
          <w:fldChar w:fldCharType="separate"/>
        </w:r>
        <w:r w:rsidR="00125511">
          <w:rPr>
            <w:noProof/>
            <w:webHidden/>
          </w:rPr>
          <w:t>1</w:t>
        </w:r>
        <w:r w:rsidR="00125511">
          <w:rPr>
            <w:noProof/>
            <w:webHidden/>
          </w:rPr>
          <w:fldChar w:fldCharType="end"/>
        </w:r>
      </w:hyperlink>
    </w:p>
    <w:p w:rsidR="00125511" w:rsidRDefault="00700706">
      <w:pPr>
        <w:pStyle w:val="TOC1"/>
        <w:rPr>
          <w:rFonts w:asciiTheme="minorHAnsi" w:eastAsiaTheme="minorEastAsia" w:hAnsiTheme="minorHAnsi" w:cstheme="minorBidi"/>
          <w:caps w:val="0"/>
          <w:noProof/>
          <w:sz w:val="22"/>
          <w:szCs w:val="22"/>
          <w:lang w:val="ga-IE" w:eastAsia="ga-IE"/>
        </w:rPr>
      </w:pPr>
      <w:hyperlink w:anchor="_Toc86391725" w:history="1">
        <w:r w:rsidR="00125511" w:rsidRPr="00A36F30">
          <w:rPr>
            <w:rStyle w:val="Hyperlink"/>
            <w:noProof/>
          </w:rPr>
          <w:t>2.</w:t>
        </w:r>
        <w:r w:rsidR="00125511">
          <w:rPr>
            <w:rFonts w:asciiTheme="minorHAnsi" w:eastAsiaTheme="minorEastAsia" w:hAnsiTheme="minorHAnsi" w:cstheme="minorBidi"/>
            <w:caps w:val="0"/>
            <w:noProof/>
            <w:sz w:val="22"/>
            <w:szCs w:val="22"/>
            <w:lang w:val="ga-IE" w:eastAsia="ga-IE"/>
          </w:rPr>
          <w:tab/>
        </w:r>
        <w:r w:rsidR="00125511" w:rsidRPr="00A36F30">
          <w:rPr>
            <w:rStyle w:val="Hyperlink"/>
            <w:rFonts w:eastAsiaTheme="majorEastAsia"/>
            <w:noProof/>
          </w:rPr>
          <w:t>Problem</w:t>
        </w:r>
        <w:r w:rsidR="00125511" w:rsidRPr="00A36F30">
          <w:rPr>
            <w:rStyle w:val="Hyperlink"/>
            <w:noProof/>
          </w:rPr>
          <w:t xml:space="preserve"> definition</w:t>
        </w:r>
        <w:r w:rsidR="00125511">
          <w:rPr>
            <w:noProof/>
            <w:webHidden/>
          </w:rPr>
          <w:tab/>
        </w:r>
        <w:r w:rsidR="00125511">
          <w:rPr>
            <w:noProof/>
            <w:webHidden/>
          </w:rPr>
          <w:fldChar w:fldCharType="begin"/>
        </w:r>
        <w:r w:rsidR="00125511">
          <w:rPr>
            <w:noProof/>
            <w:webHidden/>
          </w:rPr>
          <w:instrText xml:space="preserve"> PAGEREF _Toc86391725 \h </w:instrText>
        </w:r>
        <w:r w:rsidR="00125511">
          <w:rPr>
            <w:noProof/>
            <w:webHidden/>
          </w:rPr>
        </w:r>
        <w:r w:rsidR="00125511">
          <w:rPr>
            <w:noProof/>
            <w:webHidden/>
          </w:rPr>
          <w:fldChar w:fldCharType="separate"/>
        </w:r>
        <w:r w:rsidR="00125511">
          <w:rPr>
            <w:noProof/>
            <w:webHidden/>
          </w:rPr>
          <w:t>6</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26" w:history="1">
        <w:r w:rsidR="00125511" w:rsidRPr="00A36F30">
          <w:rPr>
            <w:rStyle w:val="Hyperlink"/>
            <w:noProof/>
          </w:rPr>
          <w:t>2.1.</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Problem 1: Consumers lack reliable information at the point of sale to make environmentally sustainable consumption choices</w:t>
        </w:r>
        <w:r w:rsidR="00125511">
          <w:rPr>
            <w:noProof/>
            <w:webHidden/>
          </w:rPr>
          <w:tab/>
        </w:r>
        <w:r w:rsidR="00125511">
          <w:rPr>
            <w:noProof/>
            <w:webHidden/>
          </w:rPr>
          <w:fldChar w:fldCharType="begin"/>
        </w:r>
        <w:r w:rsidR="00125511">
          <w:rPr>
            <w:noProof/>
            <w:webHidden/>
          </w:rPr>
          <w:instrText xml:space="preserve"> PAGEREF _Toc86391726 \h </w:instrText>
        </w:r>
        <w:r w:rsidR="00125511">
          <w:rPr>
            <w:noProof/>
            <w:webHidden/>
          </w:rPr>
        </w:r>
        <w:r w:rsidR="00125511">
          <w:rPr>
            <w:noProof/>
            <w:webHidden/>
          </w:rPr>
          <w:fldChar w:fldCharType="separate"/>
        </w:r>
        <w:r w:rsidR="00125511">
          <w:rPr>
            <w:noProof/>
            <w:webHidden/>
          </w:rPr>
          <w:t>6</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27" w:history="1">
        <w:r w:rsidR="00125511" w:rsidRPr="00A36F30">
          <w:rPr>
            <w:rStyle w:val="Hyperlink"/>
            <w:noProof/>
          </w:rPr>
          <w:t>2.2.</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Problem 2: Consumers face misleading commercial practices related to the sustainability of products</w:t>
        </w:r>
        <w:r w:rsidR="00125511">
          <w:rPr>
            <w:noProof/>
            <w:webHidden/>
          </w:rPr>
          <w:tab/>
        </w:r>
        <w:r w:rsidR="00125511">
          <w:rPr>
            <w:noProof/>
            <w:webHidden/>
          </w:rPr>
          <w:fldChar w:fldCharType="begin"/>
        </w:r>
        <w:r w:rsidR="00125511">
          <w:rPr>
            <w:noProof/>
            <w:webHidden/>
          </w:rPr>
          <w:instrText xml:space="preserve"> PAGEREF _Toc86391727 \h </w:instrText>
        </w:r>
        <w:r w:rsidR="00125511">
          <w:rPr>
            <w:noProof/>
            <w:webHidden/>
          </w:rPr>
        </w:r>
        <w:r w:rsidR="00125511">
          <w:rPr>
            <w:noProof/>
            <w:webHidden/>
          </w:rPr>
          <w:fldChar w:fldCharType="separate"/>
        </w:r>
        <w:r w:rsidR="00125511">
          <w:rPr>
            <w:noProof/>
            <w:webHidden/>
          </w:rPr>
          <w:t>8</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28" w:history="1">
        <w:r w:rsidR="00125511" w:rsidRPr="00A36F30">
          <w:rPr>
            <w:rStyle w:val="Hyperlink"/>
            <w:noProof/>
          </w:rPr>
          <w:t>2.3.</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What are the problem drivers?</w:t>
        </w:r>
        <w:r w:rsidR="00125511">
          <w:rPr>
            <w:noProof/>
            <w:webHidden/>
          </w:rPr>
          <w:tab/>
        </w:r>
        <w:r w:rsidR="00125511">
          <w:rPr>
            <w:noProof/>
            <w:webHidden/>
          </w:rPr>
          <w:fldChar w:fldCharType="begin"/>
        </w:r>
        <w:r w:rsidR="00125511">
          <w:rPr>
            <w:noProof/>
            <w:webHidden/>
          </w:rPr>
          <w:instrText xml:space="preserve"> PAGEREF _Toc86391728 \h </w:instrText>
        </w:r>
        <w:r w:rsidR="00125511">
          <w:rPr>
            <w:noProof/>
            <w:webHidden/>
          </w:rPr>
        </w:r>
        <w:r w:rsidR="00125511">
          <w:rPr>
            <w:noProof/>
            <w:webHidden/>
          </w:rPr>
          <w:fldChar w:fldCharType="separate"/>
        </w:r>
        <w:r w:rsidR="00125511">
          <w:rPr>
            <w:noProof/>
            <w:webHidden/>
          </w:rPr>
          <w:t>13</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29" w:history="1">
        <w:r w:rsidR="00125511" w:rsidRPr="00A36F30">
          <w:rPr>
            <w:rStyle w:val="Hyperlink"/>
            <w:noProof/>
          </w:rPr>
          <w:t>2.4.</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How will the problems evolve without intervention?</w:t>
        </w:r>
        <w:r w:rsidR="00125511">
          <w:rPr>
            <w:noProof/>
            <w:webHidden/>
          </w:rPr>
          <w:tab/>
        </w:r>
        <w:r w:rsidR="00125511">
          <w:rPr>
            <w:noProof/>
            <w:webHidden/>
          </w:rPr>
          <w:fldChar w:fldCharType="begin"/>
        </w:r>
        <w:r w:rsidR="00125511">
          <w:rPr>
            <w:noProof/>
            <w:webHidden/>
          </w:rPr>
          <w:instrText xml:space="preserve"> PAGEREF _Toc86391729 \h </w:instrText>
        </w:r>
        <w:r w:rsidR="00125511">
          <w:rPr>
            <w:noProof/>
            <w:webHidden/>
          </w:rPr>
        </w:r>
        <w:r w:rsidR="00125511">
          <w:rPr>
            <w:noProof/>
            <w:webHidden/>
          </w:rPr>
          <w:fldChar w:fldCharType="separate"/>
        </w:r>
        <w:r w:rsidR="00125511">
          <w:rPr>
            <w:noProof/>
            <w:webHidden/>
          </w:rPr>
          <w:t>15</w:t>
        </w:r>
        <w:r w:rsidR="00125511">
          <w:rPr>
            <w:noProof/>
            <w:webHidden/>
          </w:rPr>
          <w:fldChar w:fldCharType="end"/>
        </w:r>
      </w:hyperlink>
    </w:p>
    <w:p w:rsidR="00125511" w:rsidRDefault="00700706">
      <w:pPr>
        <w:pStyle w:val="TOC1"/>
        <w:rPr>
          <w:rFonts w:asciiTheme="minorHAnsi" w:eastAsiaTheme="minorEastAsia" w:hAnsiTheme="minorHAnsi" w:cstheme="minorBidi"/>
          <w:caps w:val="0"/>
          <w:noProof/>
          <w:sz w:val="22"/>
          <w:szCs w:val="22"/>
          <w:lang w:val="ga-IE" w:eastAsia="ga-IE"/>
        </w:rPr>
      </w:pPr>
      <w:hyperlink w:anchor="_Toc86391730" w:history="1">
        <w:r w:rsidR="00125511" w:rsidRPr="00A36F30">
          <w:rPr>
            <w:rStyle w:val="Hyperlink"/>
            <w:noProof/>
          </w:rPr>
          <w:t>3.</w:t>
        </w:r>
        <w:r w:rsidR="00125511">
          <w:rPr>
            <w:rFonts w:asciiTheme="minorHAnsi" w:eastAsiaTheme="minorEastAsia" w:hAnsiTheme="minorHAnsi" w:cstheme="minorBidi"/>
            <w:caps w:val="0"/>
            <w:noProof/>
            <w:sz w:val="22"/>
            <w:szCs w:val="22"/>
            <w:lang w:val="ga-IE" w:eastAsia="ga-IE"/>
          </w:rPr>
          <w:tab/>
        </w:r>
        <w:r w:rsidR="00125511" w:rsidRPr="00A36F30">
          <w:rPr>
            <w:rStyle w:val="Hyperlink"/>
            <w:noProof/>
          </w:rPr>
          <w:t>Why should the EU act?</w:t>
        </w:r>
        <w:r w:rsidR="00125511">
          <w:rPr>
            <w:noProof/>
            <w:webHidden/>
          </w:rPr>
          <w:tab/>
        </w:r>
        <w:r w:rsidR="00125511">
          <w:rPr>
            <w:noProof/>
            <w:webHidden/>
          </w:rPr>
          <w:fldChar w:fldCharType="begin"/>
        </w:r>
        <w:r w:rsidR="00125511">
          <w:rPr>
            <w:noProof/>
            <w:webHidden/>
          </w:rPr>
          <w:instrText xml:space="preserve"> PAGEREF _Toc86391730 \h </w:instrText>
        </w:r>
        <w:r w:rsidR="00125511">
          <w:rPr>
            <w:noProof/>
            <w:webHidden/>
          </w:rPr>
        </w:r>
        <w:r w:rsidR="00125511">
          <w:rPr>
            <w:noProof/>
            <w:webHidden/>
          </w:rPr>
          <w:fldChar w:fldCharType="separate"/>
        </w:r>
        <w:r w:rsidR="00125511">
          <w:rPr>
            <w:noProof/>
            <w:webHidden/>
          </w:rPr>
          <w:t>17</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31" w:history="1">
        <w:r w:rsidR="00125511" w:rsidRPr="00A36F30">
          <w:rPr>
            <w:rStyle w:val="Hyperlink"/>
            <w:noProof/>
          </w:rPr>
          <w:t>3.1.</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Legal basis</w:t>
        </w:r>
        <w:r w:rsidR="00125511">
          <w:rPr>
            <w:noProof/>
            <w:webHidden/>
          </w:rPr>
          <w:tab/>
        </w:r>
        <w:r w:rsidR="00125511">
          <w:rPr>
            <w:noProof/>
            <w:webHidden/>
          </w:rPr>
          <w:fldChar w:fldCharType="begin"/>
        </w:r>
        <w:r w:rsidR="00125511">
          <w:rPr>
            <w:noProof/>
            <w:webHidden/>
          </w:rPr>
          <w:instrText xml:space="preserve"> PAGEREF _Toc86391731 \h </w:instrText>
        </w:r>
        <w:r w:rsidR="00125511">
          <w:rPr>
            <w:noProof/>
            <w:webHidden/>
          </w:rPr>
        </w:r>
        <w:r w:rsidR="00125511">
          <w:rPr>
            <w:noProof/>
            <w:webHidden/>
          </w:rPr>
          <w:fldChar w:fldCharType="separate"/>
        </w:r>
        <w:r w:rsidR="00125511">
          <w:rPr>
            <w:noProof/>
            <w:webHidden/>
          </w:rPr>
          <w:t>17</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32" w:history="1">
        <w:r w:rsidR="00125511" w:rsidRPr="00A36F30">
          <w:rPr>
            <w:rStyle w:val="Hyperlink"/>
            <w:noProof/>
          </w:rPr>
          <w:t>3.2.</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Subsidiarity: Necessity of EU action</w:t>
        </w:r>
        <w:r w:rsidR="00125511">
          <w:rPr>
            <w:noProof/>
            <w:webHidden/>
          </w:rPr>
          <w:tab/>
        </w:r>
        <w:r w:rsidR="00125511">
          <w:rPr>
            <w:noProof/>
            <w:webHidden/>
          </w:rPr>
          <w:fldChar w:fldCharType="begin"/>
        </w:r>
        <w:r w:rsidR="00125511">
          <w:rPr>
            <w:noProof/>
            <w:webHidden/>
          </w:rPr>
          <w:instrText xml:space="preserve"> PAGEREF _Toc86391732 \h </w:instrText>
        </w:r>
        <w:r w:rsidR="00125511">
          <w:rPr>
            <w:noProof/>
            <w:webHidden/>
          </w:rPr>
        </w:r>
        <w:r w:rsidR="00125511">
          <w:rPr>
            <w:noProof/>
            <w:webHidden/>
          </w:rPr>
          <w:fldChar w:fldCharType="separate"/>
        </w:r>
        <w:r w:rsidR="00125511">
          <w:rPr>
            <w:noProof/>
            <w:webHidden/>
          </w:rPr>
          <w:t>17</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33" w:history="1">
        <w:r w:rsidR="00125511" w:rsidRPr="00A36F30">
          <w:rPr>
            <w:rStyle w:val="Hyperlink"/>
            <w:noProof/>
          </w:rPr>
          <w:t>3.3.</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Subsidiarity: Added value of EU action</w:t>
        </w:r>
        <w:r w:rsidR="00125511">
          <w:rPr>
            <w:noProof/>
            <w:webHidden/>
          </w:rPr>
          <w:tab/>
        </w:r>
        <w:r w:rsidR="00125511">
          <w:rPr>
            <w:noProof/>
            <w:webHidden/>
          </w:rPr>
          <w:fldChar w:fldCharType="begin"/>
        </w:r>
        <w:r w:rsidR="00125511">
          <w:rPr>
            <w:noProof/>
            <w:webHidden/>
          </w:rPr>
          <w:instrText xml:space="preserve"> PAGEREF _Toc86391733 \h </w:instrText>
        </w:r>
        <w:r w:rsidR="00125511">
          <w:rPr>
            <w:noProof/>
            <w:webHidden/>
          </w:rPr>
        </w:r>
        <w:r w:rsidR="00125511">
          <w:rPr>
            <w:noProof/>
            <w:webHidden/>
          </w:rPr>
          <w:fldChar w:fldCharType="separate"/>
        </w:r>
        <w:r w:rsidR="00125511">
          <w:rPr>
            <w:noProof/>
            <w:webHidden/>
          </w:rPr>
          <w:t>18</w:t>
        </w:r>
        <w:r w:rsidR="00125511">
          <w:rPr>
            <w:noProof/>
            <w:webHidden/>
          </w:rPr>
          <w:fldChar w:fldCharType="end"/>
        </w:r>
      </w:hyperlink>
    </w:p>
    <w:p w:rsidR="00125511" w:rsidRDefault="00700706">
      <w:pPr>
        <w:pStyle w:val="TOC1"/>
        <w:rPr>
          <w:rFonts w:asciiTheme="minorHAnsi" w:eastAsiaTheme="minorEastAsia" w:hAnsiTheme="minorHAnsi" w:cstheme="minorBidi"/>
          <w:caps w:val="0"/>
          <w:noProof/>
          <w:sz w:val="22"/>
          <w:szCs w:val="22"/>
          <w:lang w:val="ga-IE" w:eastAsia="ga-IE"/>
        </w:rPr>
      </w:pPr>
      <w:hyperlink w:anchor="_Toc86391734" w:history="1">
        <w:r w:rsidR="00125511" w:rsidRPr="00A36F30">
          <w:rPr>
            <w:rStyle w:val="Hyperlink"/>
            <w:noProof/>
          </w:rPr>
          <w:t>4.</w:t>
        </w:r>
        <w:r w:rsidR="00125511">
          <w:rPr>
            <w:rFonts w:asciiTheme="minorHAnsi" w:eastAsiaTheme="minorEastAsia" w:hAnsiTheme="minorHAnsi" w:cstheme="minorBidi"/>
            <w:caps w:val="0"/>
            <w:noProof/>
            <w:sz w:val="22"/>
            <w:szCs w:val="22"/>
            <w:lang w:val="ga-IE" w:eastAsia="ga-IE"/>
          </w:rPr>
          <w:tab/>
        </w:r>
        <w:r w:rsidR="00125511" w:rsidRPr="00A36F30">
          <w:rPr>
            <w:rStyle w:val="Hyperlink"/>
            <w:noProof/>
          </w:rPr>
          <w:t>Objectives: What is to be achieved?</w:t>
        </w:r>
        <w:r w:rsidR="00125511">
          <w:rPr>
            <w:noProof/>
            <w:webHidden/>
          </w:rPr>
          <w:tab/>
        </w:r>
        <w:r w:rsidR="00125511">
          <w:rPr>
            <w:noProof/>
            <w:webHidden/>
          </w:rPr>
          <w:fldChar w:fldCharType="begin"/>
        </w:r>
        <w:r w:rsidR="00125511">
          <w:rPr>
            <w:noProof/>
            <w:webHidden/>
          </w:rPr>
          <w:instrText xml:space="preserve"> PAGEREF _Toc86391734 \h </w:instrText>
        </w:r>
        <w:r w:rsidR="00125511">
          <w:rPr>
            <w:noProof/>
            <w:webHidden/>
          </w:rPr>
        </w:r>
        <w:r w:rsidR="00125511">
          <w:rPr>
            <w:noProof/>
            <w:webHidden/>
          </w:rPr>
          <w:fldChar w:fldCharType="separate"/>
        </w:r>
        <w:r w:rsidR="00125511">
          <w:rPr>
            <w:noProof/>
            <w:webHidden/>
          </w:rPr>
          <w:t>19</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35" w:history="1">
        <w:r w:rsidR="00125511" w:rsidRPr="00A36F30">
          <w:rPr>
            <w:rStyle w:val="Hyperlink"/>
            <w:noProof/>
          </w:rPr>
          <w:t>4.1.</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General objectives</w:t>
        </w:r>
        <w:r w:rsidR="00125511">
          <w:rPr>
            <w:noProof/>
            <w:webHidden/>
          </w:rPr>
          <w:tab/>
        </w:r>
        <w:r w:rsidR="00125511">
          <w:rPr>
            <w:noProof/>
            <w:webHidden/>
          </w:rPr>
          <w:fldChar w:fldCharType="begin"/>
        </w:r>
        <w:r w:rsidR="00125511">
          <w:rPr>
            <w:noProof/>
            <w:webHidden/>
          </w:rPr>
          <w:instrText xml:space="preserve"> PAGEREF _Toc86391735 \h </w:instrText>
        </w:r>
        <w:r w:rsidR="00125511">
          <w:rPr>
            <w:noProof/>
            <w:webHidden/>
          </w:rPr>
        </w:r>
        <w:r w:rsidR="00125511">
          <w:rPr>
            <w:noProof/>
            <w:webHidden/>
          </w:rPr>
          <w:fldChar w:fldCharType="separate"/>
        </w:r>
        <w:r w:rsidR="00125511">
          <w:rPr>
            <w:noProof/>
            <w:webHidden/>
          </w:rPr>
          <w:t>19</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36" w:history="1">
        <w:r w:rsidR="00125511" w:rsidRPr="00A36F30">
          <w:rPr>
            <w:rStyle w:val="Hyperlink"/>
            <w:noProof/>
          </w:rPr>
          <w:t>4.2.</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Specific objectives</w:t>
        </w:r>
        <w:r w:rsidR="00125511">
          <w:rPr>
            <w:noProof/>
            <w:webHidden/>
          </w:rPr>
          <w:tab/>
        </w:r>
        <w:r w:rsidR="00125511">
          <w:rPr>
            <w:noProof/>
            <w:webHidden/>
          </w:rPr>
          <w:fldChar w:fldCharType="begin"/>
        </w:r>
        <w:r w:rsidR="00125511">
          <w:rPr>
            <w:noProof/>
            <w:webHidden/>
          </w:rPr>
          <w:instrText xml:space="preserve"> PAGEREF _Toc86391736 \h </w:instrText>
        </w:r>
        <w:r w:rsidR="00125511">
          <w:rPr>
            <w:noProof/>
            <w:webHidden/>
          </w:rPr>
        </w:r>
        <w:r w:rsidR="00125511">
          <w:rPr>
            <w:noProof/>
            <w:webHidden/>
          </w:rPr>
          <w:fldChar w:fldCharType="separate"/>
        </w:r>
        <w:r w:rsidR="00125511">
          <w:rPr>
            <w:noProof/>
            <w:webHidden/>
          </w:rPr>
          <w:t>19</w:t>
        </w:r>
        <w:r w:rsidR="00125511">
          <w:rPr>
            <w:noProof/>
            <w:webHidden/>
          </w:rPr>
          <w:fldChar w:fldCharType="end"/>
        </w:r>
      </w:hyperlink>
    </w:p>
    <w:p w:rsidR="00125511" w:rsidRDefault="00700706">
      <w:pPr>
        <w:pStyle w:val="TOC1"/>
        <w:rPr>
          <w:rFonts w:asciiTheme="minorHAnsi" w:eastAsiaTheme="minorEastAsia" w:hAnsiTheme="minorHAnsi" w:cstheme="minorBidi"/>
          <w:caps w:val="0"/>
          <w:noProof/>
          <w:sz w:val="22"/>
          <w:szCs w:val="22"/>
          <w:lang w:val="ga-IE" w:eastAsia="ga-IE"/>
        </w:rPr>
      </w:pPr>
      <w:hyperlink w:anchor="_Toc86391737" w:history="1">
        <w:r w:rsidR="00125511" w:rsidRPr="00A36F30">
          <w:rPr>
            <w:rStyle w:val="Hyperlink"/>
            <w:noProof/>
          </w:rPr>
          <w:t>5.</w:t>
        </w:r>
        <w:r w:rsidR="00125511">
          <w:rPr>
            <w:rFonts w:asciiTheme="minorHAnsi" w:eastAsiaTheme="minorEastAsia" w:hAnsiTheme="minorHAnsi" w:cstheme="minorBidi"/>
            <w:caps w:val="0"/>
            <w:noProof/>
            <w:sz w:val="22"/>
            <w:szCs w:val="22"/>
            <w:lang w:val="ga-IE" w:eastAsia="ga-IE"/>
          </w:rPr>
          <w:tab/>
        </w:r>
        <w:r w:rsidR="00125511" w:rsidRPr="00A36F30">
          <w:rPr>
            <w:rStyle w:val="Hyperlink"/>
            <w:noProof/>
          </w:rPr>
          <w:t>What are the available policy options?</w:t>
        </w:r>
        <w:r w:rsidR="00125511">
          <w:rPr>
            <w:noProof/>
            <w:webHidden/>
          </w:rPr>
          <w:tab/>
        </w:r>
        <w:r w:rsidR="00125511">
          <w:rPr>
            <w:noProof/>
            <w:webHidden/>
          </w:rPr>
          <w:fldChar w:fldCharType="begin"/>
        </w:r>
        <w:r w:rsidR="00125511">
          <w:rPr>
            <w:noProof/>
            <w:webHidden/>
          </w:rPr>
          <w:instrText xml:space="preserve"> PAGEREF _Toc86391737 \h </w:instrText>
        </w:r>
        <w:r w:rsidR="00125511">
          <w:rPr>
            <w:noProof/>
            <w:webHidden/>
          </w:rPr>
        </w:r>
        <w:r w:rsidR="00125511">
          <w:rPr>
            <w:noProof/>
            <w:webHidden/>
          </w:rPr>
          <w:fldChar w:fldCharType="separate"/>
        </w:r>
        <w:r w:rsidR="00125511">
          <w:rPr>
            <w:noProof/>
            <w:webHidden/>
          </w:rPr>
          <w:t>19</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38" w:history="1">
        <w:r w:rsidR="00125511" w:rsidRPr="00A36F30">
          <w:rPr>
            <w:rStyle w:val="Hyperlink"/>
            <w:noProof/>
          </w:rPr>
          <w:t>5.1.</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What is the baseline from which options are assessed?</w:t>
        </w:r>
        <w:r w:rsidR="00125511">
          <w:rPr>
            <w:noProof/>
            <w:webHidden/>
          </w:rPr>
          <w:tab/>
        </w:r>
        <w:r w:rsidR="00125511">
          <w:rPr>
            <w:noProof/>
            <w:webHidden/>
          </w:rPr>
          <w:fldChar w:fldCharType="begin"/>
        </w:r>
        <w:r w:rsidR="00125511">
          <w:rPr>
            <w:noProof/>
            <w:webHidden/>
          </w:rPr>
          <w:instrText xml:space="preserve"> PAGEREF _Toc86391738 \h </w:instrText>
        </w:r>
        <w:r w:rsidR="00125511">
          <w:rPr>
            <w:noProof/>
            <w:webHidden/>
          </w:rPr>
        </w:r>
        <w:r w:rsidR="00125511">
          <w:rPr>
            <w:noProof/>
            <w:webHidden/>
          </w:rPr>
          <w:fldChar w:fldCharType="separate"/>
        </w:r>
        <w:r w:rsidR="00125511">
          <w:rPr>
            <w:noProof/>
            <w:webHidden/>
          </w:rPr>
          <w:t>19</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39" w:history="1">
        <w:r w:rsidR="00125511" w:rsidRPr="00A36F30">
          <w:rPr>
            <w:rStyle w:val="Hyperlink"/>
            <w:noProof/>
          </w:rPr>
          <w:t>5.2.</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Description of the policy options</w:t>
        </w:r>
        <w:r w:rsidR="00125511">
          <w:rPr>
            <w:noProof/>
            <w:webHidden/>
          </w:rPr>
          <w:tab/>
        </w:r>
        <w:r w:rsidR="00125511">
          <w:rPr>
            <w:noProof/>
            <w:webHidden/>
          </w:rPr>
          <w:fldChar w:fldCharType="begin"/>
        </w:r>
        <w:r w:rsidR="00125511">
          <w:rPr>
            <w:noProof/>
            <w:webHidden/>
          </w:rPr>
          <w:instrText xml:space="preserve"> PAGEREF _Toc86391739 \h </w:instrText>
        </w:r>
        <w:r w:rsidR="00125511">
          <w:rPr>
            <w:noProof/>
            <w:webHidden/>
          </w:rPr>
        </w:r>
        <w:r w:rsidR="00125511">
          <w:rPr>
            <w:noProof/>
            <w:webHidden/>
          </w:rPr>
          <w:fldChar w:fldCharType="separate"/>
        </w:r>
        <w:r w:rsidR="00125511">
          <w:rPr>
            <w:noProof/>
            <w:webHidden/>
          </w:rPr>
          <w:t>22</w:t>
        </w:r>
        <w:r w:rsidR="00125511">
          <w:rPr>
            <w:noProof/>
            <w:webHidden/>
          </w:rPr>
          <w:fldChar w:fldCharType="end"/>
        </w:r>
      </w:hyperlink>
    </w:p>
    <w:p w:rsidR="00125511" w:rsidRDefault="00700706">
      <w:pPr>
        <w:pStyle w:val="TOC1"/>
        <w:rPr>
          <w:rFonts w:asciiTheme="minorHAnsi" w:eastAsiaTheme="minorEastAsia" w:hAnsiTheme="minorHAnsi" w:cstheme="minorBidi"/>
          <w:caps w:val="0"/>
          <w:noProof/>
          <w:sz w:val="22"/>
          <w:szCs w:val="22"/>
          <w:lang w:val="ga-IE" w:eastAsia="ga-IE"/>
        </w:rPr>
      </w:pPr>
      <w:hyperlink w:anchor="_Toc86391740" w:history="1">
        <w:r w:rsidR="00125511" w:rsidRPr="00A36F30">
          <w:rPr>
            <w:rStyle w:val="Hyperlink"/>
            <w:noProof/>
          </w:rPr>
          <w:t>6.</w:t>
        </w:r>
        <w:r w:rsidR="00125511">
          <w:rPr>
            <w:rFonts w:asciiTheme="minorHAnsi" w:eastAsiaTheme="minorEastAsia" w:hAnsiTheme="minorHAnsi" w:cstheme="minorBidi"/>
            <w:caps w:val="0"/>
            <w:noProof/>
            <w:sz w:val="22"/>
            <w:szCs w:val="22"/>
            <w:lang w:val="ga-IE" w:eastAsia="ga-IE"/>
          </w:rPr>
          <w:tab/>
        </w:r>
        <w:r w:rsidR="00125511" w:rsidRPr="00A36F30">
          <w:rPr>
            <w:rStyle w:val="Hyperlink"/>
            <w:noProof/>
          </w:rPr>
          <w:t>What are the impacts of the policy options and how do they compare?</w:t>
        </w:r>
        <w:r w:rsidR="00125511">
          <w:rPr>
            <w:noProof/>
            <w:webHidden/>
          </w:rPr>
          <w:tab/>
        </w:r>
        <w:r w:rsidR="00125511">
          <w:rPr>
            <w:noProof/>
            <w:webHidden/>
          </w:rPr>
          <w:fldChar w:fldCharType="begin"/>
        </w:r>
        <w:r w:rsidR="00125511">
          <w:rPr>
            <w:noProof/>
            <w:webHidden/>
          </w:rPr>
          <w:instrText xml:space="preserve"> PAGEREF _Toc86391740 \h </w:instrText>
        </w:r>
        <w:r w:rsidR="00125511">
          <w:rPr>
            <w:noProof/>
            <w:webHidden/>
          </w:rPr>
        </w:r>
        <w:r w:rsidR="00125511">
          <w:rPr>
            <w:noProof/>
            <w:webHidden/>
          </w:rPr>
          <w:fldChar w:fldCharType="separate"/>
        </w:r>
        <w:r w:rsidR="00125511">
          <w:rPr>
            <w:noProof/>
            <w:webHidden/>
          </w:rPr>
          <w:t>34</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41" w:history="1">
        <w:r w:rsidR="00125511" w:rsidRPr="00A36F30">
          <w:rPr>
            <w:rStyle w:val="Hyperlink"/>
            <w:noProof/>
          </w:rPr>
          <w:t>6.1.</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Problem 1: Consumers lack reliable information at the point of sale to make environmentally sustainable consumption choices</w:t>
        </w:r>
        <w:r w:rsidR="00125511">
          <w:rPr>
            <w:noProof/>
            <w:webHidden/>
          </w:rPr>
          <w:tab/>
        </w:r>
        <w:r w:rsidR="00125511">
          <w:rPr>
            <w:noProof/>
            <w:webHidden/>
          </w:rPr>
          <w:fldChar w:fldCharType="begin"/>
        </w:r>
        <w:r w:rsidR="00125511">
          <w:rPr>
            <w:noProof/>
            <w:webHidden/>
          </w:rPr>
          <w:instrText xml:space="preserve"> PAGEREF _Toc86391741 \h </w:instrText>
        </w:r>
        <w:r w:rsidR="00125511">
          <w:rPr>
            <w:noProof/>
            <w:webHidden/>
          </w:rPr>
        </w:r>
        <w:r w:rsidR="00125511">
          <w:rPr>
            <w:noProof/>
            <w:webHidden/>
          </w:rPr>
          <w:fldChar w:fldCharType="separate"/>
        </w:r>
        <w:r w:rsidR="00125511">
          <w:rPr>
            <w:noProof/>
            <w:webHidden/>
          </w:rPr>
          <w:t>35</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42" w:history="1">
        <w:r w:rsidR="00125511" w:rsidRPr="00A36F30">
          <w:rPr>
            <w:rStyle w:val="Hyperlink"/>
            <w:noProof/>
          </w:rPr>
          <w:t>6.2.</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Problem 2: Consumers face misleading commercial practices related to the sustainability of products</w:t>
        </w:r>
        <w:r w:rsidR="00125511">
          <w:rPr>
            <w:noProof/>
            <w:webHidden/>
          </w:rPr>
          <w:tab/>
        </w:r>
        <w:r w:rsidR="00125511">
          <w:rPr>
            <w:noProof/>
            <w:webHidden/>
          </w:rPr>
          <w:fldChar w:fldCharType="begin"/>
        </w:r>
        <w:r w:rsidR="00125511">
          <w:rPr>
            <w:noProof/>
            <w:webHidden/>
          </w:rPr>
          <w:instrText xml:space="preserve"> PAGEREF _Toc86391742 \h </w:instrText>
        </w:r>
        <w:r w:rsidR="00125511">
          <w:rPr>
            <w:noProof/>
            <w:webHidden/>
          </w:rPr>
        </w:r>
        <w:r w:rsidR="00125511">
          <w:rPr>
            <w:noProof/>
            <w:webHidden/>
          </w:rPr>
          <w:fldChar w:fldCharType="separate"/>
        </w:r>
        <w:r w:rsidR="00125511">
          <w:rPr>
            <w:noProof/>
            <w:webHidden/>
          </w:rPr>
          <w:t>43</w:t>
        </w:r>
        <w:r w:rsidR="00125511">
          <w:rPr>
            <w:noProof/>
            <w:webHidden/>
          </w:rPr>
          <w:fldChar w:fldCharType="end"/>
        </w:r>
      </w:hyperlink>
    </w:p>
    <w:p w:rsidR="00125511" w:rsidRDefault="00700706">
      <w:pPr>
        <w:pStyle w:val="TOC1"/>
        <w:rPr>
          <w:rFonts w:asciiTheme="minorHAnsi" w:eastAsiaTheme="minorEastAsia" w:hAnsiTheme="minorHAnsi" w:cstheme="minorBidi"/>
          <w:caps w:val="0"/>
          <w:noProof/>
          <w:sz w:val="22"/>
          <w:szCs w:val="22"/>
          <w:lang w:val="ga-IE" w:eastAsia="ga-IE"/>
        </w:rPr>
      </w:pPr>
      <w:hyperlink w:anchor="_Toc86391743" w:history="1">
        <w:r w:rsidR="00125511" w:rsidRPr="00A36F30">
          <w:rPr>
            <w:rStyle w:val="Hyperlink"/>
            <w:noProof/>
          </w:rPr>
          <w:t>7.</w:t>
        </w:r>
        <w:r w:rsidR="00125511">
          <w:rPr>
            <w:rFonts w:asciiTheme="minorHAnsi" w:eastAsiaTheme="minorEastAsia" w:hAnsiTheme="minorHAnsi" w:cstheme="minorBidi"/>
            <w:caps w:val="0"/>
            <w:noProof/>
            <w:sz w:val="22"/>
            <w:szCs w:val="22"/>
            <w:lang w:val="ga-IE" w:eastAsia="ga-IE"/>
          </w:rPr>
          <w:tab/>
        </w:r>
        <w:r w:rsidR="00125511" w:rsidRPr="00A36F30">
          <w:rPr>
            <w:rStyle w:val="Hyperlink"/>
            <w:noProof/>
          </w:rPr>
          <w:t>Preferred policy options</w:t>
        </w:r>
        <w:r w:rsidR="00125511">
          <w:rPr>
            <w:noProof/>
            <w:webHidden/>
          </w:rPr>
          <w:tab/>
        </w:r>
        <w:r w:rsidR="00125511">
          <w:rPr>
            <w:noProof/>
            <w:webHidden/>
          </w:rPr>
          <w:fldChar w:fldCharType="begin"/>
        </w:r>
        <w:r w:rsidR="00125511">
          <w:rPr>
            <w:noProof/>
            <w:webHidden/>
          </w:rPr>
          <w:instrText xml:space="preserve"> PAGEREF _Toc86391743 \h </w:instrText>
        </w:r>
        <w:r w:rsidR="00125511">
          <w:rPr>
            <w:noProof/>
            <w:webHidden/>
          </w:rPr>
        </w:r>
        <w:r w:rsidR="00125511">
          <w:rPr>
            <w:noProof/>
            <w:webHidden/>
          </w:rPr>
          <w:fldChar w:fldCharType="separate"/>
        </w:r>
        <w:r w:rsidR="00125511">
          <w:rPr>
            <w:noProof/>
            <w:webHidden/>
          </w:rPr>
          <w:t>50</w:t>
        </w:r>
        <w:r w:rsidR="00125511">
          <w:rPr>
            <w:noProof/>
            <w:webHidden/>
          </w:rPr>
          <w:fldChar w:fldCharType="end"/>
        </w:r>
      </w:hyperlink>
    </w:p>
    <w:p w:rsidR="00125511" w:rsidRDefault="00700706">
      <w:pPr>
        <w:pStyle w:val="TOC1"/>
        <w:rPr>
          <w:rFonts w:asciiTheme="minorHAnsi" w:eastAsiaTheme="minorEastAsia" w:hAnsiTheme="minorHAnsi" w:cstheme="minorBidi"/>
          <w:caps w:val="0"/>
          <w:noProof/>
          <w:sz w:val="22"/>
          <w:szCs w:val="22"/>
          <w:lang w:val="ga-IE" w:eastAsia="ga-IE"/>
        </w:rPr>
      </w:pPr>
      <w:hyperlink w:anchor="_Toc86391744" w:history="1">
        <w:r w:rsidR="00125511" w:rsidRPr="00A36F30">
          <w:rPr>
            <w:rStyle w:val="Hyperlink"/>
            <w:noProof/>
          </w:rPr>
          <w:t>8.</w:t>
        </w:r>
        <w:r w:rsidR="00125511">
          <w:rPr>
            <w:rFonts w:asciiTheme="minorHAnsi" w:eastAsiaTheme="minorEastAsia" w:hAnsiTheme="minorHAnsi" w:cstheme="minorBidi"/>
            <w:caps w:val="0"/>
            <w:noProof/>
            <w:sz w:val="22"/>
            <w:szCs w:val="22"/>
            <w:lang w:val="ga-IE" w:eastAsia="ga-IE"/>
          </w:rPr>
          <w:tab/>
        </w:r>
        <w:r w:rsidR="00125511" w:rsidRPr="00A36F30">
          <w:rPr>
            <w:rStyle w:val="Hyperlink"/>
            <w:noProof/>
          </w:rPr>
          <w:t>How will actual impacts be monitored and evaluated?</w:t>
        </w:r>
        <w:r w:rsidR="00125511">
          <w:rPr>
            <w:noProof/>
            <w:webHidden/>
          </w:rPr>
          <w:tab/>
        </w:r>
        <w:r w:rsidR="00125511">
          <w:rPr>
            <w:noProof/>
            <w:webHidden/>
          </w:rPr>
          <w:fldChar w:fldCharType="begin"/>
        </w:r>
        <w:r w:rsidR="00125511">
          <w:rPr>
            <w:noProof/>
            <w:webHidden/>
          </w:rPr>
          <w:instrText xml:space="preserve"> PAGEREF _Toc86391744 \h </w:instrText>
        </w:r>
        <w:r w:rsidR="00125511">
          <w:rPr>
            <w:noProof/>
            <w:webHidden/>
          </w:rPr>
        </w:r>
        <w:r w:rsidR="00125511">
          <w:rPr>
            <w:noProof/>
            <w:webHidden/>
          </w:rPr>
          <w:fldChar w:fldCharType="separate"/>
        </w:r>
        <w:r w:rsidR="00125511">
          <w:rPr>
            <w:noProof/>
            <w:webHidden/>
          </w:rPr>
          <w:t>55</w:t>
        </w:r>
        <w:r w:rsidR="00125511">
          <w:rPr>
            <w:noProof/>
            <w:webHidden/>
          </w:rPr>
          <w:fldChar w:fldCharType="end"/>
        </w:r>
      </w:hyperlink>
    </w:p>
    <w:p w:rsidR="00125511" w:rsidRDefault="00700706">
      <w:pPr>
        <w:pStyle w:val="TOC1"/>
        <w:rPr>
          <w:rFonts w:asciiTheme="minorHAnsi" w:eastAsiaTheme="minorEastAsia" w:hAnsiTheme="minorHAnsi" w:cstheme="minorBidi"/>
          <w:caps w:val="0"/>
          <w:noProof/>
          <w:sz w:val="22"/>
          <w:szCs w:val="22"/>
          <w:lang w:val="ga-IE" w:eastAsia="ga-IE"/>
        </w:rPr>
      </w:pPr>
      <w:hyperlink w:anchor="_Toc86391745" w:history="1">
        <w:r w:rsidR="00125511" w:rsidRPr="00A36F30">
          <w:rPr>
            <w:rStyle w:val="Hyperlink"/>
            <w:noProof/>
          </w:rPr>
          <w:t>Annex 1: Procedural information</w:t>
        </w:r>
        <w:r w:rsidR="00125511">
          <w:rPr>
            <w:noProof/>
            <w:webHidden/>
          </w:rPr>
          <w:tab/>
        </w:r>
        <w:r w:rsidR="00125511">
          <w:rPr>
            <w:noProof/>
            <w:webHidden/>
          </w:rPr>
          <w:fldChar w:fldCharType="begin"/>
        </w:r>
        <w:r w:rsidR="00125511">
          <w:rPr>
            <w:noProof/>
            <w:webHidden/>
          </w:rPr>
          <w:instrText xml:space="preserve"> PAGEREF _Toc86391745 \h </w:instrText>
        </w:r>
        <w:r w:rsidR="00125511">
          <w:rPr>
            <w:noProof/>
            <w:webHidden/>
          </w:rPr>
        </w:r>
        <w:r w:rsidR="00125511">
          <w:rPr>
            <w:noProof/>
            <w:webHidden/>
          </w:rPr>
          <w:fldChar w:fldCharType="separate"/>
        </w:r>
        <w:r w:rsidR="00125511">
          <w:rPr>
            <w:noProof/>
            <w:webHidden/>
          </w:rPr>
          <w:t>56</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46" w:history="1">
        <w:r w:rsidR="00125511" w:rsidRPr="00A36F30">
          <w:rPr>
            <w:rStyle w:val="Hyperlink"/>
            <w:noProof/>
          </w:rPr>
          <w:t>1.</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Lead DG, Decide Planning/CWP references</w:t>
        </w:r>
        <w:r w:rsidR="00125511">
          <w:rPr>
            <w:noProof/>
            <w:webHidden/>
          </w:rPr>
          <w:tab/>
        </w:r>
        <w:r w:rsidR="00125511">
          <w:rPr>
            <w:noProof/>
            <w:webHidden/>
          </w:rPr>
          <w:fldChar w:fldCharType="begin"/>
        </w:r>
        <w:r w:rsidR="00125511">
          <w:rPr>
            <w:noProof/>
            <w:webHidden/>
          </w:rPr>
          <w:instrText xml:space="preserve"> PAGEREF _Toc86391746 \h </w:instrText>
        </w:r>
        <w:r w:rsidR="00125511">
          <w:rPr>
            <w:noProof/>
            <w:webHidden/>
          </w:rPr>
        </w:r>
        <w:r w:rsidR="00125511">
          <w:rPr>
            <w:noProof/>
            <w:webHidden/>
          </w:rPr>
          <w:fldChar w:fldCharType="separate"/>
        </w:r>
        <w:r w:rsidR="00125511">
          <w:rPr>
            <w:noProof/>
            <w:webHidden/>
          </w:rPr>
          <w:t>56</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47" w:history="1">
        <w:r w:rsidR="00125511" w:rsidRPr="00A36F30">
          <w:rPr>
            <w:rStyle w:val="Hyperlink"/>
            <w:noProof/>
          </w:rPr>
          <w:t>2.</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Organisation and timing</w:t>
        </w:r>
        <w:r w:rsidR="00125511">
          <w:rPr>
            <w:noProof/>
            <w:webHidden/>
          </w:rPr>
          <w:tab/>
        </w:r>
        <w:r w:rsidR="00125511">
          <w:rPr>
            <w:noProof/>
            <w:webHidden/>
          </w:rPr>
          <w:fldChar w:fldCharType="begin"/>
        </w:r>
        <w:r w:rsidR="00125511">
          <w:rPr>
            <w:noProof/>
            <w:webHidden/>
          </w:rPr>
          <w:instrText xml:space="preserve"> PAGEREF _Toc86391747 \h </w:instrText>
        </w:r>
        <w:r w:rsidR="00125511">
          <w:rPr>
            <w:noProof/>
            <w:webHidden/>
          </w:rPr>
        </w:r>
        <w:r w:rsidR="00125511">
          <w:rPr>
            <w:noProof/>
            <w:webHidden/>
          </w:rPr>
          <w:fldChar w:fldCharType="separate"/>
        </w:r>
        <w:r w:rsidR="00125511">
          <w:rPr>
            <w:noProof/>
            <w:webHidden/>
          </w:rPr>
          <w:t>56</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48" w:history="1">
        <w:r w:rsidR="00125511" w:rsidRPr="00A36F30">
          <w:rPr>
            <w:rStyle w:val="Hyperlink"/>
            <w:noProof/>
          </w:rPr>
          <w:t>3.</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Consultation of the RSB</w:t>
        </w:r>
        <w:r w:rsidR="00125511">
          <w:rPr>
            <w:noProof/>
            <w:webHidden/>
          </w:rPr>
          <w:tab/>
        </w:r>
        <w:r w:rsidR="00125511">
          <w:rPr>
            <w:noProof/>
            <w:webHidden/>
          </w:rPr>
          <w:fldChar w:fldCharType="begin"/>
        </w:r>
        <w:r w:rsidR="00125511">
          <w:rPr>
            <w:noProof/>
            <w:webHidden/>
          </w:rPr>
          <w:instrText xml:space="preserve"> PAGEREF _Toc86391748 \h </w:instrText>
        </w:r>
        <w:r w:rsidR="00125511">
          <w:rPr>
            <w:noProof/>
            <w:webHidden/>
          </w:rPr>
        </w:r>
        <w:r w:rsidR="00125511">
          <w:rPr>
            <w:noProof/>
            <w:webHidden/>
          </w:rPr>
          <w:fldChar w:fldCharType="separate"/>
        </w:r>
        <w:r w:rsidR="00125511">
          <w:rPr>
            <w:noProof/>
            <w:webHidden/>
          </w:rPr>
          <w:t>56</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49" w:history="1">
        <w:r w:rsidR="00125511" w:rsidRPr="00A36F30">
          <w:rPr>
            <w:rStyle w:val="Hyperlink"/>
            <w:noProof/>
          </w:rPr>
          <w:t>4.</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Evidence, sources and quality</w:t>
        </w:r>
        <w:r w:rsidR="00125511">
          <w:rPr>
            <w:noProof/>
            <w:webHidden/>
          </w:rPr>
          <w:tab/>
        </w:r>
        <w:r w:rsidR="00125511">
          <w:rPr>
            <w:noProof/>
            <w:webHidden/>
          </w:rPr>
          <w:fldChar w:fldCharType="begin"/>
        </w:r>
        <w:r w:rsidR="00125511">
          <w:rPr>
            <w:noProof/>
            <w:webHidden/>
          </w:rPr>
          <w:instrText xml:space="preserve"> PAGEREF _Toc86391749 \h </w:instrText>
        </w:r>
        <w:r w:rsidR="00125511">
          <w:rPr>
            <w:noProof/>
            <w:webHidden/>
          </w:rPr>
        </w:r>
        <w:r w:rsidR="00125511">
          <w:rPr>
            <w:noProof/>
            <w:webHidden/>
          </w:rPr>
          <w:fldChar w:fldCharType="separate"/>
        </w:r>
        <w:r w:rsidR="00125511">
          <w:rPr>
            <w:noProof/>
            <w:webHidden/>
          </w:rPr>
          <w:t>58</w:t>
        </w:r>
        <w:r w:rsidR="00125511">
          <w:rPr>
            <w:noProof/>
            <w:webHidden/>
          </w:rPr>
          <w:fldChar w:fldCharType="end"/>
        </w:r>
      </w:hyperlink>
    </w:p>
    <w:p w:rsidR="00125511" w:rsidRDefault="00700706">
      <w:pPr>
        <w:pStyle w:val="TOC1"/>
        <w:rPr>
          <w:rFonts w:asciiTheme="minorHAnsi" w:eastAsiaTheme="minorEastAsia" w:hAnsiTheme="minorHAnsi" w:cstheme="minorBidi"/>
          <w:caps w:val="0"/>
          <w:noProof/>
          <w:sz w:val="22"/>
          <w:szCs w:val="22"/>
          <w:lang w:val="ga-IE" w:eastAsia="ga-IE"/>
        </w:rPr>
      </w:pPr>
      <w:hyperlink w:anchor="_Toc86391750" w:history="1">
        <w:r w:rsidR="00125511" w:rsidRPr="00A36F30">
          <w:rPr>
            <w:rStyle w:val="Hyperlink"/>
            <w:noProof/>
          </w:rPr>
          <w:t>Annex 2: Stakeholder consultation</w:t>
        </w:r>
        <w:r w:rsidR="00125511">
          <w:rPr>
            <w:noProof/>
            <w:webHidden/>
          </w:rPr>
          <w:tab/>
        </w:r>
        <w:r w:rsidR="00125511">
          <w:rPr>
            <w:noProof/>
            <w:webHidden/>
          </w:rPr>
          <w:fldChar w:fldCharType="begin"/>
        </w:r>
        <w:r w:rsidR="00125511">
          <w:rPr>
            <w:noProof/>
            <w:webHidden/>
          </w:rPr>
          <w:instrText xml:space="preserve"> PAGEREF _Toc86391750 \h </w:instrText>
        </w:r>
        <w:r w:rsidR="00125511">
          <w:rPr>
            <w:noProof/>
            <w:webHidden/>
          </w:rPr>
        </w:r>
        <w:r w:rsidR="00125511">
          <w:rPr>
            <w:noProof/>
            <w:webHidden/>
          </w:rPr>
          <w:fldChar w:fldCharType="separate"/>
        </w:r>
        <w:r w:rsidR="00125511">
          <w:rPr>
            <w:noProof/>
            <w:webHidden/>
          </w:rPr>
          <w:t>60</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51" w:history="1">
        <w:r w:rsidR="00125511" w:rsidRPr="00A36F30">
          <w:rPr>
            <w:rStyle w:val="Hyperlink"/>
            <w:noProof/>
          </w:rPr>
          <w:t>1.</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Introduction and overview of the consultation strategy</w:t>
        </w:r>
        <w:r w:rsidR="00125511">
          <w:rPr>
            <w:noProof/>
            <w:webHidden/>
          </w:rPr>
          <w:tab/>
        </w:r>
        <w:r w:rsidR="00125511">
          <w:rPr>
            <w:noProof/>
            <w:webHidden/>
          </w:rPr>
          <w:fldChar w:fldCharType="begin"/>
        </w:r>
        <w:r w:rsidR="00125511">
          <w:rPr>
            <w:noProof/>
            <w:webHidden/>
          </w:rPr>
          <w:instrText xml:space="preserve"> PAGEREF _Toc86391751 \h </w:instrText>
        </w:r>
        <w:r w:rsidR="00125511">
          <w:rPr>
            <w:noProof/>
            <w:webHidden/>
          </w:rPr>
        </w:r>
        <w:r w:rsidR="00125511">
          <w:rPr>
            <w:noProof/>
            <w:webHidden/>
          </w:rPr>
          <w:fldChar w:fldCharType="separate"/>
        </w:r>
        <w:r w:rsidR="00125511">
          <w:rPr>
            <w:noProof/>
            <w:webHidden/>
          </w:rPr>
          <w:t>60</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52" w:history="1">
        <w:r w:rsidR="00125511" w:rsidRPr="00A36F30">
          <w:rPr>
            <w:rStyle w:val="Hyperlink"/>
            <w:noProof/>
          </w:rPr>
          <w:t>2.</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Consultation activities and tools</w:t>
        </w:r>
        <w:r w:rsidR="00125511">
          <w:rPr>
            <w:noProof/>
            <w:webHidden/>
          </w:rPr>
          <w:tab/>
        </w:r>
        <w:r w:rsidR="00125511">
          <w:rPr>
            <w:noProof/>
            <w:webHidden/>
          </w:rPr>
          <w:fldChar w:fldCharType="begin"/>
        </w:r>
        <w:r w:rsidR="00125511">
          <w:rPr>
            <w:noProof/>
            <w:webHidden/>
          </w:rPr>
          <w:instrText xml:space="preserve"> PAGEREF _Toc86391752 \h </w:instrText>
        </w:r>
        <w:r w:rsidR="00125511">
          <w:rPr>
            <w:noProof/>
            <w:webHidden/>
          </w:rPr>
        </w:r>
        <w:r w:rsidR="00125511">
          <w:rPr>
            <w:noProof/>
            <w:webHidden/>
          </w:rPr>
          <w:fldChar w:fldCharType="separate"/>
        </w:r>
        <w:r w:rsidR="00125511">
          <w:rPr>
            <w:noProof/>
            <w:webHidden/>
          </w:rPr>
          <w:t>60</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53" w:history="1">
        <w:r w:rsidR="00125511" w:rsidRPr="00A36F30">
          <w:rPr>
            <w:rStyle w:val="Hyperlink"/>
            <w:noProof/>
          </w:rPr>
          <w:t>3.</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Evidence, sources and quality</w:t>
        </w:r>
        <w:r w:rsidR="00125511">
          <w:rPr>
            <w:noProof/>
            <w:webHidden/>
          </w:rPr>
          <w:tab/>
        </w:r>
        <w:r w:rsidR="00125511">
          <w:rPr>
            <w:noProof/>
            <w:webHidden/>
          </w:rPr>
          <w:fldChar w:fldCharType="begin"/>
        </w:r>
        <w:r w:rsidR="00125511">
          <w:rPr>
            <w:noProof/>
            <w:webHidden/>
          </w:rPr>
          <w:instrText xml:space="preserve"> PAGEREF _Toc86391753 \h </w:instrText>
        </w:r>
        <w:r w:rsidR="00125511">
          <w:rPr>
            <w:noProof/>
            <w:webHidden/>
          </w:rPr>
        </w:r>
        <w:r w:rsidR="00125511">
          <w:rPr>
            <w:noProof/>
            <w:webHidden/>
          </w:rPr>
          <w:fldChar w:fldCharType="separate"/>
        </w:r>
        <w:r w:rsidR="00125511">
          <w:rPr>
            <w:noProof/>
            <w:webHidden/>
          </w:rPr>
          <w:t>61</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54" w:history="1">
        <w:r w:rsidR="00125511" w:rsidRPr="00A36F30">
          <w:rPr>
            <w:rStyle w:val="Hyperlink"/>
            <w:noProof/>
          </w:rPr>
          <w:t>4.</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Main stakeholder feedback per consultation activity</w:t>
        </w:r>
        <w:r w:rsidR="00125511">
          <w:rPr>
            <w:noProof/>
            <w:webHidden/>
          </w:rPr>
          <w:tab/>
        </w:r>
        <w:r w:rsidR="00125511">
          <w:rPr>
            <w:noProof/>
            <w:webHidden/>
          </w:rPr>
          <w:fldChar w:fldCharType="begin"/>
        </w:r>
        <w:r w:rsidR="00125511">
          <w:rPr>
            <w:noProof/>
            <w:webHidden/>
          </w:rPr>
          <w:instrText xml:space="preserve"> PAGEREF _Toc86391754 \h </w:instrText>
        </w:r>
        <w:r w:rsidR="00125511">
          <w:rPr>
            <w:noProof/>
            <w:webHidden/>
          </w:rPr>
        </w:r>
        <w:r w:rsidR="00125511">
          <w:rPr>
            <w:noProof/>
            <w:webHidden/>
          </w:rPr>
          <w:fldChar w:fldCharType="separate"/>
        </w:r>
        <w:r w:rsidR="00125511">
          <w:rPr>
            <w:noProof/>
            <w:webHidden/>
          </w:rPr>
          <w:t>62</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55" w:history="1">
        <w:r w:rsidR="00125511" w:rsidRPr="00A36F30">
          <w:rPr>
            <w:rStyle w:val="Hyperlink"/>
            <w:noProof/>
          </w:rPr>
          <w:t>5.</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Feeding the consultation results into the Impact Assessment</w:t>
        </w:r>
        <w:r w:rsidR="00125511">
          <w:rPr>
            <w:noProof/>
            <w:webHidden/>
          </w:rPr>
          <w:tab/>
        </w:r>
        <w:r w:rsidR="00125511">
          <w:rPr>
            <w:noProof/>
            <w:webHidden/>
          </w:rPr>
          <w:fldChar w:fldCharType="begin"/>
        </w:r>
        <w:r w:rsidR="00125511">
          <w:rPr>
            <w:noProof/>
            <w:webHidden/>
          </w:rPr>
          <w:instrText xml:space="preserve"> PAGEREF _Toc86391755 \h </w:instrText>
        </w:r>
        <w:r w:rsidR="00125511">
          <w:rPr>
            <w:noProof/>
            <w:webHidden/>
          </w:rPr>
        </w:r>
        <w:r w:rsidR="00125511">
          <w:rPr>
            <w:noProof/>
            <w:webHidden/>
          </w:rPr>
          <w:fldChar w:fldCharType="separate"/>
        </w:r>
        <w:r w:rsidR="00125511">
          <w:rPr>
            <w:noProof/>
            <w:webHidden/>
          </w:rPr>
          <w:t>65</w:t>
        </w:r>
        <w:r w:rsidR="00125511">
          <w:rPr>
            <w:noProof/>
            <w:webHidden/>
          </w:rPr>
          <w:fldChar w:fldCharType="end"/>
        </w:r>
      </w:hyperlink>
    </w:p>
    <w:p w:rsidR="00125511" w:rsidRDefault="00700706">
      <w:pPr>
        <w:pStyle w:val="TOC1"/>
        <w:rPr>
          <w:rFonts w:asciiTheme="minorHAnsi" w:eastAsiaTheme="minorEastAsia" w:hAnsiTheme="minorHAnsi" w:cstheme="minorBidi"/>
          <w:caps w:val="0"/>
          <w:noProof/>
          <w:sz w:val="22"/>
          <w:szCs w:val="22"/>
          <w:lang w:val="ga-IE" w:eastAsia="ga-IE"/>
        </w:rPr>
      </w:pPr>
      <w:hyperlink w:anchor="_Toc86391756" w:history="1">
        <w:r w:rsidR="00125511" w:rsidRPr="00A36F30">
          <w:rPr>
            <w:rStyle w:val="Hyperlink"/>
            <w:noProof/>
          </w:rPr>
          <w:t>Annex 3: Who is affected and how?</w:t>
        </w:r>
        <w:r w:rsidR="00125511">
          <w:rPr>
            <w:noProof/>
            <w:webHidden/>
          </w:rPr>
          <w:tab/>
        </w:r>
        <w:r w:rsidR="00125511">
          <w:rPr>
            <w:noProof/>
            <w:webHidden/>
          </w:rPr>
          <w:fldChar w:fldCharType="begin"/>
        </w:r>
        <w:r w:rsidR="00125511">
          <w:rPr>
            <w:noProof/>
            <w:webHidden/>
          </w:rPr>
          <w:instrText xml:space="preserve"> PAGEREF _Toc86391756 \h </w:instrText>
        </w:r>
        <w:r w:rsidR="00125511">
          <w:rPr>
            <w:noProof/>
            <w:webHidden/>
          </w:rPr>
        </w:r>
        <w:r w:rsidR="00125511">
          <w:rPr>
            <w:noProof/>
            <w:webHidden/>
          </w:rPr>
          <w:fldChar w:fldCharType="separate"/>
        </w:r>
        <w:r w:rsidR="00125511">
          <w:rPr>
            <w:noProof/>
            <w:webHidden/>
          </w:rPr>
          <w:t>74</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57" w:history="1">
        <w:r w:rsidR="00125511" w:rsidRPr="00A36F30">
          <w:rPr>
            <w:rStyle w:val="Hyperlink"/>
            <w:noProof/>
          </w:rPr>
          <w:t>1.</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Practical implications of the initiative</w:t>
        </w:r>
        <w:r w:rsidR="00125511">
          <w:rPr>
            <w:noProof/>
            <w:webHidden/>
          </w:rPr>
          <w:tab/>
        </w:r>
        <w:r w:rsidR="00125511">
          <w:rPr>
            <w:noProof/>
            <w:webHidden/>
          </w:rPr>
          <w:fldChar w:fldCharType="begin"/>
        </w:r>
        <w:r w:rsidR="00125511">
          <w:rPr>
            <w:noProof/>
            <w:webHidden/>
          </w:rPr>
          <w:instrText xml:space="preserve"> PAGEREF _Toc86391757 \h </w:instrText>
        </w:r>
        <w:r w:rsidR="00125511">
          <w:rPr>
            <w:noProof/>
            <w:webHidden/>
          </w:rPr>
        </w:r>
        <w:r w:rsidR="00125511">
          <w:rPr>
            <w:noProof/>
            <w:webHidden/>
          </w:rPr>
          <w:fldChar w:fldCharType="separate"/>
        </w:r>
        <w:r w:rsidR="00125511">
          <w:rPr>
            <w:noProof/>
            <w:webHidden/>
          </w:rPr>
          <w:t>74</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58" w:history="1">
        <w:r w:rsidR="00125511" w:rsidRPr="00A36F30">
          <w:rPr>
            <w:rStyle w:val="Hyperlink"/>
            <w:noProof/>
          </w:rPr>
          <w:t>2.</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Summary of costs and benefits</w:t>
        </w:r>
        <w:r w:rsidR="00125511">
          <w:rPr>
            <w:noProof/>
            <w:webHidden/>
          </w:rPr>
          <w:tab/>
        </w:r>
        <w:r w:rsidR="00125511">
          <w:rPr>
            <w:noProof/>
            <w:webHidden/>
          </w:rPr>
          <w:fldChar w:fldCharType="begin"/>
        </w:r>
        <w:r w:rsidR="00125511">
          <w:rPr>
            <w:noProof/>
            <w:webHidden/>
          </w:rPr>
          <w:instrText xml:space="preserve"> PAGEREF _Toc86391758 \h </w:instrText>
        </w:r>
        <w:r w:rsidR="00125511">
          <w:rPr>
            <w:noProof/>
            <w:webHidden/>
          </w:rPr>
        </w:r>
        <w:r w:rsidR="00125511">
          <w:rPr>
            <w:noProof/>
            <w:webHidden/>
          </w:rPr>
          <w:fldChar w:fldCharType="separate"/>
        </w:r>
        <w:r w:rsidR="00125511">
          <w:rPr>
            <w:noProof/>
            <w:webHidden/>
          </w:rPr>
          <w:t>76</w:t>
        </w:r>
        <w:r w:rsidR="00125511">
          <w:rPr>
            <w:noProof/>
            <w:webHidden/>
          </w:rPr>
          <w:fldChar w:fldCharType="end"/>
        </w:r>
      </w:hyperlink>
    </w:p>
    <w:p w:rsidR="00125511" w:rsidRDefault="00700706">
      <w:pPr>
        <w:pStyle w:val="TOC1"/>
        <w:rPr>
          <w:rFonts w:asciiTheme="minorHAnsi" w:eastAsiaTheme="minorEastAsia" w:hAnsiTheme="minorHAnsi" w:cstheme="minorBidi"/>
          <w:caps w:val="0"/>
          <w:noProof/>
          <w:sz w:val="22"/>
          <w:szCs w:val="22"/>
          <w:lang w:val="ga-IE" w:eastAsia="ga-IE"/>
        </w:rPr>
      </w:pPr>
      <w:hyperlink w:anchor="_Toc86391759" w:history="1">
        <w:r w:rsidR="00125511" w:rsidRPr="00A36F30">
          <w:rPr>
            <w:rStyle w:val="Hyperlink"/>
            <w:noProof/>
          </w:rPr>
          <w:t>Annex 4: Analytical methods</w:t>
        </w:r>
        <w:r w:rsidR="00125511">
          <w:rPr>
            <w:noProof/>
            <w:webHidden/>
          </w:rPr>
          <w:tab/>
        </w:r>
        <w:r w:rsidR="00125511">
          <w:rPr>
            <w:noProof/>
            <w:webHidden/>
          </w:rPr>
          <w:fldChar w:fldCharType="begin"/>
        </w:r>
        <w:r w:rsidR="00125511">
          <w:rPr>
            <w:noProof/>
            <w:webHidden/>
          </w:rPr>
          <w:instrText xml:space="preserve"> PAGEREF _Toc86391759 \h </w:instrText>
        </w:r>
        <w:r w:rsidR="00125511">
          <w:rPr>
            <w:noProof/>
            <w:webHidden/>
          </w:rPr>
        </w:r>
        <w:r w:rsidR="00125511">
          <w:rPr>
            <w:noProof/>
            <w:webHidden/>
          </w:rPr>
          <w:fldChar w:fldCharType="separate"/>
        </w:r>
        <w:r w:rsidR="00125511">
          <w:rPr>
            <w:noProof/>
            <w:webHidden/>
          </w:rPr>
          <w:t>80</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60" w:history="1">
        <w:r w:rsidR="00125511" w:rsidRPr="00A36F30">
          <w:rPr>
            <w:rStyle w:val="Hyperlink"/>
            <w:noProof/>
          </w:rPr>
          <w:t>1.</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Selection of criteria and sub-criteria for assessing the impacts of the policy options</w:t>
        </w:r>
        <w:r w:rsidR="00125511">
          <w:rPr>
            <w:noProof/>
            <w:webHidden/>
          </w:rPr>
          <w:tab/>
        </w:r>
        <w:r w:rsidR="00125511">
          <w:rPr>
            <w:noProof/>
            <w:webHidden/>
          </w:rPr>
          <w:fldChar w:fldCharType="begin"/>
        </w:r>
        <w:r w:rsidR="00125511">
          <w:rPr>
            <w:noProof/>
            <w:webHidden/>
          </w:rPr>
          <w:instrText xml:space="preserve"> PAGEREF _Toc86391760 \h </w:instrText>
        </w:r>
        <w:r w:rsidR="00125511">
          <w:rPr>
            <w:noProof/>
            <w:webHidden/>
          </w:rPr>
        </w:r>
        <w:r w:rsidR="00125511">
          <w:rPr>
            <w:noProof/>
            <w:webHidden/>
          </w:rPr>
          <w:fldChar w:fldCharType="separate"/>
        </w:r>
        <w:r w:rsidR="00125511">
          <w:rPr>
            <w:noProof/>
            <w:webHidden/>
          </w:rPr>
          <w:t>80</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61" w:history="1">
        <w:r w:rsidR="00125511" w:rsidRPr="00A36F30">
          <w:rPr>
            <w:rStyle w:val="Hyperlink"/>
            <w:noProof/>
          </w:rPr>
          <w:t>2.</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General approach to assess the various impacts</w:t>
        </w:r>
        <w:r w:rsidR="00125511">
          <w:rPr>
            <w:noProof/>
            <w:webHidden/>
          </w:rPr>
          <w:tab/>
        </w:r>
        <w:r w:rsidR="00125511">
          <w:rPr>
            <w:noProof/>
            <w:webHidden/>
          </w:rPr>
          <w:fldChar w:fldCharType="begin"/>
        </w:r>
        <w:r w:rsidR="00125511">
          <w:rPr>
            <w:noProof/>
            <w:webHidden/>
          </w:rPr>
          <w:instrText xml:space="preserve"> PAGEREF _Toc86391761 \h </w:instrText>
        </w:r>
        <w:r w:rsidR="00125511">
          <w:rPr>
            <w:noProof/>
            <w:webHidden/>
          </w:rPr>
        </w:r>
        <w:r w:rsidR="00125511">
          <w:rPr>
            <w:noProof/>
            <w:webHidden/>
          </w:rPr>
          <w:fldChar w:fldCharType="separate"/>
        </w:r>
        <w:r w:rsidR="00125511">
          <w:rPr>
            <w:noProof/>
            <w:webHidden/>
          </w:rPr>
          <w:t>92</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62" w:history="1">
        <w:r w:rsidR="00125511" w:rsidRPr="00A36F30">
          <w:rPr>
            <w:rStyle w:val="Hyperlink"/>
            <w:noProof/>
          </w:rPr>
          <w:t>3.</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Socio-economic impacts</w:t>
        </w:r>
        <w:r w:rsidR="00125511">
          <w:rPr>
            <w:noProof/>
            <w:webHidden/>
          </w:rPr>
          <w:tab/>
        </w:r>
        <w:r w:rsidR="00125511">
          <w:rPr>
            <w:noProof/>
            <w:webHidden/>
          </w:rPr>
          <w:fldChar w:fldCharType="begin"/>
        </w:r>
        <w:r w:rsidR="00125511">
          <w:rPr>
            <w:noProof/>
            <w:webHidden/>
          </w:rPr>
          <w:instrText xml:space="preserve"> PAGEREF _Toc86391762 \h </w:instrText>
        </w:r>
        <w:r w:rsidR="00125511">
          <w:rPr>
            <w:noProof/>
            <w:webHidden/>
          </w:rPr>
        </w:r>
        <w:r w:rsidR="00125511">
          <w:rPr>
            <w:noProof/>
            <w:webHidden/>
          </w:rPr>
          <w:fldChar w:fldCharType="separate"/>
        </w:r>
        <w:r w:rsidR="00125511">
          <w:rPr>
            <w:noProof/>
            <w:webHidden/>
          </w:rPr>
          <w:t>92</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63" w:history="1">
        <w:r w:rsidR="00125511" w:rsidRPr="00A36F30">
          <w:rPr>
            <w:rStyle w:val="Hyperlink"/>
            <w:noProof/>
          </w:rPr>
          <w:t>4.</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Approach to monetisation of costs and benefits</w:t>
        </w:r>
        <w:r w:rsidR="00125511">
          <w:rPr>
            <w:noProof/>
            <w:webHidden/>
          </w:rPr>
          <w:tab/>
        </w:r>
        <w:r w:rsidR="00125511">
          <w:rPr>
            <w:noProof/>
            <w:webHidden/>
          </w:rPr>
          <w:fldChar w:fldCharType="begin"/>
        </w:r>
        <w:r w:rsidR="00125511">
          <w:rPr>
            <w:noProof/>
            <w:webHidden/>
          </w:rPr>
          <w:instrText xml:space="preserve"> PAGEREF _Toc86391763 \h </w:instrText>
        </w:r>
        <w:r w:rsidR="00125511">
          <w:rPr>
            <w:noProof/>
            <w:webHidden/>
          </w:rPr>
        </w:r>
        <w:r w:rsidR="00125511">
          <w:rPr>
            <w:noProof/>
            <w:webHidden/>
          </w:rPr>
          <w:fldChar w:fldCharType="separate"/>
        </w:r>
        <w:r w:rsidR="00125511">
          <w:rPr>
            <w:noProof/>
            <w:webHidden/>
          </w:rPr>
          <w:t>98</w:t>
        </w:r>
        <w:r w:rsidR="00125511">
          <w:rPr>
            <w:noProof/>
            <w:webHidden/>
          </w:rPr>
          <w:fldChar w:fldCharType="end"/>
        </w:r>
      </w:hyperlink>
    </w:p>
    <w:p w:rsidR="00125511" w:rsidRDefault="00700706">
      <w:pPr>
        <w:pStyle w:val="TOC1"/>
        <w:rPr>
          <w:rFonts w:asciiTheme="minorHAnsi" w:eastAsiaTheme="minorEastAsia" w:hAnsiTheme="minorHAnsi" w:cstheme="minorBidi"/>
          <w:caps w:val="0"/>
          <w:noProof/>
          <w:sz w:val="22"/>
          <w:szCs w:val="22"/>
          <w:lang w:val="ga-IE" w:eastAsia="ga-IE"/>
        </w:rPr>
      </w:pPr>
      <w:hyperlink w:anchor="_Toc86391764" w:history="1">
        <w:r w:rsidR="00125511" w:rsidRPr="00A36F30">
          <w:rPr>
            <w:rStyle w:val="Hyperlink"/>
            <w:noProof/>
          </w:rPr>
          <w:t>Annex 5: Additional data and explanation of estimates of consumers and environmental impacts</w:t>
        </w:r>
        <w:r w:rsidR="00125511">
          <w:rPr>
            <w:noProof/>
            <w:webHidden/>
          </w:rPr>
          <w:tab/>
        </w:r>
        <w:r w:rsidR="00125511">
          <w:rPr>
            <w:noProof/>
            <w:webHidden/>
          </w:rPr>
          <w:fldChar w:fldCharType="begin"/>
        </w:r>
        <w:r w:rsidR="00125511">
          <w:rPr>
            <w:noProof/>
            <w:webHidden/>
          </w:rPr>
          <w:instrText xml:space="preserve"> PAGEREF _Toc86391764 \h </w:instrText>
        </w:r>
        <w:r w:rsidR="00125511">
          <w:rPr>
            <w:noProof/>
            <w:webHidden/>
          </w:rPr>
        </w:r>
        <w:r w:rsidR="00125511">
          <w:rPr>
            <w:noProof/>
            <w:webHidden/>
          </w:rPr>
          <w:fldChar w:fldCharType="separate"/>
        </w:r>
        <w:r w:rsidR="00125511">
          <w:rPr>
            <w:noProof/>
            <w:webHidden/>
          </w:rPr>
          <w:t>133</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65" w:history="1">
        <w:r w:rsidR="00125511" w:rsidRPr="00A36F30">
          <w:rPr>
            <w:rStyle w:val="Hyperlink"/>
            <w:noProof/>
          </w:rPr>
          <w:t>1.</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Problem 1: Consumers lack reliable information at the point of sale to make environmentally sustainable consumption choices</w:t>
        </w:r>
        <w:r w:rsidR="00125511">
          <w:rPr>
            <w:noProof/>
            <w:webHidden/>
          </w:rPr>
          <w:tab/>
        </w:r>
        <w:r w:rsidR="00125511">
          <w:rPr>
            <w:noProof/>
            <w:webHidden/>
          </w:rPr>
          <w:fldChar w:fldCharType="begin"/>
        </w:r>
        <w:r w:rsidR="00125511">
          <w:rPr>
            <w:noProof/>
            <w:webHidden/>
          </w:rPr>
          <w:instrText xml:space="preserve"> PAGEREF _Toc86391765 \h </w:instrText>
        </w:r>
        <w:r w:rsidR="00125511">
          <w:rPr>
            <w:noProof/>
            <w:webHidden/>
          </w:rPr>
        </w:r>
        <w:r w:rsidR="00125511">
          <w:rPr>
            <w:noProof/>
            <w:webHidden/>
          </w:rPr>
          <w:fldChar w:fldCharType="separate"/>
        </w:r>
        <w:r w:rsidR="00125511">
          <w:rPr>
            <w:noProof/>
            <w:webHidden/>
          </w:rPr>
          <w:t>133</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66" w:history="1">
        <w:r w:rsidR="00125511" w:rsidRPr="00A36F30">
          <w:rPr>
            <w:rStyle w:val="Hyperlink"/>
            <w:noProof/>
          </w:rPr>
          <w:t>2.</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Problem 2: Consumers face misleading commercial practices related to the sustainability of products</w:t>
        </w:r>
        <w:r w:rsidR="00125511">
          <w:rPr>
            <w:noProof/>
            <w:webHidden/>
          </w:rPr>
          <w:tab/>
        </w:r>
        <w:r w:rsidR="00125511">
          <w:rPr>
            <w:noProof/>
            <w:webHidden/>
          </w:rPr>
          <w:fldChar w:fldCharType="begin"/>
        </w:r>
        <w:r w:rsidR="00125511">
          <w:rPr>
            <w:noProof/>
            <w:webHidden/>
          </w:rPr>
          <w:instrText xml:space="preserve"> PAGEREF _Toc86391766 \h </w:instrText>
        </w:r>
        <w:r w:rsidR="00125511">
          <w:rPr>
            <w:noProof/>
            <w:webHidden/>
          </w:rPr>
        </w:r>
        <w:r w:rsidR="00125511">
          <w:rPr>
            <w:noProof/>
            <w:webHidden/>
          </w:rPr>
          <w:fldChar w:fldCharType="separate"/>
        </w:r>
        <w:r w:rsidR="00125511">
          <w:rPr>
            <w:noProof/>
            <w:webHidden/>
          </w:rPr>
          <w:t>139</w:t>
        </w:r>
        <w:r w:rsidR="00125511">
          <w:rPr>
            <w:noProof/>
            <w:webHidden/>
          </w:rPr>
          <w:fldChar w:fldCharType="end"/>
        </w:r>
      </w:hyperlink>
    </w:p>
    <w:p w:rsidR="00125511" w:rsidRDefault="00700706">
      <w:pPr>
        <w:pStyle w:val="TOC1"/>
        <w:rPr>
          <w:rFonts w:asciiTheme="minorHAnsi" w:eastAsiaTheme="minorEastAsia" w:hAnsiTheme="minorHAnsi" w:cstheme="minorBidi"/>
          <w:caps w:val="0"/>
          <w:noProof/>
          <w:sz w:val="22"/>
          <w:szCs w:val="22"/>
          <w:lang w:val="ga-IE" w:eastAsia="ga-IE"/>
        </w:rPr>
      </w:pPr>
      <w:hyperlink w:anchor="_Toc86391767" w:history="1">
        <w:r w:rsidR="00125511" w:rsidRPr="00A36F30">
          <w:rPr>
            <w:rStyle w:val="Hyperlink"/>
            <w:noProof/>
          </w:rPr>
          <w:t>Annex 6: Overview of relevant existing and upcoming national legislative initiatives</w:t>
        </w:r>
        <w:r w:rsidR="00125511">
          <w:rPr>
            <w:noProof/>
            <w:webHidden/>
          </w:rPr>
          <w:tab/>
        </w:r>
        <w:r w:rsidR="00125511">
          <w:rPr>
            <w:noProof/>
            <w:webHidden/>
          </w:rPr>
          <w:fldChar w:fldCharType="begin"/>
        </w:r>
        <w:r w:rsidR="00125511">
          <w:rPr>
            <w:noProof/>
            <w:webHidden/>
          </w:rPr>
          <w:instrText xml:space="preserve"> PAGEREF _Toc86391767 \h </w:instrText>
        </w:r>
        <w:r w:rsidR="00125511">
          <w:rPr>
            <w:noProof/>
            <w:webHidden/>
          </w:rPr>
        </w:r>
        <w:r w:rsidR="00125511">
          <w:rPr>
            <w:noProof/>
            <w:webHidden/>
          </w:rPr>
          <w:fldChar w:fldCharType="separate"/>
        </w:r>
        <w:r w:rsidR="00125511">
          <w:rPr>
            <w:noProof/>
            <w:webHidden/>
          </w:rPr>
          <w:t>143</w:t>
        </w:r>
        <w:r w:rsidR="00125511">
          <w:rPr>
            <w:noProof/>
            <w:webHidden/>
          </w:rPr>
          <w:fldChar w:fldCharType="end"/>
        </w:r>
      </w:hyperlink>
    </w:p>
    <w:p w:rsidR="00125511" w:rsidRDefault="00700706">
      <w:pPr>
        <w:pStyle w:val="TOC1"/>
        <w:rPr>
          <w:rFonts w:asciiTheme="minorHAnsi" w:eastAsiaTheme="minorEastAsia" w:hAnsiTheme="minorHAnsi" w:cstheme="minorBidi"/>
          <w:caps w:val="0"/>
          <w:noProof/>
          <w:sz w:val="22"/>
          <w:szCs w:val="22"/>
          <w:lang w:val="ga-IE" w:eastAsia="ga-IE"/>
        </w:rPr>
      </w:pPr>
      <w:hyperlink w:anchor="_Toc86391768" w:history="1">
        <w:r w:rsidR="00125511" w:rsidRPr="00A36F30">
          <w:rPr>
            <w:rStyle w:val="Hyperlink"/>
            <w:noProof/>
          </w:rPr>
          <w:t>Annex 7: Overview of EU legislation relevant for the problems the initiative aims to address</w:t>
        </w:r>
        <w:r w:rsidR="00125511">
          <w:rPr>
            <w:noProof/>
            <w:webHidden/>
          </w:rPr>
          <w:tab/>
        </w:r>
        <w:r w:rsidR="00125511">
          <w:rPr>
            <w:noProof/>
            <w:webHidden/>
          </w:rPr>
          <w:fldChar w:fldCharType="begin"/>
        </w:r>
        <w:r w:rsidR="00125511">
          <w:rPr>
            <w:noProof/>
            <w:webHidden/>
          </w:rPr>
          <w:instrText xml:space="preserve"> PAGEREF _Toc86391768 \h </w:instrText>
        </w:r>
        <w:r w:rsidR="00125511">
          <w:rPr>
            <w:noProof/>
            <w:webHidden/>
          </w:rPr>
        </w:r>
        <w:r w:rsidR="00125511">
          <w:rPr>
            <w:noProof/>
            <w:webHidden/>
          </w:rPr>
          <w:fldChar w:fldCharType="separate"/>
        </w:r>
        <w:r w:rsidR="00125511">
          <w:rPr>
            <w:noProof/>
            <w:webHidden/>
          </w:rPr>
          <w:t>149</w:t>
        </w:r>
        <w:r w:rsidR="00125511">
          <w:rPr>
            <w:noProof/>
            <w:webHidden/>
          </w:rPr>
          <w:fldChar w:fldCharType="end"/>
        </w:r>
      </w:hyperlink>
    </w:p>
    <w:p w:rsidR="00125511" w:rsidRDefault="00700706">
      <w:pPr>
        <w:pStyle w:val="TOC1"/>
        <w:rPr>
          <w:rFonts w:asciiTheme="minorHAnsi" w:eastAsiaTheme="minorEastAsia" w:hAnsiTheme="minorHAnsi" w:cstheme="minorBidi"/>
          <w:caps w:val="0"/>
          <w:noProof/>
          <w:sz w:val="22"/>
          <w:szCs w:val="22"/>
          <w:lang w:val="ga-IE" w:eastAsia="ga-IE"/>
        </w:rPr>
      </w:pPr>
      <w:hyperlink w:anchor="_Toc86391769" w:history="1">
        <w:r w:rsidR="00125511" w:rsidRPr="00A36F30">
          <w:rPr>
            <w:rStyle w:val="Hyperlink"/>
            <w:noProof/>
          </w:rPr>
          <w:t>Annex 8: Impacts of the policy options – detailed assessment</w:t>
        </w:r>
        <w:r w:rsidR="00125511">
          <w:rPr>
            <w:noProof/>
            <w:webHidden/>
          </w:rPr>
          <w:tab/>
        </w:r>
        <w:r w:rsidR="00125511">
          <w:rPr>
            <w:noProof/>
            <w:webHidden/>
          </w:rPr>
          <w:fldChar w:fldCharType="begin"/>
        </w:r>
        <w:r w:rsidR="00125511">
          <w:rPr>
            <w:noProof/>
            <w:webHidden/>
          </w:rPr>
          <w:instrText xml:space="preserve"> PAGEREF _Toc86391769 \h </w:instrText>
        </w:r>
        <w:r w:rsidR="00125511">
          <w:rPr>
            <w:noProof/>
            <w:webHidden/>
          </w:rPr>
        </w:r>
        <w:r w:rsidR="00125511">
          <w:rPr>
            <w:noProof/>
            <w:webHidden/>
          </w:rPr>
          <w:fldChar w:fldCharType="separate"/>
        </w:r>
        <w:r w:rsidR="00125511">
          <w:rPr>
            <w:noProof/>
            <w:webHidden/>
          </w:rPr>
          <w:t>165</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70" w:history="1">
        <w:r w:rsidR="00125511" w:rsidRPr="00A36F30">
          <w:rPr>
            <w:rStyle w:val="Hyperlink"/>
            <w:noProof/>
          </w:rPr>
          <w:t>1.</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Problem 1: Consumers lack reliable information at the point of sale to make environmentally sustainable consumption choices</w:t>
        </w:r>
        <w:r w:rsidR="00125511">
          <w:rPr>
            <w:noProof/>
            <w:webHidden/>
          </w:rPr>
          <w:tab/>
        </w:r>
        <w:r w:rsidR="00125511">
          <w:rPr>
            <w:noProof/>
            <w:webHidden/>
          </w:rPr>
          <w:fldChar w:fldCharType="begin"/>
        </w:r>
        <w:r w:rsidR="00125511">
          <w:rPr>
            <w:noProof/>
            <w:webHidden/>
          </w:rPr>
          <w:instrText xml:space="preserve"> PAGEREF _Toc86391770 \h </w:instrText>
        </w:r>
        <w:r w:rsidR="00125511">
          <w:rPr>
            <w:noProof/>
            <w:webHidden/>
          </w:rPr>
        </w:r>
        <w:r w:rsidR="00125511">
          <w:rPr>
            <w:noProof/>
            <w:webHidden/>
          </w:rPr>
          <w:fldChar w:fldCharType="separate"/>
        </w:r>
        <w:r w:rsidR="00125511">
          <w:rPr>
            <w:noProof/>
            <w:webHidden/>
          </w:rPr>
          <w:t>165</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71" w:history="1">
        <w:r w:rsidR="00125511" w:rsidRPr="00A36F30">
          <w:rPr>
            <w:rStyle w:val="Hyperlink"/>
            <w:noProof/>
          </w:rPr>
          <w:t>2.</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Problem 2: Consumers face misleading commercial practices related to the sustainability of products</w:t>
        </w:r>
        <w:r w:rsidR="00125511">
          <w:rPr>
            <w:noProof/>
            <w:webHidden/>
          </w:rPr>
          <w:tab/>
        </w:r>
        <w:r w:rsidR="00125511">
          <w:rPr>
            <w:noProof/>
            <w:webHidden/>
          </w:rPr>
          <w:fldChar w:fldCharType="begin"/>
        </w:r>
        <w:r w:rsidR="00125511">
          <w:rPr>
            <w:noProof/>
            <w:webHidden/>
          </w:rPr>
          <w:instrText xml:space="preserve"> PAGEREF _Toc86391771 \h </w:instrText>
        </w:r>
        <w:r w:rsidR="00125511">
          <w:rPr>
            <w:noProof/>
            <w:webHidden/>
          </w:rPr>
        </w:r>
        <w:r w:rsidR="00125511">
          <w:rPr>
            <w:noProof/>
            <w:webHidden/>
          </w:rPr>
          <w:fldChar w:fldCharType="separate"/>
        </w:r>
        <w:r w:rsidR="00125511">
          <w:rPr>
            <w:noProof/>
            <w:webHidden/>
          </w:rPr>
          <w:t>183</w:t>
        </w:r>
        <w:r w:rsidR="00125511">
          <w:rPr>
            <w:noProof/>
            <w:webHidden/>
          </w:rPr>
          <w:fldChar w:fldCharType="end"/>
        </w:r>
      </w:hyperlink>
    </w:p>
    <w:p w:rsidR="00125511" w:rsidRDefault="00700706">
      <w:pPr>
        <w:pStyle w:val="TOC1"/>
        <w:rPr>
          <w:rFonts w:asciiTheme="minorHAnsi" w:eastAsiaTheme="minorEastAsia" w:hAnsiTheme="minorHAnsi" w:cstheme="minorBidi"/>
          <w:caps w:val="0"/>
          <w:noProof/>
          <w:sz w:val="22"/>
          <w:szCs w:val="22"/>
          <w:lang w:val="ga-IE" w:eastAsia="ga-IE"/>
        </w:rPr>
      </w:pPr>
      <w:hyperlink w:anchor="_Toc86391772" w:history="1">
        <w:r w:rsidR="00125511" w:rsidRPr="00A36F30">
          <w:rPr>
            <w:rStyle w:val="Hyperlink"/>
            <w:noProof/>
          </w:rPr>
          <w:t>Annex 9: Detailed results from the Cost and Benefit Analysis and from the Multi-Criteria Analysis</w:t>
        </w:r>
        <w:r w:rsidR="00125511">
          <w:rPr>
            <w:noProof/>
            <w:webHidden/>
          </w:rPr>
          <w:tab/>
        </w:r>
        <w:r w:rsidR="00125511">
          <w:rPr>
            <w:noProof/>
            <w:webHidden/>
          </w:rPr>
          <w:fldChar w:fldCharType="begin"/>
        </w:r>
        <w:r w:rsidR="00125511">
          <w:rPr>
            <w:noProof/>
            <w:webHidden/>
          </w:rPr>
          <w:instrText xml:space="preserve"> PAGEREF _Toc86391772 \h </w:instrText>
        </w:r>
        <w:r w:rsidR="00125511">
          <w:rPr>
            <w:noProof/>
            <w:webHidden/>
          </w:rPr>
        </w:r>
        <w:r w:rsidR="00125511">
          <w:rPr>
            <w:noProof/>
            <w:webHidden/>
          </w:rPr>
          <w:fldChar w:fldCharType="separate"/>
        </w:r>
        <w:r w:rsidR="00125511">
          <w:rPr>
            <w:noProof/>
            <w:webHidden/>
          </w:rPr>
          <w:t>201</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73" w:history="1">
        <w:r w:rsidR="00125511" w:rsidRPr="00A36F30">
          <w:rPr>
            <w:rStyle w:val="Hyperlink"/>
            <w:noProof/>
          </w:rPr>
          <w:t>1.</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General approach to compare the various option/options</w:t>
        </w:r>
        <w:r w:rsidR="00125511">
          <w:rPr>
            <w:noProof/>
            <w:webHidden/>
          </w:rPr>
          <w:tab/>
        </w:r>
        <w:r w:rsidR="00125511">
          <w:rPr>
            <w:noProof/>
            <w:webHidden/>
          </w:rPr>
          <w:fldChar w:fldCharType="begin"/>
        </w:r>
        <w:r w:rsidR="00125511">
          <w:rPr>
            <w:noProof/>
            <w:webHidden/>
          </w:rPr>
          <w:instrText xml:space="preserve"> PAGEREF _Toc86391773 \h </w:instrText>
        </w:r>
        <w:r w:rsidR="00125511">
          <w:rPr>
            <w:noProof/>
            <w:webHidden/>
          </w:rPr>
        </w:r>
        <w:r w:rsidR="00125511">
          <w:rPr>
            <w:noProof/>
            <w:webHidden/>
          </w:rPr>
          <w:fldChar w:fldCharType="separate"/>
        </w:r>
        <w:r w:rsidR="00125511">
          <w:rPr>
            <w:noProof/>
            <w:webHidden/>
          </w:rPr>
          <w:t>201</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74" w:history="1">
        <w:r w:rsidR="00125511" w:rsidRPr="00A36F30">
          <w:rPr>
            <w:rStyle w:val="Hyperlink"/>
            <w:noProof/>
            <w:lang w:eastAsia="fr-BE"/>
          </w:rPr>
          <w:t>2.</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Presentation of the results per sub-problems</w:t>
        </w:r>
        <w:r w:rsidR="00125511">
          <w:rPr>
            <w:noProof/>
            <w:webHidden/>
          </w:rPr>
          <w:tab/>
        </w:r>
        <w:r w:rsidR="00125511">
          <w:rPr>
            <w:noProof/>
            <w:webHidden/>
          </w:rPr>
          <w:fldChar w:fldCharType="begin"/>
        </w:r>
        <w:r w:rsidR="00125511">
          <w:rPr>
            <w:noProof/>
            <w:webHidden/>
          </w:rPr>
          <w:instrText xml:space="preserve"> PAGEREF _Toc86391774 \h </w:instrText>
        </w:r>
        <w:r w:rsidR="00125511">
          <w:rPr>
            <w:noProof/>
            <w:webHidden/>
          </w:rPr>
        </w:r>
        <w:r w:rsidR="00125511">
          <w:rPr>
            <w:noProof/>
            <w:webHidden/>
          </w:rPr>
          <w:fldChar w:fldCharType="separate"/>
        </w:r>
        <w:r w:rsidR="00125511">
          <w:rPr>
            <w:noProof/>
            <w:webHidden/>
          </w:rPr>
          <w:t>204</w:t>
        </w:r>
        <w:r w:rsidR="00125511">
          <w:rPr>
            <w:noProof/>
            <w:webHidden/>
          </w:rPr>
          <w:fldChar w:fldCharType="end"/>
        </w:r>
      </w:hyperlink>
    </w:p>
    <w:p w:rsidR="00125511" w:rsidRDefault="00700706">
      <w:pPr>
        <w:pStyle w:val="TOC1"/>
        <w:rPr>
          <w:rFonts w:asciiTheme="minorHAnsi" w:eastAsiaTheme="minorEastAsia" w:hAnsiTheme="minorHAnsi" w:cstheme="minorBidi"/>
          <w:caps w:val="0"/>
          <w:noProof/>
          <w:sz w:val="22"/>
          <w:szCs w:val="22"/>
          <w:lang w:val="ga-IE" w:eastAsia="ga-IE"/>
        </w:rPr>
      </w:pPr>
      <w:hyperlink w:anchor="_Toc86391775" w:history="1">
        <w:r w:rsidR="00125511" w:rsidRPr="00A36F30">
          <w:rPr>
            <w:rStyle w:val="Hyperlink"/>
            <w:noProof/>
          </w:rPr>
          <w:t>Annex 10: Monitoring indicators</w:t>
        </w:r>
        <w:r w:rsidR="00125511">
          <w:rPr>
            <w:noProof/>
            <w:webHidden/>
          </w:rPr>
          <w:tab/>
        </w:r>
        <w:r w:rsidR="00125511">
          <w:rPr>
            <w:noProof/>
            <w:webHidden/>
          </w:rPr>
          <w:fldChar w:fldCharType="begin"/>
        </w:r>
        <w:r w:rsidR="00125511">
          <w:rPr>
            <w:noProof/>
            <w:webHidden/>
          </w:rPr>
          <w:instrText xml:space="preserve"> PAGEREF _Toc86391775 \h </w:instrText>
        </w:r>
        <w:r w:rsidR="00125511">
          <w:rPr>
            <w:noProof/>
            <w:webHidden/>
          </w:rPr>
        </w:r>
        <w:r w:rsidR="00125511">
          <w:rPr>
            <w:noProof/>
            <w:webHidden/>
          </w:rPr>
          <w:fldChar w:fldCharType="separate"/>
        </w:r>
        <w:r w:rsidR="00125511">
          <w:rPr>
            <w:noProof/>
            <w:webHidden/>
          </w:rPr>
          <w:t>239</w:t>
        </w:r>
        <w:r w:rsidR="00125511">
          <w:rPr>
            <w:noProof/>
            <w:webHidden/>
          </w:rPr>
          <w:fldChar w:fldCharType="end"/>
        </w:r>
      </w:hyperlink>
    </w:p>
    <w:p w:rsidR="00125511" w:rsidRDefault="00700706">
      <w:pPr>
        <w:pStyle w:val="TOC1"/>
        <w:rPr>
          <w:rFonts w:asciiTheme="minorHAnsi" w:eastAsiaTheme="minorEastAsia" w:hAnsiTheme="minorHAnsi" w:cstheme="minorBidi"/>
          <w:caps w:val="0"/>
          <w:noProof/>
          <w:sz w:val="22"/>
          <w:szCs w:val="22"/>
          <w:lang w:val="ga-IE" w:eastAsia="ga-IE"/>
        </w:rPr>
      </w:pPr>
      <w:hyperlink w:anchor="_Toc86391776" w:history="1">
        <w:r w:rsidR="00125511" w:rsidRPr="00A36F30">
          <w:rPr>
            <w:rStyle w:val="Hyperlink"/>
            <w:noProof/>
          </w:rPr>
          <w:t>Annex 11: Options discarded at an early stage</w:t>
        </w:r>
        <w:r w:rsidR="00125511">
          <w:rPr>
            <w:noProof/>
            <w:webHidden/>
          </w:rPr>
          <w:tab/>
        </w:r>
        <w:r w:rsidR="00125511">
          <w:rPr>
            <w:noProof/>
            <w:webHidden/>
          </w:rPr>
          <w:fldChar w:fldCharType="begin"/>
        </w:r>
        <w:r w:rsidR="00125511">
          <w:rPr>
            <w:noProof/>
            <w:webHidden/>
          </w:rPr>
          <w:instrText xml:space="preserve"> PAGEREF _Toc86391776 \h </w:instrText>
        </w:r>
        <w:r w:rsidR="00125511">
          <w:rPr>
            <w:noProof/>
            <w:webHidden/>
          </w:rPr>
        </w:r>
        <w:r w:rsidR="00125511">
          <w:rPr>
            <w:noProof/>
            <w:webHidden/>
          </w:rPr>
          <w:fldChar w:fldCharType="separate"/>
        </w:r>
        <w:r w:rsidR="00125511">
          <w:rPr>
            <w:noProof/>
            <w:webHidden/>
          </w:rPr>
          <w:t>242</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77" w:history="1">
        <w:r w:rsidR="00125511" w:rsidRPr="00A36F30">
          <w:rPr>
            <w:rStyle w:val="Hyperlink"/>
            <w:noProof/>
          </w:rPr>
          <w:t>1.</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Problem 1: Consumers lack reliable information at the point of sale to make environmentally sustainable consumption choices</w:t>
        </w:r>
        <w:r w:rsidR="00125511">
          <w:rPr>
            <w:noProof/>
            <w:webHidden/>
          </w:rPr>
          <w:tab/>
        </w:r>
        <w:r w:rsidR="00125511">
          <w:rPr>
            <w:noProof/>
            <w:webHidden/>
          </w:rPr>
          <w:fldChar w:fldCharType="begin"/>
        </w:r>
        <w:r w:rsidR="00125511">
          <w:rPr>
            <w:noProof/>
            <w:webHidden/>
          </w:rPr>
          <w:instrText xml:space="preserve"> PAGEREF _Toc86391777 \h </w:instrText>
        </w:r>
        <w:r w:rsidR="00125511">
          <w:rPr>
            <w:noProof/>
            <w:webHidden/>
          </w:rPr>
        </w:r>
        <w:r w:rsidR="00125511">
          <w:rPr>
            <w:noProof/>
            <w:webHidden/>
          </w:rPr>
          <w:fldChar w:fldCharType="separate"/>
        </w:r>
        <w:r w:rsidR="00125511">
          <w:rPr>
            <w:noProof/>
            <w:webHidden/>
          </w:rPr>
          <w:t>242</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78" w:history="1">
        <w:r w:rsidR="00125511" w:rsidRPr="00A36F30">
          <w:rPr>
            <w:rStyle w:val="Hyperlink"/>
            <w:noProof/>
          </w:rPr>
          <w:t>2.</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Problem 2: Consumers face misleading commercial practices related to the sustainability of products</w:t>
        </w:r>
        <w:r w:rsidR="00125511">
          <w:rPr>
            <w:noProof/>
            <w:webHidden/>
          </w:rPr>
          <w:tab/>
        </w:r>
        <w:r w:rsidR="00125511">
          <w:rPr>
            <w:noProof/>
            <w:webHidden/>
          </w:rPr>
          <w:fldChar w:fldCharType="begin"/>
        </w:r>
        <w:r w:rsidR="00125511">
          <w:rPr>
            <w:noProof/>
            <w:webHidden/>
          </w:rPr>
          <w:instrText xml:space="preserve"> PAGEREF _Toc86391778 \h </w:instrText>
        </w:r>
        <w:r w:rsidR="00125511">
          <w:rPr>
            <w:noProof/>
            <w:webHidden/>
          </w:rPr>
        </w:r>
        <w:r w:rsidR="00125511">
          <w:rPr>
            <w:noProof/>
            <w:webHidden/>
          </w:rPr>
          <w:fldChar w:fldCharType="separate"/>
        </w:r>
        <w:r w:rsidR="00125511">
          <w:rPr>
            <w:noProof/>
            <w:webHidden/>
          </w:rPr>
          <w:t>245</w:t>
        </w:r>
        <w:r w:rsidR="00125511">
          <w:rPr>
            <w:noProof/>
            <w:webHidden/>
          </w:rPr>
          <w:fldChar w:fldCharType="end"/>
        </w:r>
      </w:hyperlink>
    </w:p>
    <w:p w:rsidR="00125511" w:rsidRDefault="00700706">
      <w:pPr>
        <w:pStyle w:val="TOC1"/>
        <w:rPr>
          <w:rFonts w:asciiTheme="minorHAnsi" w:eastAsiaTheme="minorEastAsia" w:hAnsiTheme="minorHAnsi" w:cstheme="minorBidi"/>
          <w:caps w:val="0"/>
          <w:noProof/>
          <w:sz w:val="22"/>
          <w:szCs w:val="22"/>
          <w:lang w:val="ga-IE" w:eastAsia="ga-IE"/>
        </w:rPr>
      </w:pPr>
      <w:hyperlink w:anchor="_Toc86391779" w:history="1">
        <w:r w:rsidR="00125511" w:rsidRPr="00A36F30">
          <w:rPr>
            <w:rStyle w:val="Hyperlink"/>
            <w:noProof/>
          </w:rPr>
          <w:t>Annex 12: Consequences of the problems for Consumers, the Market and the Environment</w:t>
        </w:r>
        <w:r w:rsidR="00125511">
          <w:rPr>
            <w:noProof/>
            <w:webHidden/>
          </w:rPr>
          <w:tab/>
        </w:r>
        <w:r w:rsidR="00125511">
          <w:rPr>
            <w:noProof/>
            <w:webHidden/>
          </w:rPr>
          <w:fldChar w:fldCharType="begin"/>
        </w:r>
        <w:r w:rsidR="00125511">
          <w:rPr>
            <w:noProof/>
            <w:webHidden/>
          </w:rPr>
          <w:instrText xml:space="preserve"> PAGEREF _Toc86391779 \h </w:instrText>
        </w:r>
        <w:r w:rsidR="00125511">
          <w:rPr>
            <w:noProof/>
            <w:webHidden/>
          </w:rPr>
        </w:r>
        <w:r w:rsidR="00125511">
          <w:rPr>
            <w:noProof/>
            <w:webHidden/>
          </w:rPr>
          <w:fldChar w:fldCharType="separate"/>
        </w:r>
        <w:r w:rsidR="00125511">
          <w:rPr>
            <w:noProof/>
            <w:webHidden/>
          </w:rPr>
          <w:t>247</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80" w:history="1">
        <w:r w:rsidR="00125511" w:rsidRPr="00A36F30">
          <w:rPr>
            <w:rStyle w:val="Hyperlink"/>
            <w:noProof/>
          </w:rPr>
          <w:t>1.</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Consequences of Problem 1</w:t>
        </w:r>
        <w:r w:rsidR="00125511">
          <w:rPr>
            <w:noProof/>
            <w:webHidden/>
          </w:rPr>
          <w:tab/>
        </w:r>
        <w:r w:rsidR="00125511">
          <w:rPr>
            <w:noProof/>
            <w:webHidden/>
          </w:rPr>
          <w:fldChar w:fldCharType="begin"/>
        </w:r>
        <w:r w:rsidR="00125511">
          <w:rPr>
            <w:noProof/>
            <w:webHidden/>
          </w:rPr>
          <w:instrText xml:space="preserve"> PAGEREF _Toc86391780 \h </w:instrText>
        </w:r>
        <w:r w:rsidR="00125511">
          <w:rPr>
            <w:noProof/>
            <w:webHidden/>
          </w:rPr>
        </w:r>
        <w:r w:rsidR="00125511">
          <w:rPr>
            <w:noProof/>
            <w:webHidden/>
          </w:rPr>
          <w:fldChar w:fldCharType="separate"/>
        </w:r>
        <w:r w:rsidR="00125511">
          <w:rPr>
            <w:noProof/>
            <w:webHidden/>
          </w:rPr>
          <w:t>247</w:t>
        </w:r>
        <w:r w:rsidR="00125511">
          <w:rPr>
            <w:noProof/>
            <w:webHidden/>
          </w:rPr>
          <w:fldChar w:fldCharType="end"/>
        </w:r>
      </w:hyperlink>
    </w:p>
    <w:p w:rsidR="00125511" w:rsidRDefault="00700706">
      <w:pPr>
        <w:pStyle w:val="TOC2"/>
        <w:tabs>
          <w:tab w:val="left" w:pos="1077"/>
        </w:tabs>
        <w:rPr>
          <w:rFonts w:asciiTheme="minorHAnsi" w:eastAsiaTheme="minorEastAsia" w:hAnsiTheme="minorHAnsi" w:cstheme="minorBidi"/>
          <w:noProof/>
          <w:sz w:val="22"/>
          <w:szCs w:val="22"/>
          <w:lang w:val="ga-IE" w:eastAsia="ga-IE"/>
        </w:rPr>
      </w:pPr>
      <w:hyperlink w:anchor="_Toc86391781" w:history="1">
        <w:r w:rsidR="00125511" w:rsidRPr="00A36F30">
          <w:rPr>
            <w:rStyle w:val="Hyperlink"/>
            <w:noProof/>
          </w:rPr>
          <w:t>2.</w:t>
        </w:r>
        <w:r w:rsidR="00125511">
          <w:rPr>
            <w:rFonts w:asciiTheme="minorHAnsi" w:eastAsiaTheme="minorEastAsia" w:hAnsiTheme="minorHAnsi" w:cstheme="minorBidi"/>
            <w:noProof/>
            <w:sz w:val="22"/>
            <w:szCs w:val="22"/>
            <w:lang w:val="ga-IE" w:eastAsia="ga-IE"/>
          </w:rPr>
          <w:tab/>
        </w:r>
        <w:r w:rsidR="00125511" w:rsidRPr="00A36F30">
          <w:rPr>
            <w:rStyle w:val="Hyperlink"/>
            <w:noProof/>
          </w:rPr>
          <w:t>Consequences of Problem 2</w:t>
        </w:r>
        <w:r w:rsidR="00125511">
          <w:rPr>
            <w:noProof/>
            <w:webHidden/>
          </w:rPr>
          <w:tab/>
        </w:r>
        <w:r w:rsidR="00125511">
          <w:rPr>
            <w:noProof/>
            <w:webHidden/>
          </w:rPr>
          <w:fldChar w:fldCharType="begin"/>
        </w:r>
        <w:r w:rsidR="00125511">
          <w:rPr>
            <w:noProof/>
            <w:webHidden/>
          </w:rPr>
          <w:instrText xml:space="preserve"> PAGEREF _Toc86391781 \h </w:instrText>
        </w:r>
        <w:r w:rsidR="00125511">
          <w:rPr>
            <w:noProof/>
            <w:webHidden/>
          </w:rPr>
        </w:r>
        <w:r w:rsidR="00125511">
          <w:rPr>
            <w:noProof/>
            <w:webHidden/>
          </w:rPr>
          <w:fldChar w:fldCharType="separate"/>
        </w:r>
        <w:r w:rsidR="00125511">
          <w:rPr>
            <w:noProof/>
            <w:webHidden/>
          </w:rPr>
          <w:t>250</w:t>
        </w:r>
        <w:r w:rsidR="00125511">
          <w:rPr>
            <w:noProof/>
            <w:webHidden/>
          </w:rPr>
          <w:fldChar w:fldCharType="end"/>
        </w:r>
      </w:hyperlink>
    </w:p>
    <w:p w:rsidR="00125511" w:rsidRDefault="00700706">
      <w:pPr>
        <w:pStyle w:val="TOC1"/>
        <w:rPr>
          <w:rFonts w:asciiTheme="minorHAnsi" w:eastAsiaTheme="minorEastAsia" w:hAnsiTheme="minorHAnsi" w:cstheme="minorBidi"/>
          <w:caps w:val="0"/>
          <w:noProof/>
          <w:sz w:val="22"/>
          <w:szCs w:val="22"/>
          <w:lang w:val="ga-IE" w:eastAsia="ga-IE"/>
        </w:rPr>
      </w:pPr>
      <w:hyperlink w:anchor="_Toc86391782" w:history="1">
        <w:r w:rsidR="00125511" w:rsidRPr="00A36F30">
          <w:rPr>
            <w:rStyle w:val="Hyperlink"/>
            <w:noProof/>
          </w:rPr>
          <w:t>Annex 13: Analysis of product scope for providing durability/reparability information</w:t>
        </w:r>
        <w:r w:rsidR="00125511">
          <w:rPr>
            <w:noProof/>
            <w:webHidden/>
          </w:rPr>
          <w:tab/>
        </w:r>
        <w:r w:rsidR="00125511">
          <w:rPr>
            <w:noProof/>
            <w:webHidden/>
          </w:rPr>
          <w:fldChar w:fldCharType="begin"/>
        </w:r>
        <w:r w:rsidR="00125511">
          <w:rPr>
            <w:noProof/>
            <w:webHidden/>
          </w:rPr>
          <w:instrText xml:space="preserve"> PAGEREF _Toc86391782 \h </w:instrText>
        </w:r>
        <w:r w:rsidR="00125511">
          <w:rPr>
            <w:noProof/>
            <w:webHidden/>
          </w:rPr>
        </w:r>
        <w:r w:rsidR="00125511">
          <w:rPr>
            <w:noProof/>
            <w:webHidden/>
          </w:rPr>
          <w:fldChar w:fldCharType="separate"/>
        </w:r>
        <w:r w:rsidR="00125511">
          <w:rPr>
            <w:noProof/>
            <w:webHidden/>
          </w:rPr>
          <w:t>253</w:t>
        </w:r>
        <w:r w:rsidR="00125511">
          <w:rPr>
            <w:noProof/>
            <w:webHidden/>
          </w:rPr>
          <w:fldChar w:fldCharType="end"/>
        </w:r>
      </w:hyperlink>
    </w:p>
    <w:p w:rsidR="006B087E" w:rsidRPr="009B5734" w:rsidRDefault="006B087E" w:rsidP="006B087E">
      <w:pPr>
        <w:rPr>
          <w:b/>
          <w:noProof/>
          <w:sz w:val="28"/>
          <w:szCs w:val="28"/>
        </w:rPr>
      </w:pPr>
      <w:r w:rsidRPr="009B5734">
        <w:rPr>
          <w:rFonts w:ascii="Times New Roman" w:hAnsi="Times New Roman" w:cs="Times New Roman"/>
          <w:noProof/>
          <w:sz w:val="24"/>
          <w:szCs w:val="24"/>
        </w:rPr>
        <w:fldChar w:fldCharType="end"/>
      </w:r>
    </w:p>
    <w:p w:rsidR="00292066" w:rsidRPr="009B5734" w:rsidRDefault="00292066">
      <w:pPr>
        <w:rPr>
          <w:b/>
          <w:noProof/>
          <w:sz w:val="28"/>
          <w:szCs w:val="28"/>
        </w:rPr>
      </w:pPr>
      <w:r w:rsidRPr="009B5734">
        <w:rPr>
          <w:b/>
          <w:noProof/>
          <w:sz w:val="28"/>
          <w:szCs w:val="28"/>
        </w:rPr>
        <w:br w:type="page"/>
      </w:r>
    </w:p>
    <w:p w:rsidR="006B087E" w:rsidRPr="0084232A" w:rsidRDefault="006B087E">
      <w:pPr>
        <w:jc w:val="center"/>
        <w:rPr>
          <w:b/>
          <w:noProof/>
          <w:sz w:val="28"/>
          <w:szCs w:val="28"/>
        </w:rPr>
      </w:pPr>
      <w:r w:rsidRPr="005D24D2">
        <w:rPr>
          <w:b/>
          <w:bCs/>
          <w:noProof/>
          <w:sz w:val="28"/>
          <w:szCs w:val="28"/>
        </w:rPr>
        <w:t>Glossary</w:t>
      </w:r>
    </w:p>
    <w:tbl>
      <w:tblPr>
        <w:tblStyle w:val="TableGrid"/>
        <w:tblW w:w="0" w:type="auto"/>
        <w:tblLook w:val="04A0" w:firstRow="1" w:lastRow="0" w:firstColumn="1" w:lastColumn="0" w:noHBand="0" w:noVBand="1"/>
      </w:tblPr>
      <w:tblGrid>
        <w:gridCol w:w="3150"/>
        <w:gridCol w:w="5458"/>
      </w:tblGrid>
      <w:tr w:rsidR="006B087E" w:rsidRPr="009B5734" w:rsidTr="000A5C48">
        <w:tc>
          <w:tcPr>
            <w:tcW w:w="3227" w:type="dxa"/>
            <w:tcBorders>
              <w:bottom w:val="double" w:sz="4" w:space="0" w:color="auto"/>
            </w:tcBorders>
            <w:shd w:val="clear" w:color="auto" w:fill="F2F2F2" w:themeFill="background1" w:themeFillShade="F2"/>
          </w:tcPr>
          <w:p w:rsidR="006B087E" w:rsidRPr="009B5734" w:rsidRDefault="006B087E" w:rsidP="000A5C48">
            <w:pPr>
              <w:spacing w:before="120" w:after="120"/>
              <w:jc w:val="center"/>
              <w:rPr>
                <w:b/>
                <w:i/>
                <w:noProof/>
              </w:rPr>
            </w:pPr>
            <w:r w:rsidRPr="009B5734">
              <w:rPr>
                <w:b/>
                <w:i/>
                <w:noProof/>
              </w:rPr>
              <w:t>Term or acronym</w:t>
            </w:r>
          </w:p>
        </w:tc>
        <w:tc>
          <w:tcPr>
            <w:tcW w:w="5607" w:type="dxa"/>
            <w:tcBorders>
              <w:bottom w:val="double" w:sz="4" w:space="0" w:color="auto"/>
            </w:tcBorders>
            <w:shd w:val="clear" w:color="auto" w:fill="F2F2F2" w:themeFill="background1" w:themeFillShade="F2"/>
          </w:tcPr>
          <w:p w:rsidR="006B087E" w:rsidRPr="009B5734" w:rsidRDefault="006B087E" w:rsidP="000A5C48">
            <w:pPr>
              <w:spacing w:before="120" w:after="120"/>
              <w:jc w:val="center"/>
              <w:rPr>
                <w:b/>
                <w:i/>
                <w:noProof/>
              </w:rPr>
            </w:pPr>
            <w:r w:rsidRPr="009B5734">
              <w:rPr>
                <w:b/>
                <w:i/>
                <w:noProof/>
              </w:rPr>
              <w:t>Meaning or definition</w:t>
            </w:r>
          </w:p>
        </w:tc>
      </w:tr>
      <w:tr w:rsidR="006B087E" w:rsidRPr="009B5734" w:rsidTr="000A5C48">
        <w:tc>
          <w:tcPr>
            <w:tcW w:w="3227" w:type="dxa"/>
            <w:tcBorders>
              <w:top w:val="double" w:sz="4" w:space="0" w:color="auto"/>
            </w:tcBorders>
            <w:tcMar>
              <w:top w:w="85" w:type="dxa"/>
              <w:left w:w="57" w:type="dxa"/>
              <w:bottom w:w="85" w:type="dxa"/>
              <w:right w:w="57" w:type="dxa"/>
            </w:tcMar>
          </w:tcPr>
          <w:p w:rsidR="006B087E" w:rsidRPr="009B5734" w:rsidRDefault="00EF09D9" w:rsidP="000A5C48">
            <w:pPr>
              <w:rPr>
                <w:noProof/>
                <w:sz w:val="24"/>
                <w:szCs w:val="24"/>
              </w:rPr>
            </w:pPr>
            <w:r w:rsidRPr="009B5734">
              <w:rPr>
                <w:noProof/>
                <w:sz w:val="24"/>
                <w:szCs w:val="24"/>
              </w:rPr>
              <w:t>CEAP</w:t>
            </w:r>
          </w:p>
        </w:tc>
        <w:tc>
          <w:tcPr>
            <w:tcW w:w="5607" w:type="dxa"/>
            <w:tcBorders>
              <w:top w:val="double" w:sz="4" w:space="0" w:color="auto"/>
            </w:tcBorders>
            <w:tcMar>
              <w:top w:w="85" w:type="dxa"/>
              <w:left w:w="57" w:type="dxa"/>
              <w:bottom w:w="85" w:type="dxa"/>
              <w:right w:w="57" w:type="dxa"/>
            </w:tcMar>
          </w:tcPr>
          <w:p w:rsidR="006B087E" w:rsidRPr="009B5734" w:rsidRDefault="00EF09D9" w:rsidP="000A5C48">
            <w:pPr>
              <w:rPr>
                <w:noProof/>
                <w:sz w:val="24"/>
                <w:szCs w:val="24"/>
              </w:rPr>
            </w:pPr>
            <w:r w:rsidRPr="009B5734">
              <w:rPr>
                <w:noProof/>
                <w:sz w:val="24"/>
                <w:szCs w:val="24"/>
              </w:rPr>
              <w:t>Circular Economy Action Plan</w:t>
            </w:r>
          </w:p>
        </w:tc>
      </w:tr>
      <w:tr w:rsidR="00EF09D9" w:rsidRPr="009B5734" w:rsidTr="000A5C48">
        <w:tc>
          <w:tcPr>
            <w:tcW w:w="3227" w:type="dxa"/>
            <w:tcMar>
              <w:top w:w="85" w:type="dxa"/>
              <w:left w:w="57" w:type="dxa"/>
              <w:bottom w:w="85" w:type="dxa"/>
              <w:right w:w="57" w:type="dxa"/>
            </w:tcMar>
          </w:tcPr>
          <w:p w:rsidR="00EF09D9" w:rsidRPr="009B5734" w:rsidRDefault="00EF09D9" w:rsidP="00EF09D9">
            <w:pPr>
              <w:rPr>
                <w:noProof/>
                <w:sz w:val="24"/>
                <w:szCs w:val="24"/>
              </w:rPr>
            </w:pPr>
            <w:r w:rsidRPr="009B5734">
              <w:rPr>
                <w:noProof/>
                <w:sz w:val="24"/>
                <w:szCs w:val="24"/>
              </w:rPr>
              <w:t>CRD</w:t>
            </w:r>
          </w:p>
        </w:tc>
        <w:tc>
          <w:tcPr>
            <w:tcW w:w="5607" w:type="dxa"/>
            <w:tcMar>
              <w:top w:w="85" w:type="dxa"/>
              <w:left w:w="57" w:type="dxa"/>
              <w:bottom w:w="85" w:type="dxa"/>
              <w:right w:w="57" w:type="dxa"/>
            </w:tcMar>
          </w:tcPr>
          <w:p w:rsidR="00EF09D9" w:rsidRPr="009B5734" w:rsidRDefault="00EF09D9" w:rsidP="00EF09D9">
            <w:pPr>
              <w:rPr>
                <w:noProof/>
                <w:sz w:val="24"/>
                <w:szCs w:val="24"/>
              </w:rPr>
            </w:pPr>
            <w:r w:rsidRPr="009B5734">
              <w:rPr>
                <w:noProof/>
                <w:sz w:val="24"/>
                <w:szCs w:val="24"/>
              </w:rPr>
              <w:t>Consumer Rights Directive</w:t>
            </w:r>
          </w:p>
        </w:tc>
      </w:tr>
      <w:tr w:rsidR="00017C6B" w:rsidRPr="009B5734" w:rsidTr="000A5C48">
        <w:tc>
          <w:tcPr>
            <w:tcW w:w="3227" w:type="dxa"/>
            <w:tcMar>
              <w:top w:w="85" w:type="dxa"/>
              <w:left w:w="57" w:type="dxa"/>
              <w:bottom w:w="85" w:type="dxa"/>
              <w:right w:w="57" w:type="dxa"/>
            </w:tcMar>
          </w:tcPr>
          <w:p w:rsidR="00017C6B" w:rsidRPr="009B5734" w:rsidRDefault="00017C6B" w:rsidP="00EF09D9">
            <w:pPr>
              <w:rPr>
                <w:noProof/>
                <w:sz w:val="24"/>
                <w:szCs w:val="24"/>
              </w:rPr>
            </w:pPr>
            <w:r w:rsidRPr="009B5734">
              <w:rPr>
                <w:noProof/>
                <w:sz w:val="24"/>
                <w:szCs w:val="24"/>
              </w:rPr>
              <w:t>DCD</w:t>
            </w:r>
          </w:p>
        </w:tc>
        <w:tc>
          <w:tcPr>
            <w:tcW w:w="5607" w:type="dxa"/>
            <w:tcMar>
              <w:top w:w="85" w:type="dxa"/>
              <w:left w:w="57" w:type="dxa"/>
              <w:bottom w:w="85" w:type="dxa"/>
              <w:right w:w="57" w:type="dxa"/>
            </w:tcMar>
          </w:tcPr>
          <w:p w:rsidR="00017C6B" w:rsidRPr="009B5734" w:rsidRDefault="00017C6B" w:rsidP="00EF09D9">
            <w:pPr>
              <w:rPr>
                <w:noProof/>
                <w:sz w:val="24"/>
                <w:szCs w:val="24"/>
              </w:rPr>
            </w:pPr>
            <w:r w:rsidRPr="009B5734">
              <w:rPr>
                <w:noProof/>
                <w:sz w:val="24"/>
                <w:szCs w:val="24"/>
              </w:rPr>
              <w:t>Digital Content Directive</w:t>
            </w:r>
          </w:p>
        </w:tc>
      </w:tr>
      <w:tr w:rsidR="003F2E23" w:rsidRPr="009B5734" w:rsidTr="000A5C48">
        <w:tc>
          <w:tcPr>
            <w:tcW w:w="3227" w:type="dxa"/>
            <w:tcMar>
              <w:top w:w="85" w:type="dxa"/>
              <w:left w:w="57" w:type="dxa"/>
              <w:bottom w:w="85" w:type="dxa"/>
              <w:right w:w="57" w:type="dxa"/>
            </w:tcMar>
          </w:tcPr>
          <w:p w:rsidR="003F2E23" w:rsidRPr="009B5734" w:rsidRDefault="003F2E23" w:rsidP="00EF09D9">
            <w:pPr>
              <w:rPr>
                <w:noProof/>
                <w:sz w:val="24"/>
                <w:szCs w:val="24"/>
              </w:rPr>
            </w:pPr>
            <w:r w:rsidRPr="009B5734">
              <w:rPr>
                <w:noProof/>
                <w:sz w:val="24"/>
                <w:szCs w:val="24"/>
              </w:rPr>
              <w:t>CBA</w:t>
            </w:r>
          </w:p>
        </w:tc>
        <w:tc>
          <w:tcPr>
            <w:tcW w:w="5607" w:type="dxa"/>
            <w:tcMar>
              <w:top w:w="85" w:type="dxa"/>
              <w:left w:w="57" w:type="dxa"/>
              <w:bottom w:w="85" w:type="dxa"/>
              <w:right w:w="57" w:type="dxa"/>
            </w:tcMar>
          </w:tcPr>
          <w:p w:rsidR="003F2E23" w:rsidRPr="009B5734" w:rsidRDefault="003F2E23">
            <w:pPr>
              <w:rPr>
                <w:noProof/>
                <w:sz w:val="24"/>
                <w:szCs w:val="24"/>
              </w:rPr>
            </w:pPr>
            <w:r w:rsidRPr="009B5734">
              <w:rPr>
                <w:noProof/>
                <w:sz w:val="24"/>
                <w:szCs w:val="24"/>
              </w:rPr>
              <w:t>Cost-benefit analysis</w:t>
            </w:r>
          </w:p>
        </w:tc>
      </w:tr>
      <w:tr w:rsidR="00EF09D9" w:rsidRPr="009B5734" w:rsidTr="000A5C48">
        <w:tc>
          <w:tcPr>
            <w:tcW w:w="3227" w:type="dxa"/>
            <w:tcMar>
              <w:top w:w="85" w:type="dxa"/>
              <w:left w:w="57" w:type="dxa"/>
              <w:bottom w:w="85" w:type="dxa"/>
              <w:right w:w="57" w:type="dxa"/>
            </w:tcMar>
          </w:tcPr>
          <w:p w:rsidR="00EF09D9" w:rsidRPr="009B5734" w:rsidRDefault="00EF09D9" w:rsidP="00EF09D9">
            <w:pPr>
              <w:rPr>
                <w:noProof/>
                <w:sz w:val="24"/>
                <w:szCs w:val="24"/>
              </w:rPr>
            </w:pPr>
            <w:r w:rsidRPr="009B5734">
              <w:rPr>
                <w:noProof/>
                <w:sz w:val="24"/>
                <w:szCs w:val="24"/>
              </w:rPr>
              <w:t>CPC</w:t>
            </w:r>
          </w:p>
        </w:tc>
        <w:tc>
          <w:tcPr>
            <w:tcW w:w="5607" w:type="dxa"/>
            <w:tcMar>
              <w:top w:w="85" w:type="dxa"/>
              <w:left w:w="57" w:type="dxa"/>
              <w:bottom w:w="85" w:type="dxa"/>
              <w:right w:w="57" w:type="dxa"/>
            </w:tcMar>
          </w:tcPr>
          <w:p w:rsidR="00EF09D9" w:rsidRPr="009B5734" w:rsidRDefault="00EF09D9">
            <w:pPr>
              <w:rPr>
                <w:noProof/>
                <w:sz w:val="24"/>
                <w:szCs w:val="24"/>
              </w:rPr>
            </w:pPr>
            <w:r w:rsidRPr="009B5734">
              <w:rPr>
                <w:noProof/>
                <w:sz w:val="24"/>
                <w:szCs w:val="24"/>
              </w:rPr>
              <w:t xml:space="preserve">Consumer </w:t>
            </w:r>
            <w:r w:rsidR="00FC6222" w:rsidRPr="009B5734">
              <w:rPr>
                <w:noProof/>
                <w:sz w:val="24"/>
                <w:szCs w:val="24"/>
              </w:rPr>
              <w:t xml:space="preserve">Protection </w:t>
            </w:r>
            <w:r w:rsidRPr="009B5734">
              <w:rPr>
                <w:noProof/>
                <w:sz w:val="24"/>
                <w:szCs w:val="24"/>
              </w:rPr>
              <w:t>Cooperation</w:t>
            </w:r>
          </w:p>
        </w:tc>
      </w:tr>
      <w:tr w:rsidR="00EF09D9" w:rsidRPr="009B5734" w:rsidTr="000A5C48">
        <w:tc>
          <w:tcPr>
            <w:tcW w:w="3227" w:type="dxa"/>
            <w:tcMar>
              <w:top w:w="85" w:type="dxa"/>
              <w:left w:w="57" w:type="dxa"/>
              <w:bottom w:w="85" w:type="dxa"/>
              <w:right w:w="57" w:type="dxa"/>
            </w:tcMar>
          </w:tcPr>
          <w:p w:rsidR="00EF09D9" w:rsidRPr="009B5734" w:rsidRDefault="00EF09D9" w:rsidP="00EF09D9">
            <w:pPr>
              <w:rPr>
                <w:noProof/>
                <w:sz w:val="24"/>
                <w:szCs w:val="24"/>
              </w:rPr>
            </w:pPr>
            <w:r w:rsidRPr="009B5734">
              <w:rPr>
                <w:noProof/>
                <w:sz w:val="24"/>
                <w:szCs w:val="24"/>
              </w:rPr>
              <w:t>LCA</w:t>
            </w:r>
          </w:p>
        </w:tc>
        <w:tc>
          <w:tcPr>
            <w:tcW w:w="5607" w:type="dxa"/>
            <w:tcMar>
              <w:top w:w="85" w:type="dxa"/>
              <w:left w:w="57" w:type="dxa"/>
              <w:bottom w:w="85" w:type="dxa"/>
              <w:right w:w="57" w:type="dxa"/>
            </w:tcMar>
          </w:tcPr>
          <w:p w:rsidR="00EF09D9" w:rsidRPr="009B5734" w:rsidRDefault="00EF09D9" w:rsidP="00EF09D9">
            <w:pPr>
              <w:rPr>
                <w:noProof/>
                <w:sz w:val="24"/>
                <w:szCs w:val="24"/>
              </w:rPr>
            </w:pPr>
            <w:r w:rsidRPr="009B5734">
              <w:rPr>
                <w:noProof/>
                <w:sz w:val="24"/>
                <w:szCs w:val="24"/>
              </w:rPr>
              <w:t>Life-Cycle Assessment</w:t>
            </w:r>
          </w:p>
        </w:tc>
      </w:tr>
      <w:tr w:rsidR="003F2E23" w:rsidRPr="009B5734" w:rsidTr="000A5C48">
        <w:tc>
          <w:tcPr>
            <w:tcW w:w="3227" w:type="dxa"/>
            <w:tcMar>
              <w:top w:w="85" w:type="dxa"/>
              <w:left w:w="57" w:type="dxa"/>
              <w:bottom w:w="85" w:type="dxa"/>
              <w:right w:w="57" w:type="dxa"/>
            </w:tcMar>
          </w:tcPr>
          <w:p w:rsidR="003F2E23" w:rsidRPr="009B5734" w:rsidRDefault="003F2E23" w:rsidP="00EF09D9">
            <w:pPr>
              <w:rPr>
                <w:noProof/>
                <w:sz w:val="24"/>
                <w:szCs w:val="24"/>
              </w:rPr>
            </w:pPr>
            <w:r w:rsidRPr="009B5734">
              <w:rPr>
                <w:noProof/>
                <w:sz w:val="24"/>
                <w:szCs w:val="24"/>
              </w:rPr>
              <w:t>MCA</w:t>
            </w:r>
          </w:p>
        </w:tc>
        <w:tc>
          <w:tcPr>
            <w:tcW w:w="5607" w:type="dxa"/>
            <w:tcMar>
              <w:top w:w="85" w:type="dxa"/>
              <w:left w:w="57" w:type="dxa"/>
              <w:bottom w:w="85" w:type="dxa"/>
              <w:right w:w="57" w:type="dxa"/>
            </w:tcMar>
          </w:tcPr>
          <w:p w:rsidR="003F2E23" w:rsidRPr="009B5734" w:rsidRDefault="003F2E23" w:rsidP="00EF09D9">
            <w:pPr>
              <w:rPr>
                <w:noProof/>
                <w:sz w:val="24"/>
                <w:szCs w:val="24"/>
              </w:rPr>
            </w:pPr>
            <w:r w:rsidRPr="009B5734">
              <w:rPr>
                <w:noProof/>
                <w:sz w:val="24"/>
                <w:szCs w:val="24"/>
              </w:rPr>
              <w:t>Multi-criteria analysis</w:t>
            </w:r>
          </w:p>
        </w:tc>
      </w:tr>
      <w:tr w:rsidR="00C11934" w:rsidRPr="009B5734" w:rsidTr="000A5C48">
        <w:tc>
          <w:tcPr>
            <w:tcW w:w="3227" w:type="dxa"/>
            <w:tcMar>
              <w:top w:w="85" w:type="dxa"/>
              <w:left w:w="57" w:type="dxa"/>
              <w:bottom w:w="85" w:type="dxa"/>
              <w:right w:w="57" w:type="dxa"/>
            </w:tcMar>
          </w:tcPr>
          <w:p w:rsidR="00C11934" w:rsidRPr="009B5734" w:rsidRDefault="00C11934" w:rsidP="00EF09D9">
            <w:pPr>
              <w:rPr>
                <w:noProof/>
                <w:sz w:val="24"/>
                <w:szCs w:val="24"/>
              </w:rPr>
            </w:pPr>
            <w:r w:rsidRPr="009B5734">
              <w:rPr>
                <w:noProof/>
                <w:sz w:val="24"/>
                <w:szCs w:val="24"/>
              </w:rPr>
              <w:t>OEF</w:t>
            </w:r>
          </w:p>
        </w:tc>
        <w:tc>
          <w:tcPr>
            <w:tcW w:w="5607" w:type="dxa"/>
            <w:tcMar>
              <w:top w:w="85" w:type="dxa"/>
              <w:left w:w="57" w:type="dxa"/>
              <w:bottom w:w="85" w:type="dxa"/>
              <w:right w:w="57" w:type="dxa"/>
            </w:tcMar>
          </w:tcPr>
          <w:p w:rsidR="00C11934" w:rsidRPr="009B5734" w:rsidRDefault="00C11934" w:rsidP="00EF09D9">
            <w:pPr>
              <w:rPr>
                <w:noProof/>
                <w:sz w:val="24"/>
                <w:szCs w:val="24"/>
              </w:rPr>
            </w:pPr>
            <w:r w:rsidRPr="009B5734">
              <w:rPr>
                <w:noProof/>
                <w:sz w:val="24"/>
                <w:szCs w:val="24"/>
              </w:rPr>
              <w:t>Organisa</w:t>
            </w:r>
            <w:r w:rsidR="008B3075" w:rsidRPr="009B5734">
              <w:rPr>
                <w:noProof/>
                <w:sz w:val="24"/>
                <w:szCs w:val="24"/>
              </w:rPr>
              <w:t>tion Environmental Footprint</w:t>
            </w:r>
          </w:p>
        </w:tc>
      </w:tr>
      <w:tr w:rsidR="0097531F" w:rsidRPr="009B5734" w:rsidTr="000A5C48">
        <w:tc>
          <w:tcPr>
            <w:tcW w:w="3227" w:type="dxa"/>
            <w:tcMar>
              <w:top w:w="85" w:type="dxa"/>
              <w:left w:w="57" w:type="dxa"/>
              <w:bottom w:w="85" w:type="dxa"/>
              <w:right w:w="57" w:type="dxa"/>
            </w:tcMar>
          </w:tcPr>
          <w:p w:rsidR="0097531F" w:rsidRPr="009B5734" w:rsidRDefault="0097531F" w:rsidP="00EF09D9">
            <w:pPr>
              <w:rPr>
                <w:noProof/>
                <w:sz w:val="24"/>
                <w:szCs w:val="24"/>
              </w:rPr>
            </w:pPr>
            <w:r w:rsidRPr="009B5734">
              <w:rPr>
                <w:noProof/>
                <w:sz w:val="24"/>
                <w:szCs w:val="24"/>
              </w:rPr>
              <w:t>OEFSR</w:t>
            </w:r>
          </w:p>
        </w:tc>
        <w:tc>
          <w:tcPr>
            <w:tcW w:w="5607" w:type="dxa"/>
            <w:tcMar>
              <w:top w:w="85" w:type="dxa"/>
              <w:left w:w="57" w:type="dxa"/>
              <w:bottom w:w="85" w:type="dxa"/>
              <w:right w:w="57" w:type="dxa"/>
            </w:tcMar>
          </w:tcPr>
          <w:p w:rsidR="0097531F" w:rsidRPr="009B5734" w:rsidRDefault="0097531F" w:rsidP="00EF09D9">
            <w:pPr>
              <w:rPr>
                <w:noProof/>
                <w:sz w:val="24"/>
                <w:szCs w:val="24"/>
              </w:rPr>
            </w:pPr>
            <w:r w:rsidRPr="009B5734">
              <w:rPr>
                <w:noProof/>
                <w:sz w:val="24"/>
              </w:rPr>
              <w:t>Organisation Environmental Footprint Sector Rules</w:t>
            </w:r>
          </w:p>
        </w:tc>
      </w:tr>
      <w:tr w:rsidR="008547CD" w:rsidRPr="009B5734" w:rsidTr="000A5C48">
        <w:tc>
          <w:tcPr>
            <w:tcW w:w="3227" w:type="dxa"/>
            <w:tcMar>
              <w:top w:w="85" w:type="dxa"/>
              <w:left w:w="57" w:type="dxa"/>
              <w:bottom w:w="85" w:type="dxa"/>
              <w:right w:w="57" w:type="dxa"/>
            </w:tcMar>
          </w:tcPr>
          <w:p w:rsidR="008547CD" w:rsidRPr="009B5734" w:rsidRDefault="008547CD" w:rsidP="00EF09D9">
            <w:pPr>
              <w:rPr>
                <w:noProof/>
                <w:sz w:val="24"/>
                <w:szCs w:val="24"/>
              </w:rPr>
            </w:pPr>
            <w:r w:rsidRPr="009B5734">
              <w:rPr>
                <w:noProof/>
                <w:sz w:val="24"/>
                <w:szCs w:val="24"/>
              </w:rPr>
              <w:t>OPC</w:t>
            </w:r>
          </w:p>
        </w:tc>
        <w:tc>
          <w:tcPr>
            <w:tcW w:w="5607" w:type="dxa"/>
            <w:tcMar>
              <w:top w:w="85" w:type="dxa"/>
              <w:left w:w="57" w:type="dxa"/>
              <w:bottom w:w="85" w:type="dxa"/>
              <w:right w:w="57" w:type="dxa"/>
            </w:tcMar>
          </w:tcPr>
          <w:p w:rsidR="008547CD" w:rsidRPr="009B5734" w:rsidRDefault="008547CD" w:rsidP="00EF09D9">
            <w:pPr>
              <w:rPr>
                <w:noProof/>
                <w:sz w:val="24"/>
                <w:szCs w:val="24"/>
              </w:rPr>
            </w:pPr>
            <w:r w:rsidRPr="009B5734">
              <w:rPr>
                <w:noProof/>
                <w:sz w:val="24"/>
                <w:szCs w:val="24"/>
              </w:rPr>
              <w:t>Online Public Consultation</w:t>
            </w:r>
          </w:p>
        </w:tc>
      </w:tr>
      <w:tr w:rsidR="00EF09D9" w:rsidRPr="009B5734" w:rsidTr="000A5C48">
        <w:tc>
          <w:tcPr>
            <w:tcW w:w="3227" w:type="dxa"/>
            <w:tcMar>
              <w:top w:w="85" w:type="dxa"/>
              <w:left w:w="57" w:type="dxa"/>
              <w:bottom w:w="85" w:type="dxa"/>
              <w:right w:w="57" w:type="dxa"/>
            </w:tcMar>
          </w:tcPr>
          <w:p w:rsidR="00EF09D9" w:rsidRPr="009B5734" w:rsidRDefault="00EF09D9" w:rsidP="00EF09D9">
            <w:pPr>
              <w:rPr>
                <w:noProof/>
                <w:sz w:val="24"/>
                <w:szCs w:val="24"/>
              </w:rPr>
            </w:pPr>
            <w:r w:rsidRPr="009B5734">
              <w:rPr>
                <w:noProof/>
                <w:sz w:val="24"/>
                <w:szCs w:val="24"/>
              </w:rPr>
              <w:t>PEF</w:t>
            </w:r>
          </w:p>
        </w:tc>
        <w:tc>
          <w:tcPr>
            <w:tcW w:w="5607" w:type="dxa"/>
            <w:tcMar>
              <w:top w:w="85" w:type="dxa"/>
              <w:left w:w="57" w:type="dxa"/>
              <w:bottom w:w="85" w:type="dxa"/>
              <w:right w:w="57" w:type="dxa"/>
            </w:tcMar>
          </w:tcPr>
          <w:p w:rsidR="00EF09D9" w:rsidRPr="009B5734" w:rsidRDefault="00EF09D9" w:rsidP="00EF09D9">
            <w:pPr>
              <w:rPr>
                <w:noProof/>
                <w:sz w:val="24"/>
                <w:szCs w:val="24"/>
              </w:rPr>
            </w:pPr>
            <w:r w:rsidRPr="009B5734">
              <w:rPr>
                <w:noProof/>
                <w:sz w:val="24"/>
                <w:szCs w:val="24"/>
              </w:rPr>
              <w:t xml:space="preserve">Product Environmental Footprint </w:t>
            </w:r>
          </w:p>
        </w:tc>
      </w:tr>
      <w:tr w:rsidR="0097531F" w:rsidRPr="009B5734" w:rsidTr="000A5C48">
        <w:tc>
          <w:tcPr>
            <w:tcW w:w="3227" w:type="dxa"/>
            <w:tcMar>
              <w:top w:w="85" w:type="dxa"/>
              <w:left w:w="57" w:type="dxa"/>
              <w:bottom w:w="85" w:type="dxa"/>
              <w:right w:w="57" w:type="dxa"/>
            </w:tcMar>
          </w:tcPr>
          <w:p w:rsidR="0097531F" w:rsidRPr="009B5734" w:rsidRDefault="0097531F" w:rsidP="00EF09D9">
            <w:pPr>
              <w:rPr>
                <w:noProof/>
                <w:sz w:val="24"/>
                <w:szCs w:val="24"/>
              </w:rPr>
            </w:pPr>
            <w:r w:rsidRPr="009B5734">
              <w:rPr>
                <w:noProof/>
                <w:sz w:val="24"/>
                <w:szCs w:val="24"/>
              </w:rPr>
              <w:t>PEFCR</w:t>
            </w:r>
          </w:p>
        </w:tc>
        <w:tc>
          <w:tcPr>
            <w:tcW w:w="5607" w:type="dxa"/>
            <w:tcMar>
              <w:top w:w="85" w:type="dxa"/>
              <w:left w:w="57" w:type="dxa"/>
              <w:bottom w:w="85" w:type="dxa"/>
              <w:right w:w="57" w:type="dxa"/>
            </w:tcMar>
          </w:tcPr>
          <w:p w:rsidR="0097531F" w:rsidRPr="009B5734" w:rsidRDefault="0097531F" w:rsidP="00EF09D9">
            <w:pPr>
              <w:rPr>
                <w:noProof/>
                <w:sz w:val="24"/>
                <w:szCs w:val="24"/>
              </w:rPr>
            </w:pPr>
            <w:r w:rsidRPr="009B5734">
              <w:rPr>
                <w:noProof/>
                <w:sz w:val="24"/>
              </w:rPr>
              <w:t>Product Environmental Footprint Category Rules</w:t>
            </w:r>
          </w:p>
        </w:tc>
      </w:tr>
      <w:tr w:rsidR="00017C6B" w:rsidRPr="009B5734" w:rsidTr="000A5C48">
        <w:tc>
          <w:tcPr>
            <w:tcW w:w="3227" w:type="dxa"/>
            <w:tcMar>
              <w:top w:w="85" w:type="dxa"/>
              <w:left w:w="57" w:type="dxa"/>
              <w:bottom w:w="85" w:type="dxa"/>
              <w:right w:w="57" w:type="dxa"/>
            </w:tcMar>
          </w:tcPr>
          <w:p w:rsidR="00017C6B" w:rsidRPr="009B5734" w:rsidRDefault="00017C6B" w:rsidP="00EF09D9">
            <w:pPr>
              <w:rPr>
                <w:noProof/>
                <w:sz w:val="24"/>
                <w:szCs w:val="24"/>
              </w:rPr>
            </w:pPr>
            <w:r w:rsidRPr="009B5734">
              <w:rPr>
                <w:noProof/>
                <w:sz w:val="24"/>
                <w:szCs w:val="24"/>
              </w:rPr>
              <w:t>SGD</w:t>
            </w:r>
          </w:p>
        </w:tc>
        <w:tc>
          <w:tcPr>
            <w:tcW w:w="5607" w:type="dxa"/>
            <w:tcMar>
              <w:top w:w="85" w:type="dxa"/>
              <w:left w:w="57" w:type="dxa"/>
              <w:bottom w:w="85" w:type="dxa"/>
              <w:right w:w="57" w:type="dxa"/>
            </w:tcMar>
          </w:tcPr>
          <w:p w:rsidR="00017C6B" w:rsidRPr="009B5734" w:rsidRDefault="00017C6B" w:rsidP="00EF09D9">
            <w:pPr>
              <w:rPr>
                <w:noProof/>
                <w:sz w:val="24"/>
                <w:szCs w:val="24"/>
              </w:rPr>
            </w:pPr>
            <w:r w:rsidRPr="009B5734">
              <w:rPr>
                <w:noProof/>
                <w:sz w:val="24"/>
                <w:szCs w:val="24"/>
              </w:rPr>
              <w:t>Sale of Goods Directive</w:t>
            </w:r>
          </w:p>
        </w:tc>
      </w:tr>
      <w:tr w:rsidR="00EF09D9" w:rsidRPr="009B5734" w:rsidTr="000A5C48">
        <w:tc>
          <w:tcPr>
            <w:tcW w:w="3227" w:type="dxa"/>
            <w:tcMar>
              <w:top w:w="85" w:type="dxa"/>
              <w:left w:w="57" w:type="dxa"/>
              <w:bottom w:w="85" w:type="dxa"/>
              <w:right w:w="57" w:type="dxa"/>
            </w:tcMar>
          </w:tcPr>
          <w:p w:rsidR="00EF09D9" w:rsidRPr="009B5734" w:rsidRDefault="00C11934" w:rsidP="00EF09D9">
            <w:pPr>
              <w:rPr>
                <w:noProof/>
                <w:sz w:val="24"/>
                <w:szCs w:val="24"/>
              </w:rPr>
            </w:pPr>
            <w:r w:rsidRPr="009B5734">
              <w:rPr>
                <w:noProof/>
                <w:sz w:val="24"/>
                <w:szCs w:val="24"/>
              </w:rPr>
              <w:t>SPI</w:t>
            </w:r>
          </w:p>
        </w:tc>
        <w:tc>
          <w:tcPr>
            <w:tcW w:w="5607" w:type="dxa"/>
            <w:tcMar>
              <w:top w:w="85" w:type="dxa"/>
              <w:left w:w="57" w:type="dxa"/>
              <w:bottom w:w="85" w:type="dxa"/>
              <w:right w:w="57" w:type="dxa"/>
            </w:tcMar>
          </w:tcPr>
          <w:p w:rsidR="00EF09D9" w:rsidRPr="009B5734" w:rsidRDefault="00C11934" w:rsidP="0044461B">
            <w:pPr>
              <w:rPr>
                <w:noProof/>
                <w:sz w:val="24"/>
                <w:szCs w:val="24"/>
              </w:rPr>
            </w:pPr>
            <w:r w:rsidRPr="009B5734">
              <w:rPr>
                <w:noProof/>
                <w:sz w:val="24"/>
                <w:szCs w:val="24"/>
              </w:rPr>
              <w:t>Sustainable Product Initiative</w:t>
            </w:r>
          </w:p>
        </w:tc>
      </w:tr>
      <w:tr w:rsidR="00C11934" w:rsidRPr="009B5734" w:rsidTr="000A5C48">
        <w:tc>
          <w:tcPr>
            <w:tcW w:w="3227" w:type="dxa"/>
            <w:tcMar>
              <w:top w:w="85" w:type="dxa"/>
              <w:left w:w="57" w:type="dxa"/>
              <w:bottom w:w="85" w:type="dxa"/>
              <w:right w:w="57" w:type="dxa"/>
            </w:tcMar>
          </w:tcPr>
          <w:p w:rsidR="00C11934" w:rsidRPr="009B5734" w:rsidRDefault="00C11934" w:rsidP="00C11934">
            <w:pPr>
              <w:rPr>
                <w:noProof/>
              </w:rPr>
            </w:pPr>
            <w:r w:rsidRPr="009B5734">
              <w:rPr>
                <w:noProof/>
                <w:sz w:val="24"/>
                <w:szCs w:val="24"/>
              </w:rPr>
              <w:t>UCPD</w:t>
            </w:r>
          </w:p>
        </w:tc>
        <w:tc>
          <w:tcPr>
            <w:tcW w:w="5607" w:type="dxa"/>
            <w:tcMar>
              <w:top w:w="85" w:type="dxa"/>
              <w:left w:w="57" w:type="dxa"/>
              <w:bottom w:w="85" w:type="dxa"/>
              <w:right w:w="57" w:type="dxa"/>
            </w:tcMar>
          </w:tcPr>
          <w:p w:rsidR="00C11934" w:rsidRPr="009B5734" w:rsidRDefault="00C11934" w:rsidP="00C11934">
            <w:pPr>
              <w:rPr>
                <w:noProof/>
              </w:rPr>
            </w:pPr>
            <w:r w:rsidRPr="009B5734">
              <w:rPr>
                <w:noProof/>
                <w:sz w:val="24"/>
                <w:szCs w:val="24"/>
              </w:rPr>
              <w:t>Unfair Commercial Practices Directive</w:t>
            </w:r>
          </w:p>
        </w:tc>
      </w:tr>
    </w:tbl>
    <w:p w:rsidR="006B087E" w:rsidRPr="009B5734" w:rsidRDefault="006B087E" w:rsidP="006B087E">
      <w:pPr>
        <w:rPr>
          <w:noProof/>
        </w:rPr>
      </w:pPr>
    </w:p>
    <w:p w:rsidR="00EA02F1" w:rsidRPr="009B5734" w:rsidRDefault="006B087E" w:rsidP="006B087E">
      <w:pPr>
        <w:rPr>
          <w:noProof/>
        </w:rPr>
        <w:sectPr w:rsidR="00EA02F1" w:rsidRPr="009B5734" w:rsidSect="00EA02F1">
          <w:headerReference w:type="even" r:id="rId18"/>
          <w:headerReference w:type="default" r:id="rId19"/>
          <w:footerReference w:type="even" r:id="rId20"/>
          <w:footerReference w:type="default" r:id="rId21"/>
          <w:headerReference w:type="first" r:id="rId22"/>
          <w:footerReference w:type="first" r:id="rId23"/>
          <w:pgSz w:w="11906" w:h="16838"/>
          <w:pgMar w:top="1020" w:right="1701" w:bottom="1020" w:left="1587" w:header="601" w:footer="1077" w:gutter="0"/>
          <w:cols w:space="720"/>
          <w:titlePg/>
          <w:docGrid w:linePitch="299"/>
        </w:sectPr>
      </w:pPr>
      <w:r w:rsidRPr="009B5734">
        <w:rPr>
          <w:noProof/>
        </w:rPr>
        <w:br w:type="page"/>
      </w:r>
    </w:p>
    <w:p w:rsidR="006B087E" w:rsidRPr="009B5734" w:rsidRDefault="00A00208" w:rsidP="00A00208">
      <w:pPr>
        <w:pStyle w:val="Heading1"/>
        <w:rPr>
          <w:noProof/>
        </w:rPr>
      </w:pPr>
      <w:bookmarkStart w:id="2" w:name="_Toc58148983"/>
      <w:bookmarkStart w:id="3" w:name="_Toc58604019"/>
      <w:bookmarkStart w:id="4" w:name="_Toc75440970"/>
      <w:bookmarkStart w:id="5" w:name="_Toc75446969"/>
      <w:bookmarkStart w:id="6" w:name="_Toc75448842"/>
      <w:bookmarkStart w:id="7" w:name="_Toc77844221"/>
      <w:bookmarkStart w:id="8" w:name="_Toc86391724"/>
      <w:r w:rsidRPr="00A00208">
        <w:t>1.</w:t>
      </w:r>
      <w:r w:rsidRPr="00A00208">
        <w:tab/>
      </w:r>
      <w:r w:rsidR="006F0AB6" w:rsidRPr="009B5734">
        <w:rPr>
          <w:noProof/>
        </w:rPr>
        <w:t>I</w:t>
      </w:r>
      <w:r w:rsidR="006B087E" w:rsidRPr="009B5734">
        <w:rPr>
          <w:noProof/>
        </w:rPr>
        <w:t>ntroduction: Political and legal context</w:t>
      </w:r>
      <w:bookmarkEnd w:id="2"/>
      <w:bookmarkEnd w:id="3"/>
      <w:bookmarkEnd w:id="4"/>
      <w:bookmarkEnd w:id="5"/>
      <w:bookmarkEnd w:id="6"/>
      <w:bookmarkEnd w:id="7"/>
      <w:bookmarkEnd w:id="8"/>
    </w:p>
    <w:p w:rsidR="007570FC" w:rsidRPr="009B5734" w:rsidRDefault="007570FC" w:rsidP="002336E8">
      <w:pPr>
        <w:pStyle w:val="Default"/>
        <w:spacing w:before="120" w:after="120"/>
        <w:ind w:left="0" w:firstLine="0"/>
        <w:rPr>
          <w:noProof/>
          <w:lang w:val="en-GB"/>
        </w:rPr>
      </w:pPr>
      <w:r w:rsidRPr="009B5734">
        <w:rPr>
          <w:noProof/>
          <w:lang w:val="en-GB"/>
        </w:rPr>
        <w:t>The European Green Deal</w:t>
      </w:r>
      <w:r w:rsidRPr="009B5734">
        <w:rPr>
          <w:rStyle w:val="FootnoteReference"/>
          <w:noProof/>
          <w:lang w:val="en-GB" w:eastAsia="en-US"/>
        </w:rPr>
        <w:footnoteReference w:id="2"/>
      </w:r>
      <w:r w:rsidRPr="009B5734">
        <w:rPr>
          <w:noProof/>
          <w:lang w:val="en-GB"/>
        </w:rPr>
        <w:t xml:space="preserve"> sets out a comprehensive strategy to transform the EU into a fair and prosperous society, with a climate-neutral, resource-efficient, clean and circular economy in which economic growth is decoupled from resource use and where negative impacts on natural capital and biodiversity are reduced</w:t>
      </w:r>
      <w:r w:rsidRPr="009B5734">
        <w:rPr>
          <w:b/>
          <w:noProof/>
          <w:lang w:val="en-GB"/>
        </w:rPr>
        <w:t xml:space="preserve">. To deliver the European Green Deal, there is a need to rethink a number of EU policies and among them also production and consumption. </w:t>
      </w:r>
      <w:r w:rsidRPr="009B5734">
        <w:rPr>
          <w:noProof/>
          <w:lang w:val="en-GB"/>
        </w:rPr>
        <w:t>The aim of reforms is to encourage the needed changes both in consumer and business behaviour. To achieve this two-fold objective, the Circular Economy Action Plan (CEAP)</w:t>
      </w:r>
      <w:r w:rsidRPr="009B5734">
        <w:rPr>
          <w:rStyle w:val="FootnoteReference"/>
          <w:rFonts w:eastAsia="Calibri"/>
          <w:noProof/>
          <w:lang w:val="en-GB" w:eastAsia="en-US"/>
        </w:rPr>
        <w:footnoteReference w:id="3"/>
      </w:r>
      <w:r w:rsidR="00125511">
        <w:rPr>
          <w:noProof/>
          <w:lang w:val="en-GB"/>
        </w:rPr>
        <w:t xml:space="preserve"> and the N</w:t>
      </w:r>
      <w:r w:rsidRPr="009B5734">
        <w:rPr>
          <w:noProof/>
          <w:lang w:val="en-GB"/>
        </w:rPr>
        <w:t>ew Consumer Agenda</w:t>
      </w:r>
      <w:r w:rsidRPr="009B5734">
        <w:rPr>
          <w:rStyle w:val="FootnoteReference"/>
          <w:noProof/>
          <w:lang w:val="en-GB"/>
        </w:rPr>
        <w:footnoteReference w:id="4"/>
      </w:r>
      <w:r w:rsidR="00123B5A" w:rsidRPr="009B5734">
        <w:rPr>
          <w:noProof/>
          <w:lang w:val="en-GB"/>
        </w:rPr>
        <w:t xml:space="preserve"> set</w:t>
      </w:r>
      <w:r w:rsidRPr="009B5734">
        <w:rPr>
          <w:noProof/>
          <w:lang w:val="en-GB"/>
        </w:rPr>
        <w:t xml:space="preserve"> out </w:t>
      </w:r>
      <w:r w:rsidR="00123B5A" w:rsidRPr="009B5734">
        <w:rPr>
          <w:noProof/>
          <w:lang w:val="en-GB"/>
        </w:rPr>
        <w:t>several</w:t>
      </w:r>
      <w:r w:rsidRPr="009B5734">
        <w:rPr>
          <w:noProof/>
          <w:lang w:val="en-GB"/>
        </w:rPr>
        <w:t xml:space="preserve"> mutually reinforcing and complementary actions. A </w:t>
      </w:r>
      <w:r w:rsidRPr="009B5734">
        <w:rPr>
          <w:bCs/>
          <w:noProof/>
          <w:lang w:val="en-GB"/>
        </w:rPr>
        <w:t>number of initiatives</w:t>
      </w:r>
      <w:r w:rsidRPr="009B5734">
        <w:rPr>
          <w:noProof/>
          <w:lang w:val="en-GB"/>
        </w:rPr>
        <w:t xml:space="preserve"> are being taken already with the aim to </w:t>
      </w:r>
      <w:r w:rsidRPr="009B5734">
        <w:rPr>
          <w:bCs/>
          <w:noProof/>
          <w:lang w:val="en-GB"/>
        </w:rPr>
        <w:t>ensure that products</w:t>
      </w:r>
      <w:r w:rsidRPr="009B5734">
        <w:rPr>
          <w:noProof/>
          <w:lang w:val="en-GB"/>
        </w:rPr>
        <w:t xml:space="preserve">, both goods and services, sold to EU consumers are </w:t>
      </w:r>
      <w:r w:rsidRPr="009B5734">
        <w:rPr>
          <w:bCs/>
          <w:noProof/>
          <w:lang w:val="en-GB"/>
        </w:rPr>
        <w:t>fit for the above objectives.</w:t>
      </w:r>
      <w:r w:rsidR="00115BD4" w:rsidRPr="009B5734">
        <w:rPr>
          <w:bCs/>
          <w:noProof/>
          <w:lang w:val="en-GB"/>
        </w:rPr>
        <w:t xml:space="preserve"> </w:t>
      </w:r>
    </w:p>
    <w:p w:rsidR="009F26EB" w:rsidRDefault="00892B2E" w:rsidP="00CA72F0">
      <w:pPr>
        <w:pStyle w:val="Default"/>
        <w:spacing w:before="120" w:after="120"/>
        <w:ind w:left="0" w:firstLine="0"/>
        <w:rPr>
          <w:rFonts w:eastAsia="Calibri"/>
          <w:noProof/>
          <w:lang w:val="en-GB" w:eastAsia="en-US"/>
        </w:rPr>
      </w:pPr>
      <w:r w:rsidRPr="009B5734">
        <w:rPr>
          <w:noProof/>
          <w:lang w:val="en-GB"/>
        </w:rPr>
        <w:t xml:space="preserve">Given that </w:t>
      </w:r>
      <w:r w:rsidR="00A26376" w:rsidRPr="009B5734">
        <w:rPr>
          <w:noProof/>
          <w:lang w:val="en-GB"/>
        </w:rPr>
        <w:t xml:space="preserve">the </w:t>
      </w:r>
      <w:r w:rsidRPr="009B5734">
        <w:rPr>
          <w:noProof/>
          <w:lang w:val="en-GB"/>
        </w:rPr>
        <w:t xml:space="preserve">current consumption of products is recognised </w:t>
      </w:r>
      <w:r w:rsidR="006476DC" w:rsidRPr="009B5734">
        <w:rPr>
          <w:noProof/>
          <w:lang w:val="en-GB"/>
        </w:rPr>
        <w:t xml:space="preserve">to represent </w:t>
      </w:r>
      <w:r w:rsidR="00594C66" w:rsidRPr="009B5734">
        <w:rPr>
          <w:noProof/>
          <w:lang w:val="en-GB"/>
        </w:rPr>
        <w:t>an unsustainable</w:t>
      </w:r>
      <w:r w:rsidR="006476DC" w:rsidRPr="009B5734">
        <w:rPr>
          <w:noProof/>
          <w:lang w:val="en-GB"/>
        </w:rPr>
        <w:t xml:space="preserve"> burden on the </w:t>
      </w:r>
      <w:r w:rsidR="006476DC" w:rsidRPr="008D65D2">
        <w:rPr>
          <w:b/>
          <w:noProof/>
          <w:lang w:val="en-GB"/>
        </w:rPr>
        <w:t>environment</w:t>
      </w:r>
      <w:r w:rsidRPr="009B5734">
        <w:rPr>
          <w:rStyle w:val="FootnoteReference"/>
          <w:noProof/>
          <w:lang w:val="en-GB"/>
        </w:rPr>
        <w:footnoteReference w:id="5"/>
      </w:r>
      <w:r w:rsidRPr="009B5734">
        <w:rPr>
          <w:noProof/>
          <w:lang w:val="en-GB"/>
        </w:rPr>
        <w:t xml:space="preserve">, </w:t>
      </w:r>
      <w:r w:rsidRPr="008D65D2">
        <w:rPr>
          <w:bCs/>
          <w:noProof/>
          <w:lang w:val="en-GB"/>
        </w:rPr>
        <w:t xml:space="preserve">this </w:t>
      </w:r>
      <w:r w:rsidR="00E9557E" w:rsidRPr="008D65D2">
        <w:rPr>
          <w:bCs/>
          <w:noProof/>
          <w:lang w:val="en-GB"/>
        </w:rPr>
        <w:t>I</w:t>
      </w:r>
      <w:r w:rsidRPr="008D65D2">
        <w:rPr>
          <w:bCs/>
          <w:noProof/>
          <w:lang w:val="en-GB"/>
        </w:rPr>
        <w:t xml:space="preserve">mpact </w:t>
      </w:r>
      <w:r w:rsidR="00E9557E" w:rsidRPr="008D65D2">
        <w:rPr>
          <w:bCs/>
          <w:noProof/>
          <w:lang w:val="en-GB"/>
        </w:rPr>
        <w:t>A</w:t>
      </w:r>
      <w:r w:rsidRPr="008D65D2">
        <w:rPr>
          <w:bCs/>
          <w:noProof/>
          <w:lang w:val="en-GB"/>
        </w:rPr>
        <w:t>ssessment</w:t>
      </w:r>
      <w:r w:rsidR="00414041" w:rsidRPr="008D65D2">
        <w:rPr>
          <w:bCs/>
          <w:noProof/>
          <w:lang w:val="en-GB"/>
        </w:rPr>
        <w:t xml:space="preserve"> (IA)</w:t>
      </w:r>
      <w:r w:rsidRPr="008D65D2">
        <w:rPr>
          <w:bCs/>
          <w:noProof/>
          <w:lang w:val="en-GB"/>
        </w:rPr>
        <w:t xml:space="preserve"> presents policy actions to </w:t>
      </w:r>
      <w:r w:rsidR="006476DC" w:rsidRPr="008D65D2">
        <w:rPr>
          <w:bCs/>
          <w:noProof/>
          <w:lang w:val="en-GB"/>
        </w:rPr>
        <w:t xml:space="preserve">facilitate </w:t>
      </w:r>
      <w:r w:rsidRPr="008D65D2">
        <w:rPr>
          <w:bCs/>
          <w:noProof/>
          <w:lang w:val="en-GB"/>
        </w:rPr>
        <w:t xml:space="preserve">the needed changes in consumer behaviour to achieve climate </w:t>
      </w:r>
      <w:r w:rsidR="00D13A64" w:rsidRPr="008D65D2">
        <w:rPr>
          <w:bCs/>
          <w:noProof/>
          <w:lang w:val="en-GB"/>
        </w:rPr>
        <w:t xml:space="preserve">and circularity objectives under the </w:t>
      </w:r>
      <w:r w:rsidR="0041702C">
        <w:rPr>
          <w:bCs/>
          <w:noProof/>
          <w:lang w:val="en-GB"/>
        </w:rPr>
        <w:t xml:space="preserve">European </w:t>
      </w:r>
      <w:r w:rsidR="00D13A64" w:rsidRPr="008D65D2">
        <w:rPr>
          <w:bCs/>
          <w:noProof/>
          <w:lang w:val="en-GB"/>
        </w:rPr>
        <w:t>Green Deal</w:t>
      </w:r>
      <w:r w:rsidRPr="005D24D2">
        <w:rPr>
          <w:b/>
          <w:bCs/>
          <w:noProof/>
          <w:lang w:val="en-GB"/>
        </w:rPr>
        <w:t>.</w:t>
      </w:r>
      <w:r w:rsidRPr="009B5734">
        <w:rPr>
          <w:noProof/>
          <w:lang w:val="en-GB"/>
        </w:rPr>
        <w:t xml:space="preserve"> </w:t>
      </w:r>
      <w:r w:rsidR="002A277B">
        <w:rPr>
          <w:rFonts w:eastAsia="Calibri"/>
          <w:noProof/>
          <w:lang w:val="en-GB" w:eastAsia="en-US"/>
        </w:rPr>
        <w:t xml:space="preserve">As the initiative aims to deliver on </w:t>
      </w:r>
      <w:r w:rsidR="009F26EB">
        <w:rPr>
          <w:rFonts w:eastAsia="Calibri"/>
          <w:noProof/>
          <w:lang w:val="en-GB" w:eastAsia="en-US"/>
        </w:rPr>
        <w:t>the European Green Deal, and thus to reduce the burden of consumption on the environment, it</w:t>
      </w:r>
      <w:r w:rsidR="0046205D">
        <w:rPr>
          <w:rFonts w:eastAsia="Calibri"/>
          <w:noProof/>
          <w:lang w:val="en-GB" w:eastAsia="en-US"/>
        </w:rPr>
        <w:t xml:space="preserve"> </w:t>
      </w:r>
      <w:r w:rsidR="00CA72F0" w:rsidRPr="009B5734">
        <w:rPr>
          <w:rFonts w:eastAsia="Calibri"/>
          <w:noProof/>
          <w:lang w:val="en-GB" w:eastAsia="en-US"/>
        </w:rPr>
        <w:t xml:space="preserve">covers primarily </w:t>
      </w:r>
      <w:r w:rsidR="00CA72F0" w:rsidRPr="005D24D2">
        <w:rPr>
          <w:rFonts w:eastAsia="Calibri"/>
          <w:b/>
          <w:bCs/>
          <w:noProof/>
          <w:lang w:val="en-GB" w:eastAsia="en-US"/>
        </w:rPr>
        <w:t>environmental sustainability</w:t>
      </w:r>
      <w:r w:rsidR="00CA72F0" w:rsidRPr="009B5734">
        <w:rPr>
          <w:rFonts w:eastAsia="Calibri"/>
          <w:noProof/>
          <w:lang w:val="en-GB" w:eastAsia="en-US"/>
        </w:rPr>
        <w:t xml:space="preserve">. </w:t>
      </w:r>
      <w:r w:rsidR="009F26EB">
        <w:rPr>
          <w:rFonts w:eastAsia="Calibri"/>
          <w:noProof/>
          <w:lang w:val="en-GB" w:eastAsia="en-US"/>
        </w:rPr>
        <w:t xml:space="preserve">However, as </w:t>
      </w:r>
      <w:r w:rsidR="0041702C">
        <w:rPr>
          <w:rFonts w:eastAsia="Calibri"/>
          <w:noProof/>
          <w:lang w:val="en-GB" w:eastAsia="en-US"/>
        </w:rPr>
        <w:t>per its mandate</w:t>
      </w:r>
      <w:r w:rsidR="009F26EB">
        <w:rPr>
          <w:rFonts w:eastAsia="Calibri"/>
          <w:noProof/>
          <w:lang w:val="en-GB" w:eastAsia="en-US"/>
        </w:rPr>
        <w:t>, the initiative aims to tackle social and ethical aspects</w:t>
      </w:r>
      <w:r w:rsidR="00444DB9">
        <w:rPr>
          <w:rFonts w:eastAsia="Calibri"/>
          <w:noProof/>
          <w:lang w:val="en-GB" w:eastAsia="en-US"/>
        </w:rPr>
        <w:t xml:space="preserve"> of sustainability</w:t>
      </w:r>
      <w:r w:rsidR="009F26EB">
        <w:rPr>
          <w:rFonts w:eastAsia="Calibri"/>
          <w:noProof/>
          <w:lang w:val="en-GB" w:eastAsia="en-US"/>
        </w:rPr>
        <w:t xml:space="preserve"> </w:t>
      </w:r>
      <w:r w:rsidR="0041702C">
        <w:rPr>
          <w:rFonts w:eastAsia="Calibri"/>
          <w:noProof/>
          <w:lang w:val="en-GB" w:eastAsia="en-US"/>
        </w:rPr>
        <w:t>where relevant, i.e.</w:t>
      </w:r>
      <w:r w:rsidR="009F26EB">
        <w:rPr>
          <w:rFonts w:eastAsia="Calibri"/>
          <w:noProof/>
          <w:lang w:val="en-GB" w:eastAsia="en-US"/>
        </w:rPr>
        <w:t xml:space="preserve"> in relation to s</w:t>
      </w:r>
      <w:r w:rsidR="009F26EB" w:rsidRPr="009F26EB">
        <w:rPr>
          <w:rFonts w:eastAsia="Calibri"/>
          <w:noProof/>
          <w:lang w:val="en-GB" w:eastAsia="en-US"/>
        </w:rPr>
        <w:t>ustainability labels</w:t>
      </w:r>
      <w:r w:rsidR="009F26EB">
        <w:rPr>
          <w:rFonts w:eastAsia="Calibri"/>
          <w:noProof/>
          <w:lang w:val="en-GB" w:eastAsia="en-US"/>
        </w:rPr>
        <w:t xml:space="preserve"> and digital sustainability information tools. This is</w:t>
      </w:r>
      <w:r w:rsidR="00444DB9">
        <w:rPr>
          <w:rFonts w:eastAsia="Calibri"/>
          <w:noProof/>
          <w:lang w:val="en-GB" w:eastAsia="en-US"/>
        </w:rPr>
        <w:t xml:space="preserve"> due to the fact that</w:t>
      </w:r>
      <w:r w:rsidR="009F26EB">
        <w:rPr>
          <w:rFonts w:eastAsia="Calibri"/>
          <w:noProof/>
          <w:lang w:val="en-GB" w:eastAsia="en-US"/>
        </w:rPr>
        <w:t xml:space="preserve"> </w:t>
      </w:r>
      <w:r w:rsidR="00FB3123">
        <w:rPr>
          <w:rFonts w:eastAsia="Calibri"/>
          <w:noProof/>
          <w:lang w:val="en-GB" w:eastAsia="en-US"/>
        </w:rPr>
        <w:t xml:space="preserve">labels and tools </w:t>
      </w:r>
      <w:r w:rsidR="00920BA9">
        <w:rPr>
          <w:rFonts w:eastAsia="Calibri"/>
          <w:noProof/>
          <w:lang w:val="en-GB" w:eastAsia="en-US"/>
        </w:rPr>
        <w:t>already</w:t>
      </w:r>
      <w:r w:rsidR="00DA64F4">
        <w:rPr>
          <w:rFonts w:eastAsia="Calibri"/>
          <w:noProof/>
          <w:lang w:val="en-GB" w:eastAsia="en-US"/>
        </w:rPr>
        <w:t xml:space="preserve"> widely present</w:t>
      </w:r>
      <w:r w:rsidR="00920BA9">
        <w:rPr>
          <w:rFonts w:eastAsia="Calibri"/>
          <w:noProof/>
          <w:lang w:val="en-GB" w:eastAsia="en-US"/>
        </w:rPr>
        <w:t xml:space="preserve"> on the market often </w:t>
      </w:r>
      <w:r w:rsidR="00FB3123">
        <w:rPr>
          <w:rFonts w:eastAsia="Calibri"/>
          <w:noProof/>
          <w:lang w:val="en-GB" w:eastAsia="en-US"/>
        </w:rPr>
        <w:t>cover other aspects of sustainability</w:t>
      </w:r>
      <w:r w:rsidR="00920BA9">
        <w:rPr>
          <w:rFonts w:eastAsia="Calibri"/>
          <w:noProof/>
          <w:lang w:val="en-GB" w:eastAsia="en-US"/>
        </w:rPr>
        <w:t>, and thus fall within the problem definition identified by this initiative</w:t>
      </w:r>
      <w:r w:rsidR="00FB3123">
        <w:rPr>
          <w:rFonts w:eastAsia="Calibri"/>
          <w:noProof/>
          <w:lang w:val="en-GB" w:eastAsia="en-US"/>
        </w:rPr>
        <w:t>.</w:t>
      </w:r>
    </w:p>
    <w:p w:rsidR="00CA72F0" w:rsidRPr="009B5734" w:rsidRDefault="00CA72F0" w:rsidP="00CA72F0">
      <w:pPr>
        <w:pStyle w:val="Default"/>
        <w:spacing w:before="120" w:after="120"/>
        <w:ind w:left="0" w:firstLine="0"/>
        <w:rPr>
          <w:rFonts w:eastAsia="Calibri"/>
          <w:noProof/>
          <w:lang w:val="en-GB" w:eastAsia="en-US"/>
        </w:rPr>
      </w:pPr>
      <w:r w:rsidRPr="009B5734">
        <w:rPr>
          <w:rFonts w:eastAsia="Calibri"/>
          <w:noProof/>
          <w:lang w:val="en-GB" w:eastAsia="en-US"/>
        </w:rPr>
        <w:t>Data from a 2009 Eurobarometer show that 83% of EU-27 citizens considered a product’s impact on the environment an important element when deciding which products to buy</w:t>
      </w:r>
      <w:r w:rsidRPr="009B5734">
        <w:rPr>
          <w:rStyle w:val="FootnoteReference"/>
          <w:rFonts w:eastAsia="Calibri"/>
          <w:noProof/>
          <w:lang w:val="en-GB" w:eastAsia="en-US"/>
        </w:rPr>
        <w:footnoteReference w:id="6"/>
      </w:r>
      <w:r w:rsidRPr="009B5734">
        <w:rPr>
          <w:rFonts w:eastAsia="Calibri"/>
          <w:noProof/>
          <w:lang w:val="en-GB" w:eastAsia="en-US"/>
        </w:rPr>
        <w:t>. </w:t>
      </w:r>
      <w:r w:rsidR="00892B2E" w:rsidRPr="009B5734">
        <w:rPr>
          <w:noProof/>
          <w:lang w:val="en-GB"/>
        </w:rPr>
        <w:t xml:space="preserve">Moreover, </w:t>
      </w:r>
      <w:r w:rsidR="006476DC" w:rsidRPr="009B5734">
        <w:rPr>
          <w:noProof/>
          <w:lang w:val="en-GB"/>
        </w:rPr>
        <w:t xml:space="preserve">many </w:t>
      </w:r>
      <w:r w:rsidR="00892B2E" w:rsidRPr="009B5734">
        <w:rPr>
          <w:rFonts w:eastAsia="Calibri"/>
          <w:noProof/>
          <w:lang w:val="en-GB" w:eastAsia="en-US"/>
        </w:rPr>
        <w:t>European citizens believe that “changing the way we consume” is the most effective way to tackle environmental problems</w:t>
      </w:r>
      <w:r w:rsidR="00892B2E" w:rsidRPr="009B5734">
        <w:rPr>
          <w:rStyle w:val="FootnoteReference"/>
          <w:rFonts w:eastAsia="Calibri"/>
          <w:noProof/>
          <w:lang w:val="en-GB" w:eastAsia="en-US"/>
        </w:rPr>
        <w:footnoteReference w:id="7"/>
      </w:r>
      <w:r w:rsidR="00892B2E" w:rsidRPr="009B5734">
        <w:rPr>
          <w:rFonts w:eastAsia="Calibri"/>
          <w:noProof/>
          <w:lang w:val="en-GB" w:eastAsia="en-US"/>
        </w:rPr>
        <w:t>. The COVID</w:t>
      </w:r>
      <w:r w:rsidR="000F53A5" w:rsidRPr="009B5734">
        <w:rPr>
          <w:rFonts w:eastAsia="Calibri"/>
          <w:noProof/>
          <w:lang w:val="en-GB" w:eastAsia="en-US"/>
        </w:rPr>
        <w:t>-19</w:t>
      </w:r>
      <w:r w:rsidR="00892B2E" w:rsidRPr="009B5734">
        <w:rPr>
          <w:rFonts w:eastAsia="Calibri"/>
          <w:noProof/>
          <w:lang w:val="en-GB" w:eastAsia="en-US"/>
        </w:rPr>
        <w:t xml:space="preserve"> crisis does not seem to have dampened the public’s awareness o</w:t>
      </w:r>
      <w:r w:rsidR="009E1C45" w:rsidRPr="009B5734">
        <w:rPr>
          <w:rFonts w:eastAsia="Calibri"/>
          <w:noProof/>
          <w:lang w:val="en-GB" w:eastAsia="en-US"/>
        </w:rPr>
        <w:t>f</w:t>
      </w:r>
      <w:r w:rsidR="00892B2E" w:rsidRPr="009B5734">
        <w:rPr>
          <w:rFonts w:eastAsia="Calibri"/>
          <w:noProof/>
          <w:lang w:val="en-GB" w:eastAsia="en-US"/>
        </w:rPr>
        <w:t xml:space="preserve"> this need to address climate change</w:t>
      </w:r>
      <w:r w:rsidR="009E1C45" w:rsidRPr="009B5734">
        <w:rPr>
          <w:rFonts w:eastAsia="Calibri"/>
          <w:noProof/>
          <w:lang w:val="en-GB" w:eastAsia="en-US"/>
        </w:rPr>
        <w:t>, nor their willingness to do so</w:t>
      </w:r>
      <w:r w:rsidR="00892B2E" w:rsidRPr="009B5734">
        <w:rPr>
          <w:rFonts w:eastAsia="Calibri"/>
          <w:noProof/>
          <w:lang w:val="en-GB" w:eastAsia="en-US"/>
        </w:rPr>
        <w:t xml:space="preserve">. Studies even suggest that </w:t>
      </w:r>
      <w:r w:rsidR="009E1C45" w:rsidRPr="009B5734">
        <w:rPr>
          <w:rFonts w:eastAsia="Calibri"/>
          <w:noProof/>
          <w:lang w:val="en-GB" w:eastAsia="en-US"/>
        </w:rPr>
        <w:t>the crisis</w:t>
      </w:r>
      <w:r w:rsidR="00892B2E" w:rsidRPr="009B5734">
        <w:rPr>
          <w:rFonts w:eastAsia="Calibri"/>
          <w:noProof/>
          <w:lang w:val="en-GB" w:eastAsia="en-US"/>
        </w:rPr>
        <w:t xml:space="preserve"> has re-intensified citizens’ support for tackling </w:t>
      </w:r>
      <w:r w:rsidR="000F53A5" w:rsidRPr="009B5734">
        <w:rPr>
          <w:rFonts w:eastAsia="Calibri"/>
          <w:noProof/>
          <w:lang w:val="en-GB" w:eastAsia="en-US"/>
        </w:rPr>
        <w:t>environmental problems</w:t>
      </w:r>
      <w:r w:rsidR="00892B2E" w:rsidRPr="009B5734">
        <w:rPr>
          <w:rStyle w:val="FootnoteReference"/>
          <w:rFonts w:eastAsia="Calibri"/>
          <w:noProof/>
          <w:lang w:val="en-GB" w:eastAsia="en-US"/>
        </w:rPr>
        <w:footnoteReference w:id="8"/>
      </w:r>
      <w:r w:rsidR="00892B2E" w:rsidRPr="009B5734">
        <w:rPr>
          <w:rFonts w:eastAsia="Calibri"/>
          <w:noProof/>
          <w:lang w:val="en-GB" w:eastAsia="en-US"/>
        </w:rPr>
        <w:t>.</w:t>
      </w:r>
      <w:r w:rsidR="00387E65" w:rsidRPr="009B5734">
        <w:rPr>
          <w:rFonts w:eastAsia="Calibri"/>
          <w:noProof/>
          <w:lang w:val="en-GB" w:eastAsia="en-US"/>
        </w:rPr>
        <w:t xml:space="preserve"> When asked about the long-term impact of the </w:t>
      </w:r>
      <w:r w:rsidR="008547CD" w:rsidRPr="009B5734">
        <w:rPr>
          <w:rFonts w:eastAsia="Calibri"/>
          <w:noProof/>
          <w:lang w:val="en-GB" w:eastAsia="en-US"/>
        </w:rPr>
        <w:t>COVID</w:t>
      </w:r>
      <w:r w:rsidR="00557488" w:rsidRPr="009B5734">
        <w:rPr>
          <w:rFonts w:eastAsia="Calibri"/>
          <w:noProof/>
          <w:lang w:val="en-GB" w:eastAsia="en-US"/>
        </w:rPr>
        <w:t xml:space="preserve">-19 </w:t>
      </w:r>
      <w:r w:rsidR="00387E65" w:rsidRPr="009B5734">
        <w:rPr>
          <w:rFonts w:eastAsia="Calibri"/>
          <w:noProof/>
          <w:lang w:val="en-GB" w:eastAsia="en-US"/>
        </w:rPr>
        <w:t xml:space="preserve">crisis, between 66% and 76% of consumers surveyed in 4 EU countries in May 2020 said they </w:t>
      </w:r>
      <w:r w:rsidR="00EA4BF2" w:rsidRPr="009B5734">
        <w:rPr>
          <w:rFonts w:eastAsia="Calibri"/>
          <w:noProof/>
          <w:lang w:val="en-GB" w:eastAsia="en-US"/>
        </w:rPr>
        <w:t>“</w:t>
      </w:r>
      <w:r w:rsidR="00387E65" w:rsidRPr="009B5734">
        <w:rPr>
          <w:rFonts w:eastAsia="Calibri"/>
          <w:noProof/>
          <w:lang w:val="en-GB" w:eastAsia="en-US"/>
        </w:rPr>
        <w:t>will buy products that are better for the environment, even if they cost more”</w:t>
      </w:r>
      <w:r w:rsidR="00EA4BF2" w:rsidRPr="009B5734">
        <w:rPr>
          <w:rStyle w:val="FootnoteReference"/>
          <w:rFonts w:eastAsia="Calibri"/>
          <w:noProof/>
          <w:lang w:val="en-GB" w:eastAsia="en-US"/>
        </w:rPr>
        <w:footnoteReference w:id="9"/>
      </w:r>
      <w:r w:rsidR="00387E65" w:rsidRPr="009B5734">
        <w:rPr>
          <w:rFonts w:eastAsia="Calibri"/>
          <w:noProof/>
          <w:lang w:val="en-GB" w:eastAsia="en-US"/>
        </w:rPr>
        <w:t>.</w:t>
      </w:r>
      <w:r w:rsidR="00485B55" w:rsidRPr="009B5734">
        <w:rPr>
          <w:noProof/>
          <w:lang w:val="en-GB"/>
        </w:rPr>
        <w:t xml:space="preserve"> </w:t>
      </w:r>
      <w:r w:rsidR="00485B55" w:rsidRPr="005D24D2">
        <w:rPr>
          <w:b/>
          <w:bCs/>
          <w:noProof/>
          <w:lang w:val="en-GB"/>
        </w:rPr>
        <w:t>T</w:t>
      </w:r>
      <w:r w:rsidR="00892B2E" w:rsidRPr="005D24D2">
        <w:rPr>
          <w:b/>
          <w:bCs/>
          <w:noProof/>
          <w:lang w:val="en-GB"/>
        </w:rPr>
        <w:t xml:space="preserve">he challenge is to unlock this potential through </w:t>
      </w:r>
      <w:r w:rsidR="00774A98" w:rsidRPr="005D24D2">
        <w:rPr>
          <w:b/>
          <w:bCs/>
          <w:noProof/>
          <w:lang w:val="en-GB"/>
        </w:rPr>
        <w:t>policy</w:t>
      </w:r>
      <w:r w:rsidR="00892B2E" w:rsidRPr="005D24D2" w:rsidDel="00774A98">
        <w:rPr>
          <w:b/>
          <w:bCs/>
          <w:noProof/>
          <w:lang w:val="en-GB"/>
        </w:rPr>
        <w:t xml:space="preserve"> </w:t>
      </w:r>
      <w:r w:rsidR="00774A98" w:rsidRPr="005D24D2">
        <w:rPr>
          <w:b/>
          <w:bCs/>
          <w:noProof/>
          <w:lang w:val="en-GB"/>
        </w:rPr>
        <w:t>measures</w:t>
      </w:r>
      <w:r w:rsidR="00892B2E" w:rsidRPr="005D24D2">
        <w:rPr>
          <w:b/>
          <w:bCs/>
          <w:noProof/>
          <w:lang w:val="en-GB"/>
        </w:rPr>
        <w:t xml:space="preserve"> that empower, support and enable </w:t>
      </w:r>
      <w:r w:rsidR="000F53A5" w:rsidRPr="005D24D2">
        <w:rPr>
          <w:b/>
          <w:bCs/>
          <w:noProof/>
          <w:lang w:val="en-GB"/>
        </w:rPr>
        <w:t>European</w:t>
      </w:r>
      <w:r w:rsidR="00892B2E" w:rsidRPr="005D24D2">
        <w:rPr>
          <w:b/>
          <w:bCs/>
          <w:noProof/>
          <w:lang w:val="en-GB"/>
        </w:rPr>
        <w:t xml:space="preserve"> consumer</w:t>
      </w:r>
      <w:r w:rsidR="007B0C04" w:rsidRPr="005D24D2">
        <w:rPr>
          <w:b/>
          <w:bCs/>
          <w:noProof/>
          <w:lang w:val="en-GB"/>
        </w:rPr>
        <w:t>s</w:t>
      </w:r>
      <w:r w:rsidR="006476DC" w:rsidRPr="005D24D2">
        <w:rPr>
          <w:b/>
          <w:bCs/>
          <w:noProof/>
          <w:lang w:val="en-GB"/>
        </w:rPr>
        <w:t xml:space="preserve"> </w:t>
      </w:r>
      <w:r w:rsidR="00892B2E" w:rsidRPr="005D24D2">
        <w:rPr>
          <w:b/>
          <w:bCs/>
          <w:noProof/>
          <w:lang w:val="en-GB"/>
        </w:rPr>
        <w:t>to play an active role in the green transition.</w:t>
      </w:r>
      <w:r w:rsidR="004629D8" w:rsidRPr="005D24D2">
        <w:rPr>
          <w:noProof/>
          <w:lang w:val="en-GB"/>
        </w:rPr>
        <w:t xml:space="preserve"> </w:t>
      </w:r>
    </w:p>
    <w:p w:rsidR="00413566" w:rsidRPr="009B5734" w:rsidRDefault="004629D8" w:rsidP="00413566">
      <w:pPr>
        <w:pStyle w:val="Default"/>
        <w:spacing w:before="120" w:after="120"/>
        <w:ind w:left="0" w:firstLine="0"/>
        <w:rPr>
          <w:bCs/>
          <w:noProof/>
          <w:lang w:val="en-GB"/>
        </w:rPr>
      </w:pPr>
      <w:r w:rsidRPr="009B5734">
        <w:rPr>
          <w:bCs/>
          <w:noProof/>
          <w:lang w:val="en-GB"/>
        </w:rPr>
        <w:t>In one of its recent resolutions</w:t>
      </w:r>
      <w:r w:rsidRPr="009B5734">
        <w:rPr>
          <w:rStyle w:val="FootnoteReference"/>
          <w:bCs/>
          <w:noProof/>
          <w:lang w:val="en-GB"/>
        </w:rPr>
        <w:footnoteReference w:id="10"/>
      </w:r>
      <w:r w:rsidRPr="009B5734">
        <w:rPr>
          <w:bCs/>
          <w:noProof/>
          <w:lang w:val="en-GB"/>
        </w:rPr>
        <w:t>, the European Parliament has called on the</w:t>
      </w:r>
      <w:r w:rsidR="00414041" w:rsidRPr="009B5734">
        <w:rPr>
          <w:bCs/>
          <w:noProof/>
          <w:lang w:val="en-GB"/>
        </w:rPr>
        <w:t xml:space="preserve"> European</w:t>
      </w:r>
      <w:r w:rsidRPr="009B5734">
        <w:rPr>
          <w:bCs/>
          <w:noProof/>
          <w:lang w:val="en-GB"/>
        </w:rPr>
        <w:t xml:space="preserve"> Commission to show strong political ambition when designing this </w:t>
      </w:r>
      <w:r w:rsidR="006476DC" w:rsidRPr="009B5734">
        <w:rPr>
          <w:bCs/>
          <w:noProof/>
          <w:lang w:val="en-GB"/>
        </w:rPr>
        <w:t xml:space="preserve">and other related </w:t>
      </w:r>
      <w:r w:rsidRPr="009B5734">
        <w:rPr>
          <w:bCs/>
          <w:noProof/>
          <w:lang w:val="en-GB"/>
        </w:rPr>
        <w:t>initiative</w:t>
      </w:r>
      <w:r w:rsidR="006476DC" w:rsidRPr="009B5734">
        <w:rPr>
          <w:bCs/>
          <w:noProof/>
          <w:lang w:val="en-GB"/>
        </w:rPr>
        <w:t>s</w:t>
      </w:r>
      <w:r w:rsidRPr="009B5734">
        <w:rPr>
          <w:bCs/>
          <w:noProof/>
          <w:lang w:val="en-GB"/>
        </w:rPr>
        <w:t xml:space="preserve">.  </w:t>
      </w:r>
      <w:r w:rsidR="008A2DA1" w:rsidRPr="009B5734">
        <w:rPr>
          <w:bCs/>
          <w:noProof/>
          <w:lang w:val="en-GB"/>
        </w:rPr>
        <w:t xml:space="preserve">It calls specifically </w:t>
      </w:r>
      <w:r w:rsidR="005F4714" w:rsidRPr="009B5734">
        <w:rPr>
          <w:bCs/>
          <w:noProof/>
          <w:lang w:val="en-GB"/>
        </w:rPr>
        <w:t xml:space="preserve">to develop measures </w:t>
      </w:r>
      <w:r w:rsidR="008A2DA1" w:rsidRPr="009B5734">
        <w:rPr>
          <w:bCs/>
          <w:noProof/>
          <w:lang w:val="en-GB"/>
        </w:rPr>
        <w:t xml:space="preserve">on the provision of </w:t>
      </w:r>
      <w:r w:rsidR="005F4714" w:rsidRPr="009B5734">
        <w:rPr>
          <w:bCs/>
          <w:noProof/>
          <w:lang w:val="en-GB"/>
        </w:rPr>
        <w:t xml:space="preserve">pre-contractual information </w:t>
      </w:r>
      <w:r w:rsidR="008A2DA1" w:rsidRPr="009B5734">
        <w:rPr>
          <w:bCs/>
          <w:noProof/>
          <w:lang w:val="en-GB"/>
        </w:rPr>
        <w:t xml:space="preserve">on </w:t>
      </w:r>
      <w:r w:rsidR="005F4714" w:rsidRPr="009B5734">
        <w:rPr>
          <w:bCs/>
          <w:noProof/>
          <w:lang w:val="en-GB"/>
        </w:rPr>
        <w:t xml:space="preserve">the </w:t>
      </w:r>
      <w:r w:rsidR="008A2DA1" w:rsidRPr="009B5734">
        <w:rPr>
          <w:bCs/>
          <w:noProof/>
          <w:lang w:val="en-GB"/>
        </w:rPr>
        <w:t>lifespan and reparability of products as well as measures</w:t>
      </w:r>
      <w:r w:rsidR="005F4714" w:rsidRPr="009B5734">
        <w:rPr>
          <w:bCs/>
          <w:noProof/>
          <w:lang w:val="en-GB"/>
        </w:rPr>
        <w:t xml:space="preserve"> </w:t>
      </w:r>
      <w:r w:rsidR="008A2DA1" w:rsidRPr="009B5734">
        <w:rPr>
          <w:bCs/>
          <w:noProof/>
          <w:lang w:val="en-GB"/>
        </w:rPr>
        <w:t xml:space="preserve">to combat premature obsolescence </w:t>
      </w:r>
      <w:r w:rsidR="009F77DE" w:rsidRPr="009B5734">
        <w:rPr>
          <w:bCs/>
          <w:noProof/>
          <w:lang w:val="en-GB"/>
        </w:rPr>
        <w:t>or</w:t>
      </w:r>
      <w:r w:rsidR="008A2DA1" w:rsidRPr="009B5734">
        <w:rPr>
          <w:bCs/>
          <w:noProof/>
          <w:lang w:val="en-GB"/>
        </w:rPr>
        <w:t xml:space="preserve"> greenwashing</w:t>
      </w:r>
      <w:r w:rsidR="009F77DE" w:rsidRPr="009B5734">
        <w:rPr>
          <w:bCs/>
          <w:noProof/>
          <w:lang w:val="en-GB"/>
        </w:rPr>
        <w:t xml:space="preserve"> among other aspects. </w:t>
      </w:r>
      <w:r w:rsidR="00413566" w:rsidRPr="00014EB8">
        <w:rPr>
          <w:noProof/>
          <w:lang w:val="en-GB"/>
        </w:rPr>
        <w:t>In the recent Council Conclusions on the</w:t>
      </w:r>
      <w:r w:rsidR="00125511">
        <w:rPr>
          <w:noProof/>
          <w:lang w:val="en-GB"/>
        </w:rPr>
        <w:t xml:space="preserve"> New</w:t>
      </w:r>
      <w:r w:rsidR="00413566" w:rsidRPr="00014EB8">
        <w:rPr>
          <w:noProof/>
          <w:lang w:val="en-GB"/>
        </w:rPr>
        <w:t xml:space="preserve"> Consumer Agenda</w:t>
      </w:r>
      <w:r w:rsidR="00413566" w:rsidRPr="00014EB8">
        <w:rPr>
          <w:rStyle w:val="FootnoteReference"/>
          <w:noProof/>
          <w:lang w:val="en-GB"/>
        </w:rPr>
        <w:footnoteReference w:id="11"/>
      </w:r>
      <w:r w:rsidR="00413566" w:rsidRPr="00014EB8">
        <w:rPr>
          <w:noProof/>
          <w:lang w:val="en-GB"/>
        </w:rPr>
        <w:t>, Member States have “welcomed the Commission’s intention to propose measures in order to promote sustainable consumption by improving consumers’ right to accurate and effective information, and to better protect them against certain practices such as unsubstantiated green claims and greenwashing”. With such rules, the EU27 as one of the largest economies in the world</w:t>
      </w:r>
      <w:r w:rsidR="00413566" w:rsidRPr="00014EB8">
        <w:rPr>
          <w:rStyle w:val="FootnoteReference"/>
          <w:noProof/>
          <w:lang w:val="en-GB"/>
        </w:rPr>
        <w:footnoteReference w:id="12"/>
      </w:r>
      <w:r w:rsidR="00413566" w:rsidRPr="00014EB8">
        <w:rPr>
          <w:noProof/>
          <w:lang w:val="en-GB"/>
        </w:rPr>
        <w:t xml:space="preserve">, can act as a standard-setter for options to encourage sustainable consumption in other jurisdictions.  </w:t>
      </w:r>
    </w:p>
    <w:p w:rsidR="00781D39" w:rsidRDefault="00781D39" w:rsidP="006D1432">
      <w:pPr>
        <w:pStyle w:val="Default"/>
        <w:spacing w:before="120" w:after="120"/>
        <w:ind w:left="0" w:firstLine="0"/>
        <w:rPr>
          <w:b/>
          <w:noProof/>
          <w:lang w:val="en-GB"/>
        </w:rPr>
      </w:pPr>
      <w:r w:rsidRPr="009B5734">
        <w:rPr>
          <w:b/>
          <w:bCs/>
          <w:noProof/>
          <w:lang w:val="en-GB"/>
        </w:rPr>
        <w:t>Objective and s</w:t>
      </w:r>
      <w:r w:rsidRPr="009B5734">
        <w:rPr>
          <w:b/>
          <w:noProof/>
          <w:lang w:val="en-GB"/>
        </w:rPr>
        <w:t>cope of this initiative</w:t>
      </w:r>
    </w:p>
    <w:p w:rsidR="00BD5424" w:rsidRDefault="00920BA9" w:rsidP="008D65D2">
      <w:pPr>
        <w:pStyle w:val="Default"/>
        <w:ind w:left="0" w:firstLine="0"/>
        <w:rPr>
          <w:noProof/>
          <w:lang w:val="en-GB"/>
        </w:rPr>
      </w:pPr>
      <w:r w:rsidRPr="008D65D2">
        <w:rPr>
          <w:rFonts w:eastAsia="Calibri"/>
          <w:noProof/>
          <w:lang w:val="en-IE"/>
        </w:rPr>
        <w:t xml:space="preserve">Within </w:t>
      </w:r>
      <w:r>
        <w:rPr>
          <w:rFonts w:eastAsia="Calibri"/>
          <w:noProof/>
          <w:lang w:val="en-GB" w:eastAsia="en-US"/>
        </w:rPr>
        <w:t xml:space="preserve">the area of environmental sustainability, this initiative focuses on those aspects of environmental sustainability which </w:t>
      </w:r>
      <w:r w:rsidR="002E50C3">
        <w:rPr>
          <w:rFonts w:eastAsia="Calibri"/>
          <w:noProof/>
          <w:lang w:val="en-GB" w:eastAsia="en-US"/>
        </w:rPr>
        <w:t>can be</w:t>
      </w:r>
      <w:r>
        <w:rPr>
          <w:rFonts w:eastAsia="Calibri"/>
          <w:noProof/>
          <w:lang w:val="en-GB" w:eastAsia="en-US"/>
        </w:rPr>
        <w:t xml:space="preserve"> most appropriately addressed by </w:t>
      </w:r>
      <w:r w:rsidR="00330322">
        <w:rPr>
          <w:rFonts w:eastAsia="Calibri"/>
          <w:noProof/>
          <w:lang w:val="en-GB" w:eastAsia="en-US"/>
        </w:rPr>
        <w:t xml:space="preserve">horizontal </w:t>
      </w:r>
      <w:r>
        <w:rPr>
          <w:rFonts w:eastAsia="Calibri"/>
          <w:noProof/>
          <w:lang w:val="en-GB" w:eastAsia="en-US"/>
        </w:rPr>
        <w:t xml:space="preserve">consumer law. </w:t>
      </w:r>
      <w:r w:rsidR="00125511">
        <w:rPr>
          <w:rFonts w:eastAsia="Calibri"/>
          <w:noProof/>
          <w:lang w:val="en-GB" w:eastAsia="en-US"/>
        </w:rPr>
        <w:t xml:space="preserve">As foreseen in </w:t>
      </w:r>
      <w:r w:rsidRPr="004563C8">
        <w:rPr>
          <w:noProof/>
          <w:lang w:val="en-GB"/>
        </w:rPr>
        <w:t>the CEAP and the New Consumer Agenda</w:t>
      </w:r>
      <w:r w:rsidR="00125511">
        <w:rPr>
          <w:noProof/>
          <w:lang w:val="en-GB"/>
        </w:rPr>
        <w:t>, this initiative</w:t>
      </w:r>
      <w:r w:rsidRPr="004563C8">
        <w:rPr>
          <w:noProof/>
          <w:lang w:val="en-GB"/>
        </w:rPr>
        <w:t xml:space="preserve"> tackle</w:t>
      </w:r>
      <w:r w:rsidR="00125511">
        <w:rPr>
          <w:noProof/>
          <w:lang w:val="en-GB"/>
        </w:rPr>
        <w:t>s</w:t>
      </w:r>
      <w:r w:rsidRPr="004563C8">
        <w:rPr>
          <w:noProof/>
          <w:lang w:val="en-GB"/>
        </w:rPr>
        <w:t xml:space="preserve"> the identified problems </w:t>
      </w:r>
      <w:r w:rsidRPr="004563C8">
        <w:rPr>
          <w:i/>
          <w:noProof/>
          <w:lang w:val="en-GB"/>
        </w:rPr>
        <w:t>via a revision of consumer law</w:t>
      </w:r>
      <w:r w:rsidR="00125511">
        <w:rPr>
          <w:noProof/>
          <w:lang w:val="en-GB"/>
        </w:rPr>
        <w:t>, setting general requirements that would complement more targeted rules contained in sectoral legislation, e.g. on specific products or product groups.</w:t>
      </w:r>
      <w:r w:rsidRPr="004563C8">
        <w:rPr>
          <w:noProof/>
          <w:lang w:val="en-GB"/>
        </w:rPr>
        <w:t xml:space="preserve"> It therefore </w:t>
      </w:r>
      <w:r w:rsidR="00BD5424">
        <w:rPr>
          <w:noProof/>
          <w:lang w:val="en-GB"/>
        </w:rPr>
        <w:t xml:space="preserve">focus on empowering consumers in their decision-making process, and </w:t>
      </w:r>
      <w:r w:rsidRPr="004563C8">
        <w:rPr>
          <w:noProof/>
          <w:lang w:val="en-GB"/>
        </w:rPr>
        <w:t>does not consider</w:t>
      </w:r>
      <w:r>
        <w:rPr>
          <w:noProof/>
          <w:lang w:val="en-GB"/>
        </w:rPr>
        <w:t xml:space="preserve"> the use of </w:t>
      </w:r>
      <w:r w:rsidRPr="004563C8">
        <w:rPr>
          <w:noProof/>
          <w:lang w:val="en-GB"/>
        </w:rPr>
        <w:t xml:space="preserve"> </w:t>
      </w:r>
      <w:r>
        <w:rPr>
          <w:noProof/>
          <w:lang w:val="en-GB"/>
        </w:rPr>
        <w:t xml:space="preserve">other </w:t>
      </w:r>
      <w:r w:rsidR="00BD5424">
        <w:rPr>
          <w:noProof/>
          <w:lang w:val="en-GB"/>
        </w:rPr>
        <w:t xml:space="preserve">non-consumer law </w:t>
      </w:r>
      <w:r>
        <w:rPr>
          <w:noProof/>
          <w:lang w:val="en-GB"/>
        </w:rPr>
        <w:t>instruments</w:t>
      </w:r>
      <w:r w:rsidRPr="004563C8">
        <w:rPr>
          <w:noProof/>
          <w:lang w:val="en-GB"/>
        </w:rPr>
        <w:t xml:space="preserve"> </w:t>
      </w:r>
      <w:r>
        <w:rPr>
          <w:noProof/>
          <w:lang w:val="en-GB"/>
        </w:rPr>
        <w:t>that</w:t>
      </w:r>
      <w:r w:rsidRPr="004563C8">
        <w:rPr>
          <w:noProof/>
          <w:lang w:val="en-GB"/>
        </w:rPr>
        <w:t xml:space="preserve"> may </w:t>
      </w:r>
      <w:r>
        <w:rPr>
          <w:noProof/>
          <w:lang w:val="en-GB"/>
        </w:rPr>
        <w:t>in addition</w:t>
      </w:r>
      <w:r w:rsidRPr="004563C8">
        <w:rPr>
          <w:noProof/>
          <w:lang w:val="en-GB"/>
        </w:rPr>
        <w:t xml:space="preserve"> provide</w:t>
      </w:r>
      <w:r>
        <w:rPr>
          <w:noProof/>
          <w:lang w:val="en-GB"/>
        </w:rPr>
        <w:t xml:space="preserve"> further</w:t>
      </w:r>
      <w:r w:rsidRPr="004563C8">
        <w:rPr>
          <w:noProof/>
          <w:lang w:val="en-GB"/>
        </w:rPr>
        <w:t xml:space="preserve"> solutions for better</w:t>
      </w:r>
      <w:r>
        <w:rPr>
          <w:noProof/>
          <w:lang w:val="en-GB"/>
        </w:rPr>
        <w:t xml:space="preserve"> empowering consumers for the green transition, such as, for example, fiscal policy instruments or sectorial policy instruments.</w:t>
      </w:r>
    </w:p>
    <w:p w:rsidR="008E0AE8" w:rsidRPr="008D65D2" w:rsidRDefault="008E0AE8" w:rsidP="008D65D2">
      <w:pPr>
        <w:pStyle w:val="Default"/>
        <w:ind w:left="0" w:firstLine="0"/>
        <w:rPr>
          <w:noProof/>
          <w:lang w:val="en-GB"/>
        </w:rPr>
      </w:pPr>
    </w:p>
    <w:p w:rsidR="00E20186" w:rsidRDefault="00863D70" w:rsidP="009F77DE">
      <w:pPr>
        <w:pStyle w:val="Default"/>
        <w:ind w:left="0" w:firstLine="0"/>
        <w:rPr>
          <w:noProof/>
          <w:lang w:val="en-GB"/>
        </w:rPr>
      </w:pPr>
      <w:r w:rsidRPr="009B5734">
        <w:rPr>
          <w:rFonts w:eastAsia="Calibri"/>
          <w:noProof/>
          <w:lang w:val="en-GB" w:eastAsia="en-US"/>
        </w:rPr>
        <w:t>As per its mandate under CEAP</w:t>
      </w:r>
      <w:r w:rsidRPr="009B5734">
        <w:rPr>
          <w:noProof/>
          <w:lang w:val="en-GB"/>
        </w:rPr>
        <w:t>, t</w:t>
      </w:r>
      <w:r w:rsidR="00892B2E" w:rsidRPr="009B5734">
        <w:rPr>
          <w:noProof/>
          <w:lang w:val="en-GB"/>
        </w:rPr>
        <w:t xml:space="preserve">his </w:t>
      </w:r>
      <w:r w:rsidR="004F3A30" w:rsidRPr="009B5734">
        <w:rPr>
          <w:noProof/>
          <w:lang w:val="en-GB"/>
        </w:rPr>
        <w:t xml:space="preserve">consumer law </w:t>
      </w:r>
      <w:r w:rsidR="00892B2E" w:rsidRPr="009B5734">
        <w:rPr>
          <w:noProof/>
          <w:lang w:val="en-GB"/>
        </w:rPr>
        <w:t xml:space="preserve">initiative will tackle problems identified with </w:t>
      </w:r>
      <w:r w:rsidR="003F6480" w:rsidRPr="009B5734">
        <w:rPr>
          <w:noProof/>
          <w:lang w:val="en-GB"/>
        </w:rPr>
        <w:t>the</w:t>
      </w:r>
      <w:r w:rsidR="00BD5424">
        <w:rPr>
          <w:noProof/>
          <w:lang w:val="en-GB"/>
        </w:rPr>
        <w:t xml:space="preserve"> consumer’s decision-making process at the point of sale</w:t>
      </w:r>
      <w:r w:rsidR="003F6480" w:rsidRPr="009B5734" w:rsidDel="00BD5424">
        <w:rPr>
          <w:noProof/>
          <w:lang w:val="en-GB"/>
        </w:rPr>
        <w:t xml:space="preserve"> </w:t>
      </w:r>
      <w:r w:rsidR="007D1F1F">
        <w:rPr>
          <w:noProof/>
          <w:lang w:val="en-GB"/>
        </w:rPr>
        <w:t xml:space="preserve">and </w:t>
      </w:r>
      <w:r w:rsidR="007D1F1F" w:rsidRPr="008D65D2">
        <w:rPr>
          <w:noProof/>
          <w:lang w:val="en-IE"/>
        </w:rPr>
        <w:t>business-to-consumer commercial practices</w:t>
      </w:r>
      <w:r w:rsidR="007D1F1F">
        <w:rPr>
          <w:noProof/>
          <w:lang w:val="en-IE"/>
        </w:rPr>
        <w:t xml:space="preserve"> (i.e. an</w:t>
      </w:r>
      <w:r w:rsidR="007D1F1F" w:rsidRPr="008D65D2">
        <w:rPr>
          <w:noProof/>
          <w:lang w:val="en-IE"/>
        </w:rPr>
        <w:t>y act, omission, course of conduct or representation, commercial communication including advertising and marketing, by a trader, directly connected with the promotion, sale or supply of a product to consumers</w:t>
      </w:r>
      <w:r w:rsidR="007D1F1F">
        <w:rPr>
          <w:noProof/>
          <w:lang w:val="en-IE"/>
        </w:rPr>
        <w:t>)</w:t>
      </w:r>
      <w:r w:rsidR="00BD5424">
        <w:rPr>
          <w:noProof/>
          <w:lang w:val="en-GB"/>
        </w:rPr>
        <w:t xml:space="preserve">. It will address the </w:t>
      </w:r>
      <w:r w:rsidR="003F6480" w:rsidRPr="009B5734">
        <w:rPr>
          <w:noProof/>
          <w:lang w:val="en-GB"/>
        </w:rPr>
        <w:t>provision of</w:t>
      </w:r>
      <w:r w:rsidR="00892B2E" w:rsidRPr="009B5734">
        <w:rPr>
          <w:noProof/>
          <w:lang w:val="en-GB"/>
        </w:rPr>
        <w:t xml:space="preserve"> </w:t>
      </w:r>
      <w:r w:rsidR="00666526" w:rsidRPr="009B5734">
        <w:rPr>
          <w:b/>
          <w:noProof/>
          <w:lang w:val="en-GB"/>
        </w:rPr>
        <w:t>reliable</w:t>
      </w:r>
      <w:r w:rsidR="00426D41" w:rsidRPr="009B5734">
        <w:rPr>
          <w:noProof/>
          <w:lang w:val="en-GB"/>
        </w:rPr>
        <w:t xml:space="preserve"> </w:t>
      </w:r>
      <w:r w:rsidR="00892B2E" w:rsidRPr="009B5734">
        <w:rPr>
          <w:b/>
          <w:noProof/>
          <w:lang w:val="en-GB"/>
        </w:rPr>
        <w:t>consumer information</w:t>
      </w:r>
      <w:r w:rsidR="00892B2E" w:rsidRPr="009B5734">
        <w:rPr>
          <w:noProof/>
          <w:lang w:val="en-GB"/>
        </w:rPr>
        <w:t xml:space="preserve">, in particular the fact that </w:t>
      </w:r>
      <w:r w:rsidR="00892B2E" w:rsidRPr="009B5734">
        <w:rPr>
          <w:b/>
          <w:noProof/>
          <w:lang w:val="en-GB"/>
        </w:rPr>
        <w:t xml:space="preserve">consumers lack </w:t>
      </w:r>
      <w:r w:rsidR="00666526" w:rsidRPr="009B5734">
        <w:rPr>
          <w:b/>
          <w:noProof/>
          <w:lang w:val="en-GB"/>
        </w:rPr>
        <w:t>reliable</w:t>
      </w:r>
      <w:r w:rsidR="00426D41" w:rsidRPr="009B5734">
        <w:rPr>
          <w:b/>
          <w:noProof/>
          <w:lang w:val="en-GB"/>
        </w:rPr>
        <w:t xml:space="preserve"> </w:t>
      </w:r>
      <w:r w:rsidR="00892B2E" w:rsidRPr="009B5734">
        <w:rPr>
          <w:b/>
          <w:noProof/>
          <w:lang w:val="en-GB"/>
        </w:rPr>
        <w:t>information</w:t>
      </w:r>
      <w:r w:rsidR="00AA7999" w:rsidRPr="009B5734">
        <w:rPr>
          <w:b/>
          <w:noProof/>
          <w:lang w:val="en-GB"/>
        </w:rPr>
        <w:t xml:space="preserve"> at the point of sale</w:t>
      </w:r>
      <w:r w:rsidR="00892B2E" w:rsidRPr="009B5734">
        <w:rPr>
          <w:b/>
          <w:noProof/>
          <w:lang w:val="en-GB"/>
        </w:rPr>
        <w:t xml:space="preserve"> for choosing</w:t>
      </w:r>
      <w:r w:rsidR="000F53A5" w:rsidRPr="009B5734">
        <w:rPr>
          <w:b/>
          <w:noProof/>
          <w:lang w:val="en-GB"/>
        </w:rPr>
        <w:t xml:space="preserve"> more</w:t>
      </w:r>
      <w:r w:rsidR="00892B2E" w:rsidRPr="009B5734">
        <w:rPr>
          <w:b/>
          <w:noProof/>
          <w:lang w:val="en-GB"/>
        </w:rPr>
        <w:t xml:space="preserve"> </w:t>
      </w:r>
      <w:r w:rsidR="003D3B55" w:rsidRPr="009B5734">
        <w:rPr>
          <w:b/>
          <w:noProof/>
          <w:lang w:val="en-GB"/>
        </w:rPr>
        <w:t>environmentally</w:t>
      </w:r>
      <w:r w:rsidR="00892B2E" w:rsidRPr="009B5734">
        <w:rPr>
          <w:b/>
          <w:noProof/>
          <w:lang w:val="en-GB"/>
        </w:rPr>
        <w:t xml:space="preserve"> sustainable</w:t>
      </w:r>
      <w:r w:rsidR="00892B2E" w:rsidRPr="009B5734">
        <w:rPr>
          <w:noProof/>
          <w:lang w:val="en-GB"/>
        </w:rPr>
        <w:t xml:space="preserve"> </w:t>
      </w:r>
      <w:r w:rsidR="00892B2E" w:rsidRPr="009B5734">
        <w:rPr>
          <w:b/>
          <w:noProof/>
          <w:lang w:val="en-GB"/>
        </w:rPr>
        <w:t>products</w:t>
      </w:r>
      <w:r w:rsidR="003F6480" w:rsidRPr="009B5734">
        <w:rPr>
          <w:noProof/>
          <w:lang w:val="en-GB"/>
        </w:rPr>
        <w:t>. It will also</w:t>
      </w:r>
      <w:r w:rsidR="00892B2E" w:rsidRPr="009B5734">
        <w:rPr>
          <w:noProof/>
          <w:lang w:val="en-GB"/>
        </w:rPr>
        <w:t xml:space="preserve"> strive </w:t>
      </w:r>
      <w:r w:rsidR="003F6480" w:rsidRPr="009B5734">
        <w:rPr>
          <w:noProof/>
          <w:lang w:val="en-GB"/>
        </w:rPr>
        <w:t>to</w:t>
      </w:r>
      <w:r w:rsidR="00892B2E" w:rsidRPr="009B5734">
        <w:rPr>
          <w:noProof/>
          <w:lang w:val="en-GB"/>
        </w:rPr>
        <w:t xml:space="preserve"> </w:t>
      </w:r>
      <w:r w:rsidR="00892B2E" w:rsidRPr="009B5734">
        <w:rPr>
          <w:b/>
          <w:noProof/>
          <w:lang w:val="en-GB"/>
        </w:rPr>
        <w:t xml:space="preserve">better protect consumers against </w:t>
      </w:r>
      <w:r w:rsidR="00D1463C" w:rsidRPr="009B5734">
        <w:rPr>
          <w:b/>
          <w:noProof/>
          <w:lang w:val="en-GB"/>
        </w:rPr>
        <w:t xml:space="preserve">unfair </w:t>
      </w:r>
      <w:r w:rsidR="00892B2E" w:rsidRPr="009B5734">
        <w:rPr>
          <w:b/>
          <w:noProof/>
          <w:lang w:val="en-GB"/>
        </w:rPr>
        <w:t>commercial practices</w:t>
      </w:r>
      <w:r w:rsidR="00892B2E" w:rsidRPr="009B5734">
        <w:rPr>
          <w:noProof/>
          <w:lang w:val="en-GB"/>
        </w:rPr>
        <w:t>, such as greenwashing</w:t>
      </w:r>
      <w:r w:rsidR="0004456A" w:rsidRPr="009B5734">
        <w:rPr>
          <w:noProof/>
          <w:lang w:val="en-GB"/>
        </w:rPr>
        <w:t xml:space="preserve">, </w:t>
      </w:r>
      <w:r w:rsidR="00892B2E" w:rsidRPr="009B5734">
        <w:rPr>
          <w:noProof/>
          <w:lang w:val="en-GB"/>
        </w:rPr>
        <w:t>early obsolescence</w:t>
      </w:r>
      <w:r w:rsidR="000F53A5" w:rsidRPr="009B5734">
        <w:rPr>
          <w:noProof/>
          <w:lang w:val="en-GB"/>
        </w:rPr>
        <w:t xml:space="preserve"> of consumer goods</w:t>
      </w:r>
      <w:r w:rsidR="0004456A" w:rsidRPr="009B5734">
        <w:rPr>
          <w:noProof/>
          <w:lang w:val="en-GB"/>
        </w:rPr>
        <w:t xml:space="preserve"> or</w:t>
      </w:r>
      <w:r w:rsidR="00944526" w:rsidRPr="009B5734">
        <w:rPr>
          <w:noProof/>
          <w:lang w:val="en-GB"/>
        </w:rPr>
        <w:t xml:space="preserve"> non-</w:t>
      </w:r>
      <w:r w:rsidR="0004456A" w:rsidRPr="009B5734">
        <w:rPr>
          <w:noProof/>
          <w:lang w:val="en-GB"/>
        </w:rPr>
        <w:t>transparent</w:t>
      </w:r>
      <w:r w:rsidR="00944526" w:rsidRPr="009B5734">
        <w:rPr>
          <w:noProof/>
          <w:lang w:val="en-GB"/>
        </w:rPr>
        <w:t xml:space="preserve"> voluntary</w:t>
      </w:r>
      <w:r w:rsidR="0004456A" w:rsidRPr="009B5734">
        <w:rPr>
          <w:noProof/>
          <w:lang w:val="en-GB"/>
        </w:rPr>
        <w:t xml:space="preserve"> sustainability labels and</w:t>
      </w:r>
      <w:r w:rsidR="00A16EF8" w:rsidRPr="009B5734">
        <w:rPr>
          <w:noProof/>
          <w:lang w:val="en-GB"/>
        </w:rPr>
        <w:t xml:space="preserve"> </w:t>
      </w:r>
      <w:r w:rsidR="00277D4F" w:rsidRPr="009B5734">
        <w:rPr>
          <w:noProof/>
          <w:lang w:val="en-GB"/>
        </w:rPr>
        <w:t xml:space="preserve">digital </w:t>
      </w:r>
      <w:r w:rsidR="0004456A" w:rsidRPr="009B5734">
        <w:rPr>
          <w:noProof/>
          <w:lang w:val="en-GB"/>
        </w:rPr>
        <w:t>information tools</w:t>
      </w:r>
      <w:r w:rsidR="00892B2E" w:rsidRPr="009B5734">
        <w:rPr>
          <w:noProof/>
          <w:lang w:val="en-GB"/>
        </w:rPr>
        <w:t xml:space="preserve">, </w:t>
      </w:r>
      <w:r w:rsidR="003F6480" w:rsidRPr="009B5734">
        <w:rPr>
          <w:b/>
          <w:noProof/>
          <w:lang w:val="en-GB"/>
        </w:rPr>
        <w:t>which are</w:t>
      </w:r>
      <w:r w:rsidR="003F6480" w:rsidRPr="009B5734">
        <w:rPr>
          <w:noProof/>
          <w:lang w:val="en-GB"/>
        </w:rPr>
        <w:t xml:space="preserve"> </w:t>
      </w:r>
      <w:r w:rsidR="00892B2E" w:rsidRPr="009B5734">
        <w:rPr>
          <w:b/>
          <w:noProof/>
          <w:lang w:val="en-GB"/>
        </w:rPr>
        <w:t xml:space="preserve">not compatible with </w:t>
      </w:r>
      <w:r w:rsidR="003C6F8A" w:rsidRPr="009B5734">
        <w:rPr>
          <w:b/>
          <w:noProof/>
          <w:lang w:val="en-GB"/>
        </w:rPr>
        <w:t>the green transition</w:t>
      </w:r>
      <w:r w:rsidR="00892B2E" w:rsidRPr="009B5734">
        <w:rPr>
          <w:noProof/>
          <w:lang w:val="en-GB"/>
        </w:rPr>
        <w:t xml:space="preserve">. </w:t>
      </w:r>
    </w:p>
    <w:p w:rsidR="00920BA9" w:rsidRPr="009B5734" w:rsidRDefault="00920BA9" w:rsidP="00920BA9">
      <w:pPr>
        <w:pStyle w:val="Default"/>
        <w:spacing w:before="120" w:after="120"/>
        <w:ind w:left="0" w:firstLine="0"/>
        <w:rPr>
          <w:noProof/>
          <w:lang w:val="en-GB"/>
        </w:rPr>
      </w:pPr>
      <w:r w:rsidRPr="009B5734">
        <w:rPr>
          <w:noProof/>
          <w:lang w:val="en-GB"/>
        </w:rPr>
        <w:t xml:space="preserve">Results from a consumer survey carried out to support this initiative show that </w:t>
      </w:r>
      <w:r w:rsidRPr="005D24D2">
        <w:rPr>
          <w:b/>
          <w:bCs/>
          <w:noProof/>
          <w:lang w:val="en-GB"/>
        </w:rPr>
        <w:t xml:space="preserve">a lack of reliable information about products’ environmental sustainability, reparability and lifespan </w:t>
      </w:r>
      <w:r w:rsidRPr="00014EB8">
        <w:rPr>
          <w:noProof/>
          <w:lang w:val="en-GB"/>
        </w:rPr>
        <w:t xml:space="preserve">feature among the </w:t>
      </w:r>
      <w:r w:rsidRPr="005D24D2">
        <w:rPr>
          <w:b/>
          <w:bCs/>
          <w:noProof/>
          <w:lang w:val="en-GB"/>
        </w:rPr>
        <w:t>main obstacles preventing consumers from adopting more sustainable consumption behaviours</w:t>
      </w:r>
      <w:r w:rsidRPr="009B5734">
        <w:rPr>
          <w:noProof/>
          <w:lang w:val="en-GB"/>
        </w:rPr>
        <w:t>. According to recent consultations</w:t>
      </w:r>
      <w:r w:rsidRPr="00014EB8">
        <w:rPr>
          <w:rStyle w:val="FootnoteReference"/>
          <w:noProof/>
          <w:lang w:val="en-GB"/>
        </w:rPr>
        <w:footnoteReference w:id="13"/>
      </w:r>
      <w:r w:rsidRPr="009B5734">
        <w:rPr>
          <w:noProof/>
          <w:lang w:val="en-GB"/>
        </w:rPr>
        <w:t>, 85% of respondents reported being unsatisfied or only partially satisfied with the environmental information available to them, due (among other factors) to the fact that such information is generally not sufficient to support consumer decision-making. Another survey</w:t>
      </w:r>
      <w:r w:rsidRPr="009B5734">
        <w:rPr>
          <w:rStyle w:val="FootnoteReference"/>
          <w:noProof/>
          <w:lang w:val="en-GB"/>
        </w:rPr>
        <w:footnoteReference w:id="14"/>
      </w:r>
      <w:r w:rsidRPr="009B5734">
        <w:rPr>
          <w:noProof/>
          <w:lang w:val="en-GB"/>
        </w:rPr>
        <w:t xml:space="preserve"> showed that 82% of the participants agreed that it is difficult to find information on how long a product will last and on its reparability.</w:t>
      </w:r>
      <w:r w:rsidRPr="00014EB8">
        <w:rPr>
          <w:noProof/>
          <w:lang w:val="en-GB"/>
        </w:rPr>
        <w:t xml:space="preserve"> In addition, </w:t>
      </w:r>
      <w:r w:rsidRPr="009B5734">
        <w:rPr>
          <w:noProof/>
          <w:lang w:val="en-GB"/>
        </w:rPr>
        <w:t>86% agreed that they would like to receive better information on how long a product will last and 83% agreed that they would like to receive better information on how easy it is to repair a product. These findings are also confirmed by the results of the Open Public Consultation carried out for this initiative</w:t>
      </w:r>
      <w:r w:rsidRPr="009B5734">
        <w:rPr>
          <w:rStyle w:val="FootnoteReference"/>
          <w:noProof/>
          <w:lang w:val="en-GB"/>
        </w:rPr>
        <w:footnoteReference w:id="15"/>
      </w:r>
      <w:r w:rsidRPr="009B5734">
        <w:rPr>
          <w:noProof/>
          <w:lang w:val="en-GB"/>
        </w:rPr>
        <w:t xml:space="preserve">. </w:t>
      </w:r>
    </w:p>
    <w:p w:rsidR="00920BA9" w:rsidRPr="009B5734" w:rsidRDefault="00920BA9" w:rsidP="009F77DE">
      <w:pPr>
        <w:pStyle w:val="Default"/>
        <w:ind w:left="0" w:firstLine="0"/>
        <w:rPr>
          <w:noProof/>
          <w:lang w:val="en-GB"/>
        </w:rPr>
      </w:pPr>
    </w:p>
    <w:p w:rsidR="008A44EA" w:rsidRPr="009B5734" w:rsidRDefault="00002DF8" w:rsidP="007F2BF3">
      <w:pPr>
        <w:pStyle w:val="Default"/>
        <w:spacing w:before="120" w:after="120"/>
        <w:ind w:left="0" w:firstLine="0"/>
        <w:rPr>
          <w:noProof/>
          <w:lang w:val="en-GB"/>
        </w:rPr>
      </w:pPr>
      <w:r>
        <w:rPr>
          <w:rFonts w:eastAsia="Calibri"/>
          <w:noProof/>
          <w:lang w:val="en-GB" w:eastAsia="en-US"/>
        </w:rPr>
        <w:t>Based on these findings, the</w:t>
      </w:r>
      <w:r w:rsidR="006C548B" w:rsidRPr="009B5734">
        <w:rPr>
          <w:rFonts w:eastAsia="Calibri"/>
          <w:noProof/>
          <w:lang w:val="en-GB" w:eastAsia="en-US"/>
        </w:rPr>
        <w:t xml:space="preserve"> initiative considers the provision of information on the environmental characteristics of products</w:t>
      </w:r>
      <w:r w:rsidR="00BD5424">
        <w:rPr>
          <w:rFonts w:eastAsia="Calibri"/>
          <w:noProof/>
          <w:lang w:val="en-GB" w:eastAsia="en-US"/>
        </w:rPr>
        <w:t>, addressing</w:t>
      </w:r>
      <w:r w:rsidR="00DE02A1">
        <w:rPr>
          <w:rFonts w:eastAsia="Calibri"/>
          <w:noProof/>
          <w:lang w:val="en-GB" w:eastAsia="en-US"/>
        </w:rPr>
        <w:t xml:space="preserve"> </w:t>
      </w:r>
      <w:r w:rsidR="008A44EA" w:rsidRPr="009B5734">
        <w:rPr>
          <w:rFonts w:eastAsia="Calibri"/>
          <w:noProof/>
          <w:lang w:val="en-GB" w:eastAsia="en-US"/>
        </w:rPr>
        <w:t>in particular the provision of information</w:t>
      </w:r>
      <w:r w:rsidR="00870F9C" w:rsidRPr="009B5734">
        <w:rPr>
          <w:rFonts w:eastAsia="Calibri"/>
          <w:noProof/>
          <w:lang w:val="en-GB" w:eastAsia="en-US"/>
        </w:rPr>
        <w:t xml:space="preserve"> </w:t>
      </w:r>
      <w:r w:rsidR="008A44EA" w:rsidRPr="009B5734">
        <w:rPr>
          <w:rFonts w:eastAsia="Calibri"/>
          <w:noProof/>
          <w:lang w:val="en-GB" w:eastAsia="en-US"/>
        </w:rPr>
        <w:t xml:space="preserve">about </w:t>
      </w:r>
      <w:r w:rsidR="00363B79" w:rsidRPr="005D24D2">
        <w:rPr>
          <w:rFonts w:eastAsia="Calibri"/>
          <w:b/>
          <w:bCs/>
          <w:noProof/>
          <w:lang w:val="en-GB" w:eastAsia="en-US"/>
        </w:rPr>
        <w:t>durability</w:t>
      </w:r>
      <w:r w:rsidR="00363B79" w:rsidRPr="009B5734">
        <w:rPr>
          <w:rFonts w:eastAsia="Calibri"/>
          <w:noProof/>
          <w:lang w:val="en-GB" w:eastAsia="en-US"/>
        </w:rPr>
        <w:t xml:space="preserve"> (“how long will a product last before it needs to be replaced</w:t>
      </w:r>
      <w:r w:rsidR="009F77DE" w:rsidRPr="009B5734">
        <w:rPr>
          <w:rFonts w:eastAsia="Calibri"/>
          <w:noProof/>
          <w:lang w:val="en-GB" w:eastAsia="en-US"/>
        </w:rPr>
        <w:t xml:space="preserve"> or repaired</w:t>
      </w:r>
      <w:r w:rsidR="00363B79" w:rsidRPr="009B5734">
        <w:rPr>
          <w:rFonts w:eastAsia="Calibri"/>
          <w:noProof/>
          <w:lang w:val="en-GB" w:eastAsia="en-US"/>
        </w:rPr>
        <w:t>?”</w:t>
      </w:r>
      <w:r w:rsidR="00186AAA" w:rsidRPr="009B5734">
        <w:rPr>
          <w:rFonts w:eastAsia="Calibri"/>
          <w:noProof/>
          <w:lang w:val="en-GB" w:eastAsia="en-US"/>
        </w:rPr>
        <w:t xml:space="preserve">, “will it </w:t>
      </w:r>
      <w:r w:rsidR="009F62E4" w:rsidRPr="009B5734">
        <w:rPr>
          <w:rFonts w:eastAsia="Calibri"/>
          <w:noProof/>
          <w:lang w:val="en-GB" w:eastAsia="en-US"/>
        </w:rPr>
        <w:t>break/become obsolete earlier</w:t>
      </w:r>
      <w:r w:rsidR="00186AAA" w:rsidRPr="009B5734">
        <w:rPr>
          <w:rFonts w:eastAsia="Calibri"/>
          <w:noProof/>
          <w:lang w:val="en-GB" w:eastAsia="en-US"/>
        </w:rPr>
        <w:t xml:space="preserve"> than expected or than what has been communicated by the trader?”</w:t>
      </w:r>
      <w:r w:rsidR="00363B79" w:rsidRPr="009B5734">
        <w:rPr>
          <w:rFonts w:eastAsia="Calibri"/>
          <w:noProof/>
          <w:lang w:val="en-GB" w:eastAsia="en-US"/>
        </w:rPr>
        <w:t xml:space="preserve">) and </w:t>
      </w:r>
      <w:r w:rsidR="00363B79" w:rsidRPr="005D24D2">
        <w:rPr>
          <w:rFonts w:eastAsia="Calibri"/>
          <w:b/>
          <w:bCs/>
          <w:noProof/>
          <w:lang w:val="en-GB" w:eastAsia="en-US"/>
        </w:rPr>
        <w:t>reparability</w:t>
      </w:r>
      <w:r w:rsidR="00363B79" w:rsidRPr="009B5734">
        <w:rPr>
          <w:rFonts w:eastAsia="Calibri"/>
          <w:noProof/>
          <w:lang w:val="en-GB" w:eastAsia="en-US"/>
        </w:rPr>
        <w:t xml:space="preserve"> (“can </w:t>
      </w:r>
      <w:r w:rsidR="009F62E4" w:rsidRPr="009B5734">
        <w:rPr>
          <w:rFonts w:eastAsia="Calibri"/>
          <w:noProof/>
          <w:lang w:val="en-GB" w:eastAsia="en-US"/>
        </w:rPr>
        <w:t>consumers know whether a product can easily be repaired</w:t>
      </w:r>
      <w:r w:rsidR="00363B79" w:rsidRPr="009B5734">
        <w:rPr>
          <w:rFonts w:eastAsia="Calibri"/>
          <w:noProof/>
          <w:lang w:val="en-GB" w:eastAsia="en-US"/>
        </w:rPr>
        <w:t xml:space="preserve">?”). </w:t>
      </w:r>
      <w:r w:rsidR="00077C8C" w:rsidRPr="009B5734">
        <w:rPr>
          <w:rFonts w:eastAsia="Calibri"/>
          <w:noProof/>
          <w:lang w:val="en-GB" w:eastAsia="en-US"/>
        </w:rPr>
        <w:t>More durable and more reparable products can</w:t>
      </w:r>
      <w:r w:rsidR="009153CF" w:rsidRPr="009B5734">
        <w:rPr>
          <w:rFonts w:eastAsia="Calibri"/>
          <w:noProof/>
          <w:lang w:val="en-GB" w:eastAsia="en-US"/>
        </w:rPr>
        <w:t xml:space="preserve"> </w:t>
      </w:r>
      <w:r w:rsidR="00077C8C" w:rsidRPr="009B5734">
        <w:rPr>
          <w:rFonts w:eastAsia="Calibri"/>
          <w:noProof/>
          <w:lang w:val="en-GB" w:eastAsia="en-US"/>
        </w:rPr>
        <w:t xml:space="preserve">not only </w:t>
      </w:r>
      <w:r w:rsidR="009153CF" w:rsidRPr="009B5734">
        <w:rPr>
          <w:rFonts w:eastAsia="Calibri"/>
          <w:noProof/>
          <w:lang w:val="en-GB" w:eastAsia="en-US"/>
        </w:rPr>
        <w:t>lead to saving</w:t>
      </w:r>
      <w:r w:rsidR="00077C8C" w:rsidRPr="009B5734">
        <w:rPr>
          <w:rFonts w:eastAsia="Calibri"/>
          <w:noProof/>
          <w:lang w:val="en-GB" w:eastAsia="en-US"/>
        </w:rPr>
        <w:t>s</w:t>
      </w:r>
      <w:r w:rsidR="009153CF" w:rsidRPr="009B5734">
        <w:rPr>
          <w:rFonts w:eastAsia="Calibri"/>
          <w:noProof/>
          <w:lang w:val="en-GB" w:eastAsia="en-US"/>
        </w:rPr>
        <w:t xml:space="preserve"> for consumers</w:t>
      </w:r>
      <w:r w:rsidR="00077C8C" w:rsidRPr="009B5734">
        <w:rPr>
          <w:rFonts w:eastAsia="Calibri"/>
          <w:noProof/>
          <w:lang w:val="en-GB" w:eastAsia="en-US"/>
        </w:rPr>
        <w:t xml:space="preserve"> in that consumers will have to spend less money on replacement products,</w:t>
      </w:r>
      <w:r w:rsidR="009153CF" w:rsidRPr="009B5734">
        <w:rPr>
          <w:rFonts w:eastAsia="Calibri"/>
          <w:noProof/>
          <w:lang w:val="en-GB" w:eastAsia="en-US"/>
        </w:rPr>
        <w:t xml:space="preserve"> but</w:t>
      </w:r>
      <w:r w:rsidR="00363B79" w:rsidRPr="009B5734">
        <w:rPr>
          <w:rFonts w:eastAsia="Calibri"/>
          <w:noProof/>
          <w:lang w:val="en-GB" w:eastAsia="en-US"/>
        </w:rPr>
        <w:t xml:space="preserve"> </w:t>
      </w:r>
      <w:r w:rsidR="00077C8C" w:rsidRPr="009B5734">
        <w:rPr>
          <w:rFonts w:eastAsia="Calibri"/>
          <w:noProof/>
          <w:lang w:val="en-GB" w:eastAsia="en-US"/>
        </w:rPr>
        <w:t xml:space="preserve">can </w:t>
      </w:r>
      <w:r w:rsidR="009153CF" w:rsidRPr="009B5734">
        <w:rPr>
          <w:rFonts w:eastAsia="Calibri"/>
          <w:noProof/>
          <w:lang w:val="en-GB" w:eastAsia="en-US"/>
        </w:rPr>
        <w:t>also</w:t>
      </w:r>
      <w:r w:rsidR="00077C8C" w:rsidRPr="009B5734">
        <w:rPr>
          <w:rFonts w:eastAsia="Calibri"/>
          <w:noProof/>
          <w:lang w:val="en-GB" w:eastAsia="en-US"/>
        </w:rPr>
        <w:t xml:space="preserve"> bring </w:t>
      </w:r>
      <w:r w:rsidR="00363B79" w:rsidRPr="009B5734">
        <w:rPr>
          <w:rFonts w:eastAsia="Calibri"/>
          <w:noProof/>
          <w:lang w:val="en-GB" w:eastAsia="en-US"/>
        </w:rPr>
        <w:t>environmental</w:t>
      </w:r>
      <w:r w:rsidR="00077C8C" w:rsidRPr="009B5734">
        <w:rPr>
          <w:rFonts w:eastAsia="Calibri"/>
          <w:noProof/>
          <w:lang w:val="en-GB" w:eastAsia="en-US"/>
        </w:rPr>
        <w:t xml:space="preserve"> benefits, in that</w:t>
      </w:r>
      <w:r w:rsidR="00363B79" w:rsidRPr="009B5734">
        <w:rPr>
          <w:rFonts w:eastAsia="Calibri"/>
          <w:noProof/>
          <w:lang w:val="en-GB" w:eastAsia="en-US"/>
        </w:rPr>
        <w:t xml:space="preserve"> </w:t>
      </w:r>
      <w:r w:rsidR="00077C8C" w:rsidRPr="009B5734">
        <w:rPr>
          <w:rFonts w:eastAsia="Calibri"/>
          <w:noProof/>
          <w:lang w:val="en-GB" w:eastAsia="en-US"/>
        </w:rPr>
        <w:t>less pollution and waste are emitted if products are repaired and/or last longer</w:t>
      </w:r>
      <w:r w:rsidR="000B76FE" w:rsidRPr="009B5734">
        <w:rPr>
          <w:rStyle w:val="FootnoteReference"/>
          <w:rFonts w:eastAsia="Calibri"/>
          <w:noProof/>
          <w:lang w:val="en-GB" w:eastAsia="en-US"/>
        </w:rPr>
        <w:footnoteReference w:id="16"/>
      </w:r>
      <w:r w:rsidR="00363B79" w:rsidRPr="009B5734">
        <w:rPr>
          <w:rFonts w:eastAsia="Calibri"/>
          <w:noProof/>
          <w:lang w:val="en-GB" w:eastAsia="en-US"/>
        </w:rPr>
        <w:t>.</w:t>
      </w:r>
      <w:r w:rsidR="00825900" w:rsidRPr="009B5734">
        <w:rPr>
          <w:rFonts w:eastAsia="Calibri"/>
          <w:noProof/>
          <w:lang w:val="en-GB" w:eastAsia="en-US"/>
        </w:rPr>
        <w:t xml:space="preserve"> </w:t>
      </w:r>
      <w:r w:rsidR="0014683E" w:rsidRPr="009B5734">
        <w:rPr>
          <w:noProof/>
          <w:lang w:val="en-GB"/>
        </w:rPr>
        <w:t xml:space="preserve">These </w:t>
      </w:r>
      <w:r w:rsidR="00077C8C" w:rsidRPr="009B5734">
        <w:rPr>
          <w:noProof/>
          <w:lang w:val="en-GB"/>
        </w:rPr>
        <w:t xml:space="preserve">two </w:t>
      </w:r>
      <w:r w:rsidR="0014683E" w:rsidRPr="009B5734">
        <w:rPr>
          <w:noProof/>
          <w:lang w:val="en-GB"/>
        </w:rPr>
        <w:t xml:space="preserve">parameters are </w:t>
      </w:r>
      <w:r w:rsidR="001613D9">
        <w:rPr>
          <w:noProof/>
          <w:lang w:val="en-GB"/>
        </w:rPr>
        <w:t>identified as</w:t>
      </w:r>
      <w:r w:rsidR="001613D9" w:rsidRPr="009B5734">
        <w:rPr>
          <w:noProof/>
          <w:lang w:val="en-GB"/>
        </w:rPr>
        <w:t xml:space="preserve"> </w:t>
      </w:r>
      <w:r w:rsidR="00BD5424">
        <w:rPr>
          <w:noProof/>
          <w:lang w:val="en-GB"/>
        </w:rPr>
        <w:t xml:space="preserve">highly </w:t>
      </w:r>
      <w:r w:rsidR="0014683E" w:rsidRPr="009B5734">
        <w:rPr>
          <w:noProof/>
          <w:lang w:val="en-GB"/>
        </w:rPr>
        <w:t>relevant to help consumers assess a product’s environmental sustainability</w:t>
      </w:r>
      <w:r w:rsidR="00696091" w:rsidRPr="009B5734">
        <w:rPr>
          <w:rStyle w:val="FootnoteReference"/>
          <w:noProof/>
          <w:lang w:val="en-GB"/>
        </w:rPr>
        <w:footnoteReference w:id="17"/>
      </w:r>
      <w:r w:rsidR="00BD5424">
        <w:rPr>
          <w:rFonts w:eastAsia="Calibri"/>
          <w:noProof/>
          <w:lang w:val="en-GB" w:eastAsia="en-US"/>
        </w:rPr>
        <w:t xml:space="preserve">, and </w:t>
      </w:r>
      <w:r w:rsidR="00BD5424" w:rsidRPr="009B5734">
        <w:rPr>
          <w:rFonts w:eastAsia="Calibri"/>
          <w:noProof/>
          <w:lang w:val="en-GB" w:eastAsia="en-US"/>
        </w:rPr>
        <w:t xml:space="preserve">are </w:t>
      </w:r>
      <w:r w:rsidR="00BD5424">
        <w:rPr>
          <w:rFonts w:eastAsia="Calibri"/>
          <w:noProof/>
          <w:lang w:val="en-GB" w:eastAsia="en-US"/>
        </w:rPr>
        <w:t>equally</w:t>
      </w:r>
      <w:r w:rsidR="00BD5424" w:rsidRPr="009B5734">
        <w:rPr>
          <w:rFonts w:eastAsia="Calibri"/>
          <w:noProof/>
          <w:lang w:val="en-GB" w:eastAsia="en-US"/>
        </w:rPr>
        <w:t xml:space="preserve"> relevant from a consumer’s economic perspective</w:t>
      </w:r>
      <w:r w:rsidR="00BD5424" w:rsidRPr="009B5734">
        <w:rPr>
          <w:rStyle w:val="FootnoteReference"/>
          <w:rFonts w:eastAsia="Calibri"/>
          <w:noProof/>
          <w:lang w:val="en-GB" w:eastAsia="en-US"/>
        </w:rPr>
        <w:footnoteReference w:id="18"/>
      </w:r>
      <w:r w:rsidR="00BD5424" w:rsidRPr="001613D9">
        <w:rPr>
          <w:rFonts w:eastAsia="Calibri"/>
          <w:noProof/>
          <w:vertAlign w:val="superscript"/>
          <w:lang w:val="en-GB" w:eastAsia="en-US"/>
        </w:rPr>
        <w:t>,</w:t>
      </w:r>
      <w:r w:rsidR="00BD5424">
        <w:rPr>
          <w:rFonts w:eastAsia="Calibri"/>
          <w:noProof/>
          <w:vertAlign w:val="superscript"/>
          <w:lang w:val="en-GB" w:eastAsia="en-US"/>
        </w:rPr>
        <w:t xml:space="preserve"> </w:t>
      </w:r>
      <w:r w:rsidR="00BD5424">
        <w:rPr>
          <w:rStyle w:val="FootnoteReference"/>
          <w:rFonts w:eastAsia="Calibri"/>
          <w:noProof/>
          <w:lang w:val="en-GB" w:eastAsia="en-US"/>
        </w:rPr>
        <w:footnoteReference w:id="19"/>
      </w:r>
      <w:r w:rsidR="00BD5424">
        <w:rPr>
          <w:rFonts w:eastAsia="Calibri"/>
          <w:noProof/>
          <w:lang w:val="en-GB" w:eastAsia="en-US"/>
        </w:rPr>
        <w:t>.</w:t>
      </w:r>
    </w:p>
    <w:p w:rsidR="00870F9C" w:rsidRPr="009B5734" w:rsidRDefault="00592B0D" w:rsidP="00AD0EBE">
      <w:pPr>
        <w:pStyle w:val="Default"/>
        <w:spacing w:before="120" w:after="120"/>
        <w:ind w:left="0" w:firstLine="0"/>
        <w:rPr>
          <w:rFonts w:eastAsia="Calibri"/>
          <w:noProof/>
          <w:lang w:val="en-GB" w:eastAsia="en-US"/>
        </w:rPr>
      </w:pPr>
      <w:r w:rsidRPr="009B5734">
        <w:rPr>
          <w:noProof/>
          <w:lang w:val="en-GB"/>
        </w:rPr>
        <w:t xml:space="preserve">This initiative also </w:t>
      </w:r>
      <w:r w:rsidR="00357115" w:rsidRPr="009B5734">
        <w:rPr>
          <w:noProof/>
          <w:lang w:val="en-GB"/>
        </w:rPr>
        <w:t>address</w:t>
      </w:r>
      <w:r w:rsidR="00B227D8" w:rsidRPr="009B5734">
        <w:rPr>
          <w:noProof/>
          <w:lang w:val="en-GB"/>
        </w:rPr>
        <w:t>es</w:t>
      </w:r>
      <w:r w:rsidRPr="009B5734">
        <w:rPr>
          <w:noProof/>
          <w:lang w:val="en-GB"/>
        </w:rPr>
        <w:t xml:space="preserve"> certain misleading commercial practices which prevent consumers from making sustainable consumption choices. These practices include early (or premature) </w:t>
      </w:r>
      <w:r w:rsidR="00B66DC6" w:rsidRPr="009B5734">
        <w:rPr>
          <w:noProof/>
          <w:lang w:val="en-GB"/>
        </w:rPr>
        <w:t>obsolescence</w:t>
      </w:r>
      <w:r w:rsidR="009B1FF6" w:rsidRPr="009B5734">
        <w:rPr>
          <w:noProof/>
          <w:lang w:val="en-GB"/>
        </w:rPr>
        <w:t>.</w:t>
      </w:r>
      <w:r w:rsidR="00870F9C" w:rsidRPr="009B5734">
        <w:rPr>
          <w:noProof/>
          <w:lang w:val="en-GB"/>
        </w:rPr>
        <w:t xml:space="preserve"> </w:t>
      </w:r>
      <w:r w:rsidR="00B66DC6" w:rsidRPr="009B5734">
        <w:rPr>
          <w:noProof/>
          <w:lang w:val="en-GB"/>
        </w:rPr>
        <w:t xml:space="preserve">This occurs </w:t>
      </w:r>
      <w:r w:rsidRPr="00014EB8">
        <w:rPr>
          <w:noProof/>
          <w:lang w:val="en-GB"/>
        </w:rPr>
        <w:t>when a product fails prematurely or lasts for a shorter period of time than consumers can reasonably expect</w:t>
      </w:r>
      <w:r w:rsidRPr="00014EB8">
        <w:rPr>
          <w:rStyle w:val="FootnoteReference"/>
          <w:noProof/>
          <w:lang w:val="en-GB"/>
        </w:rPr>
        <w:footnoteReference w:id="20"/>
      </w:r>
      <w:r w:rsidRPr="00014EB8">
        <w:rPr>
          <w:noProof/>
          <w:lang w:val="en-GB"/>
        </w:rPr>
        <w:t xml:space="preserve">. Another misleading commercial practice </w:t>
      </w:r>
      <w:r w:rsidR="00B66DC6" w:rsidRPr="00014EB8">
        <w:rPr>
          <w:noProof/>
          <w:lang w:val="en-GB"/>
        </w:rPr>
        <w:t xml:space="preserve">considered by this initiative is that of ‘greenwashing’, which occurs when </w:t>
      </w:r>
      <w:r w:rsidR="008B1175" w:rsidRPr="00014EB8">
        <w:rPr>
          <w:noProof/>
          <w:lang w:val="en-GB"/>
        </w:rPr>
        <w:t>a trader</w:t>
      </w:r>
      <w:r w:rsidR="00B66DC6" w:rsidRPr="00014EB8">
        <w:rPr>
          <w:noProof/>
          <w:lang w:val="en-GB"/>
        </w:rPr>
        <w:t xml:space="preserve"> attempts to present an</w:t>
      </w:r>
      <w:r w:rsidR="00B66DC6" w:rsidRPr="009B5734">
        <w:rPr>
          <w:noProof/>
          <w:lang w:val="en-GB"/>
        </w:rPr>
        <w:t xml:space="preserve"> environmentally responsible public image in a way that is unfounded or misleading.</w:t>
      </w:r>
      <w:r w:rsidR="00CB0886" w:rsidRPr="009B5734">
        <w:rPr>
          <w:noProof/>
          <w:lang w:val="en-GB"/>
        </w:rPr>
        <w:t xml:space="preserve"> This often takes the for</w:t>
      </w:r>
      <w:r w:rsidR="00CE0523" w:rsidRPr="009B5734">
        <w:rPr>
          <w:noProof/>
          <w:lang w:val="en-GB"/>
        </w:rPr>
        <w:t>m</w:t>
      </w:r>
      <w:r w:rsidR="00CB0886" w:rsidRPr="009B5734">
        <w:rPr>
          <w:noProof/>
          <w:lang w:val="en-GB"/>
        </w:rPr>
        <w:t xml:space="preserve"> of making </w:t>
      </w:r>
      <w:r w:rsidR="00CB0886" w:rsidRPr="00014EB8">
        <w:rPr>
          <w:noProof/>
          <w:lang w:val="en-GB"/>
        </w:rPr>
        <w:t>unclear or not well-substantiated environmental claims</w:t>
      </w:r>
      <w:r w:rsidR="00595F16" w:rsidRPr="00014EB8">
        <w:rPr>
          <w:rStyle w:val="FootnoteReference"/>
          <w:noProof/>
          <w:lang w:val="en-GB"/>
        </w:rPr>
        <w:footnoteReference w:id="21"/>
      </w:r>
      <w:r w:rsidR="00CB0886" w:rsidRPr="00014EB8">
        <w:rPr>
          <w:noProof/>
          <w:lang w:val="en-GB"/>
        </w:rPr>
        <w:t>.</w:t>
      </w:r>
      <w:r w:rsidR="00F9409F">
        <w:rPr>
          <w:noProof/>
          <w:lang w:val="en-GB"/>
        </w:rPr>
        <w:t xml:space="preserve"> This initiative addresses such </w:t>
      </w:r>
      <w:r w:rsidR="00817926">
        <w:rPr>
          <w:noProof/>
          <w:lang w:val="en-GB"/>
        </w:rPr>
        <w:t>practices</w:t>
      </w:r>
      <w:r w:rsidR="00F9409F">
        <w:rPr>
          <w:noProof/>
          <w:lang w:val="en-GB"/>
        </w:rPr>
        <w:t xml:space="preserve"> as they relate to </w:t>
      </w:r>
      <w:r w:rsidR="00DE02A1">
        <w:rPr>
          <w:b/>
          <w:noProof/>
          <w:lang w:val="en-GB"/>
        </w:rPr>
        <w:t>key</w:t>
      </w:r>
      <w:r w:rsidR="00817926">
        <w:rPr>
          <w:b/>
          <w:noProof/>
          <w:lang w:val="en-GB"/>
        </w:rPr>
        <w:t xml:space="preserve"> </w:t>
      </w:r>
      <w:r w:rsidR="00F9409F" w:rsidRPr="00F9409F">
        <w:rPr>
          <w:b/>
          <w:noProof/>
          <w:lang w:val="en-GB"/>
        </w:rPr>
        <w:t>aspects of environmental sustainability</w:t>
      </w:r>
      <w:r w:rsidR="00817926">
        <w:rPr>
          <w:b/>
          <w:noProof/>
          <w:lang w:val="en-GB"/>
        </w:rPr>
        <w:t xml:space="preserve"> </w:t>
      </w:r>
      <w:r w:rsidR="00817926">
        <w:rPr>
          <w:noProof/>
          <w:lang w:val="en-GB"/>
        </w:rPr>
        <w:t xml:space="preserve">and can under certain conditions already </w:t>
      </w:r>
      <w:r w:rsidR="008E0AE8">
        <w:rPr>
          <w:noProof/>
          <w:lang w:val="en-GB"/>
        </w:rPr>
        <w:t xml:space="preserve">be </w:t>
      </w:r>
      <w:r w:rsidR="00817926">
        <w:rPr>
          <w:noProof/>
          <w:lang w:val="en-GB"/>
        </w:rPr>
        <w:t xml:space="preserve">addressed under </w:t>
      </w:r>
      <w:r w:rsidR="00214F2B">
        <w:rPr>
          <w:noProof/>
          <w:lang w:val="en-GB"/>
        </w:rPr>
        <w:t>existing</w:t>
      </w:r>
      <w:r w:rsidR="00817926">
        <w:rPr>
          <w:noProof/>
          <w:lang w:val="en-GB"/>
        </w:rPr>
        <w:t xml:space="preserve"> consumer law</w:t>
      </w:r>
      <w:r w:rsidR="00817926">
        <w:rPr>
          <w:rStyle w:val="FootnoteReference"/>
          <w:noProof/>
          <w:lang w:val="en-GB"/>
        </w:rPr>
        <w:footnoteReference w:id="22"/>
      </w:r>
      <w:r w:rsidR="00F9409F">
        <w:rPr>
          <w:noProof/>
          <w:lang w:val="en-GB"/>
        </w:rPr>
        <w:t>.</w:t>
      </w:r>
      <w:r w:rsidR="009B1FF6" w:rsidRPr="00014EB8">
        <w:rPr>
          <w:noProof/>
          <w:lang w:val="en-GB"/>
        </w:rPr>
        <w:t xml:space="preserve"> </w:t>
      </w:r>
      <w:r w:rsidR="009153CF" w:rsidRPr="009B5734">
        <w:rPr>
          <w:rFonts w:eastAsia="Calibri"/>
          <w:noProof/>
          <w:lang w:val="en-GB" w:eastAsia="en-US"/>
        </w:rPr>
        <w:t xml:space="preserve">As per its mandate under CEAP, this initiative also seeks to improve the transparency and </w:t>
      </w:r>
      <w:r w:rsidR="00B227D8" w:rsidRPr="009B5734">
        <w:rPr>
          <w:rFonts w:eastAsia="Calibri"/>
          <w:noProof/>
          <w:lang w:val="en-GB" w:eastAsia="en-US"/>
        </w:rPr>
        <w:t xml:space="preserve">credibility </w:t>
      </w:r>
      <w:r w:rsidR="009153CF" w:rsidRPr="009B5734">
        <w:rPr>
          <w:rFonts w:eastAsia="Calibri"/>
          <w:noProof/>
          <w:lang w:val="en-GB" w:eastAsia="en-US"/>
        </w:rPr>
        <w:t xml:space="preserve">of </w:t>
      </w:r>
      <w:r w:rsidR="009153CF" w:rsidRPr="009B5734">
        <w:rPr>
          <w:rFonts w:eastAsia="Calibri"/>
          <w:b/>
          <w:noProof/>
          <w:lang w:val="en-GB" w:eastAsia="en-US"/>
        </w:rPr>
        <w:t>sustainability labels</w:t>
      </w:r>
      <w:r w:rsidR="00530A34" w:rsidRPr="009B5734">
        <w:rPr>
          <w:rFonts w:eastAsia="Calibri"/>
          <w:b/>
          <w:noProof/>
          <w:lang w:val="en-GB" w:eastAsia="en-US"/>
        </w:rPr>
        <w:t xml:space="preserve"> and</w:t>
      </w:r>
      <w:r w:rsidR="00DE08EE" w:rsidRPr="009B5734">
        <w:rPr>
          <w:rFonts w:eastAsia="Calibri"/>
          <w:b/>
          <w:noProof/>
          <w:lang w:val="en-GB" w:eastAsia="en-US"/>
        </w:rPr>
        <w:t xml:space="preserve"> </w:t>
      </w:r>
      <w:r w:rsidR="000D5BC2" w:rsidRPr="009B5734">
        <w:rPr>
          <w:rFonts w:eastAsia="Calibri"/>
          <w:b/>
          <w:noProof/>
          <w:lang w:val="en-GB" w:eastAsia="en-US"/>
        </w:rPr>
        <w:t>digital</w:t>
      </w:r>
      <w:r w:rsidR="00530A34" w:rsidRPr="009B5734">
        <w:rPr>
          <w:rFonts w:eastAsia="Calibri"/>
          <w:b/>
          <w:noProof/>
          <w:lang w:val="en-GB" w:eastAsia="en-US"/>
        </w:rPr>
        <w:t xml:space="preserve"> information tools</w:t>
      </w:r>
      <w:r w:rsidR="009153CF" w:rsidRPr="009B5734">
        <w:rPr>
          <w:rFonts w:eastAsia="Calibri"/>
          <w:noProof/>
          <w:lang w:val="en-GB" w:eastAsia="en-US"/>
        </w:rPr>
        <w:t xml:space="preserve">: in this respect, and only when it comes to the options aimed at addressing this problem, </w:t>
      </w:r>
      <w:r w:rsidR="003F6480" w:rsidRPr="009B5734">
        <w:rPr>
          <w:rFonts w:eastAsia="Calibri"/>
          <w:noProof/>
          <w:lang w:val="en-GB" w:eastAsia="en-US"/>
        </w:rPr>
        <w:t xml:space="preserve">as </w:t>
      </w:r>
      <w:r w:rsidR="00002DF8">
        <w:rPr>
          <w:rFonts w:eastAsia="Calibri"/>
          <w:noProof/>
          <w:lang w:val="en-GB" w:eastAsia="en-US"/>
        </w:rPr>
        <w:t xml:space="preserve">mentioned above and further </w:t>
      </w:r>
      <w:r w:rsidR="003F6480" w:rsidRPr="009B5734">
        <w:rPr>
          <w:rFonts w:eastAsia="Calibri"/>
          <w:noProof/>
          <w:lang w:val="en-GB" w:eastAsia="en-US"/>
        </w:rPr>
        <w:t>specified in</w:t>
      </w:r>
      <w:r w:rsidR="00C310D8" w:rsidRPr="00C310D8">
        <w:rPr>
          <w:noProof/>
          <w:lang w:val="en-IE"/>
        </w:rPr>
        <w:t xml:space="preserve"> </w:t>
      </w:r>
      <w:hyperlink w:anchor="_What_are_the" w:history="1">
        <w:r w:rsidR="00C310D8" w:rsidRPr="00C310D8">
          <w:rPr>
            <w:rStyle w:val="Hyperlink"/>
            <w:noProof/>
            <w:lang w:val="en-IE"/>
          </w:rPr>
          <w:t>Section 5</w:t>
        </w:r>
      </w:hyperlink>
      <w:r w:rsidR="003F6480" w:rsidRPr="009B5734">
        <w:rPr>
          <w:rFonts w:eastAsia="Calibri"/>
          <w:noProof/>
          <w:lang w:val="en-GB" w:eastAsia="en-US"/>
        </w:rPr>
        <w:t>,</w:t>
      </w:r>
      <w:r w:rsidR="009153CF" w:rsidRPr="009B5734">
        <w:rPr>
          <w:rFonts w:eastAsia="Calibri"/>
          <w:noProof/>
          <w:lang w:val="en-GB" w:eastAsia="en-US"/>
        </w:rPr>
        <w:t xml:space="preserve"> </w:t>
      </w:r>
      <w:r w:rsidR="00B73C39">
        <w:rPr>
          <w:rFonts w:eastAsia="Calibri"/>
          <w:noProof/>
          <w:lang w:val="en-GB" w:eastAsia="en-US"/>
        </w:rPr>
        <w:t>this initiative</w:t>
      </w:r>
      <w:r w:rsidR="00B73C39" w:rsidRPr="009B5734">
        <w:rPr>
          <w:rFonts w:eastAsia="Calibri"/>
          <w:noProof/>
          <w:lang w:val="en-GB" w:eastAsia="en-US"/>
        </w:rPr>
        <w:t xml:space="preserve"> </w:t>
      </w:r>
      <w:r w:rsidR="009153CF" w:rsidRPr="009B5734">
        <w:rPr>
          <w:rFonts w:eastAsia="Calibri"/>
          <w:noProof/>
          <w:lang w:val="en-GB" w:eastAsia="en-US"/>
        </w:rPr>
        <w:t xml:space="preserve">uses a broader concept of sustainability that also includes </w:t>
      </w:r>
      <w:r w:rsidR="009153CF" w:rsidRPr="009B5734">
        <w:rPr>
          <w:rFonts w:eastAsia="Calibri"/>
          <w:b/>
          <w:noProof/>
          <w:lang w:val="en-GB"/>
        </w:rPr>
        <w:t>social</w:t>
      </w:r>
      <w:r w:rsidR="009153CF" w:rsidRPr="009B5734">
        <w:rPr>
          <w:rFonts w:eastAsia="Calibri"/>
          <w:noProof/>
          <w:lang w:val="en-GB" w:eastAsia="en-US"/>
        </w:rPr>
        <w:t xml:space="preserve"> and </w:t>
      </w:r>
      <w:r w:rsidR="009153CF" w:rsidRPr="009B5734">
        <w:rPr>
          <w:rFonts w:eastAsia="Calibri"/>
          <w:b/>
          <w:noProof/>
          <w:lang w:val="en-GB"/>
        </w:rPr>
        <w:t>ethical</w:t>
      </w:r>
      <w:r w:rsidR="009153CF" w:rsidRPr="009B5734">
        <w:rPr>
          <w:rFonts w:eastAsia="Calibri"/>
          <w:noProof/>
          <w:lang w:val="en-GB" w:eastAsia="en-US"/>
        </w:rPr>
        <w:t xml:space="preserve"> aspects, </w:t>
      </w:r>
      <w:r w:rsidR="007703A0">
        <w:rPr>
          <w:rFonts w:eastAsia="Calibri"/>
          <w:noProof/>
          <w:lang w:val="en-GB" w:eastAsia="en-US"/>
        </w:rPr>
        <w:t xml:space="preserve">given that </w:t>
      </w:r>
      <w:r w:rsidR="009153CF" w:rsidRPr="009B5734">
        <w:rPr>
          <w:rFonts w:eastAsia="Calibri"/>
          <w:noProof/>
          <w:lang w:val="en-GB" w:eastAsia="en-US"/>
        </w:rPr>
        <w:t xml:space="preserve">sustainability labels </w:t>
      </w:r>
      <w:r w:rsidR="007703A0">
        <w:rPr>
          <w:rFonts w:eastAsia="Calibri"/>
          <w:noProof/>
          <w:lang w:val="en-GB" w:eastAsia="en-US"/>
        </w:rPr>
        <w:t xml:space="preserve">available </w:t>
      </w:r>
      <w:r w:rsidR="009153CF" w:rsidRPr="009B5734">
        <w:rPr>
          <w:rFonts w:eastAsia="Calibri"/>
          <w:noProof/>
          <w:lang w:val="en-GB" w:eastAsia="en-US"/>
        </w:rPr>
        <w:t xml:space="preserve">on the market </w:t>
      </w:r>
      <w:r w:rsidR="007703A0">
        <w:rPr>
          <w:rFonts w:eastAsia="Calibri"/>
          <w:noProof/>
          <w:lang w:val="en-GB" w:eastAsia="en-US"/>
        </w:rPr>
        <w:t>also</w:t>
      </w:r>
      <w:r w:rsidR="007703A0" w:rsidRPr="009B5734">
        <w:rPr>
          <w:rFonts w:eastAsia="Calibri"/>
          <w:noProof/>
          <w:lang w:val="en-GB" w:eastAsia="en-US"/>
        </w:rPr>
        <w:t xml:space="preserve"> </w:t>
      </w:r>
      <w:r w:rsidR="009B5861" w:rsidRPr="009B5734">
        <w:rPr>
          <w:rFonts w:eastAsia="Calibri"/>
          <w:noProof/>
          <w:lang w:val="en-GB" w:eastAsia="en-US"/>
        </w:rPr>
        <w:t xml:space="preserve">cover </w:t>
      </w:r>
      <w:r w:rsidR="001D5467">
        <w:rPr>
          <w:rFonts w:eastAsia="Calibri"/>
          <w:noProof/>
          <w:lang w:val="en-GB" w:eastAsia="en-US"/>
        </w:rPr>
        <w:t>such</w:t>
      </w:r>
      <w:r w:rsidR="009B5861" w:rsidRPr="009B5734">
        <w:rPr>
          <w:rFonts w:eastAsia="Calibri"/>
          <w:noProof/>
          <w:lang w:val="en-GB" w:eastAsia="en-US"/>
        </w:rPr>
        <w:t xml:space="preserve"> </w:t>
      </w:r>
      <w:r w:rsidR="008E0AE8">
        <w:rPr>
          <w:rFonts w:eastAsia="Calibri"/>
          <w:noProof/>
          <w:lang w:val="en-GB" w:eastAsia="en-US"/>
        </w:rPr>
        <w:t xml:space="preserve">a </w:t>
      </w:r>
      <w:r w:rsidR="009B5861" w:rsidRPr="009B5734">
        <w:rPr>
          <w:rFonts w:eastAsia="Calibri"/>
          <w:noProof/>
          <w:lang w:val="en-GB" w:eastAsia="en-US"/>
        </w:rPr>
        <w:t>wider range of sustainability attribute</w:t>
      </w:r>
      <w:r w:rsidR="00973145" w:rsidRPr="009B5734">
        <w:rPr>
          <w:rFonts w:eastAsia="Calibri"/>
          <w:noProof/>
          <w:lang w:val="en-GB" w:eastAsia="en-US"/>
        </w:rPr>
        <w:t>s</w:t>
      </w:r>
      <w:r w:rsidR="006C05FB" w:rsidRPr="009B5734">
        <w:rPr>
          <w:rStyle w:val="FootnoteReference"/>
          <w:rFonts w:eastAsia="Calibri"/>
          <w:noProof/>
          <w:lang w:val="en-GB" w:eastAsia="en-US"/>
        </w:rPr>
        <w:footnoteReference w:id="23"/>
      </w:r>
      <w:r w:rsidR="009153CF" w:rsidRPr="009B5734">
        <w:rPr>
          <w:rFonts w:eastAsia="Calibri"/>
          <w:noProof/>
          <w:lang w:val="en-GB" w:eastAsia="en-US"/>
        </w:rPr>
        <w:t xml:space="preserve">. </w:t>
      </w:r>
    </w:p>
    <w:p w:rsidR="00363B79" w:rsidRPr="008D65D2" w:rsidRDefault="00595F16" w:rsidP="00AD0EBE">
      <w:pPr>
        <w:pStyle w:val="Default"/>
        <w:spacing w:before="120" w:after="120"/>
        <w:ind w:left="0" w:firstLine="0"/>
        <w:rPr>
          <w:rFonts w:eastAsia="Calibri"/>
          <w:noProof/>
          <w:highlight w:val="yellow"/>
          <w:lang w:val="en-GB" w:eastAsia="en-US"/>
        </w:rPr>
      </w:pPr>
      <w:r w:rsidRPr="008D65D2">
        <w:rPr>
          <w:rFonts w:eastAsia="Calibri"/>
          <w:noProof/>
          <w:lang w:val="en-GB" w:eastAsia="en-US"/>
        </w:rPr>
        <w:t>Other</w:t>
      </w:r>
      <w:r w:rsidR="008B1175" w:rsidRPr="008D65D2">
        <w:rPr>
          <w:rFonts w:eastAsia="Calibri"/>
          <w:noProof/>
          <w:lang w:val="en-GB" w:eastAsia="en-US"/>
        </w:rPr>
        <w:t xml:space="preserve"> </w:t>
      </w:r>
      <w:r w:rsidR="009F26EB" w:rsidRPr="008D65D2">
        <w:rPr>
          <w:rFonts w:eastAsia="Calibri"/>
          <w:noProof/>
          <w:lang w:val="en-GB" w:eastAsia="en-US"/>
        </w:rPr>
        <w:t xml:space="preserve">environmental </w:t>
      </w:r>
      <w:r w:rsidR="00FF357C" w:rsidRPr="008D65D2">
        <w:rPr>
          <w:rFonts w:eastAsia="Calibri"/>
          <w:noProof/>
          <w:lang w:val="en-GB" w:eastAsia="en-US"/>
        </w:rPr>
        <w:t xml:space="preserve">sustainability and circularity </w:t>
      </w:r>
      <w:r w:rsidR="008B1175" w:rsidRPr="008D65D2">
        <w:rPr>
          <w:rFonts w:eastAsia="Calibri"/>
          <w:noProof/>
          <w:lang w:val="en-GB" w:eastAsia="en-US"/>
        </w:rPr>
        <w:t xml:space="preserve">aspects </w:t>
      </w:r>
      <w:r w:rsidR="00FF357C" w:rsidRPr="008D65D2">
        <w:rPr>
          <w:rFonts w:eastAsia="Calibri"/>
          <w:noProof/>
          <w:lang w:val="en-GB" w:eastAsia="en-US"/>
        </w:rPr>
        <w:t>a</w:t>
      </w:r>
      <w:r w:rsidR="008B1175" w:rsidRPr="008D65D2">
        <w:rPr>
          <w:rFonts w:eastAsia="Calibri"/>
          <w:noProof/>
          <w:lang w:val="en-GB" w:eastAsia="en-US"/>
        </w:rPr>
        <w:t xml:space="preserve">re </w:t>
      </w:r>
      <w:r w:rsidR="005966FC" w:rsidRPr="00164A6B">
        <w:rPr>
          <w:rFonts w:eastAsia="Calibri"/>
          <w:noProof/>
          <w:lang w:val="en-GB" w:eastAsia="en-US"/>
        </w:rPr>
        <w:t>explicitly</w:t>
      </w:r>
      <w:r w:rsidR="005966FC">
        <w:rPr>
          <w:rFonts w:eastAsia="Calibri"/>
          <w:noProof/>
          <w:lang w:val="en-GB" w:eastAsia="en-US"/>
        </w:rPr>
        <w:t xml:space="preserve"> </w:t>
      </w:r>
      <w:r w:rsidR="008B1175" w:rsidRPr="008D65D2">
        <w:rPr>
          <w:rFonts w:eastAsia="Calibri"/>
          <w:noProof/>
          <w:lang w:val="en-GB" w:eastAsia="en-US"/>
        </w:rPr>
        <w:t xml:space="preserve">not covered </w:t>
      </w:r>
      <w:r w:rsidR="000E02BD" w:rsidRPr="008D65D2">
        <w:rPr>
          <w:rFonts w:eastAsia="Calibri"/>
          <w:noProof/>
          <w:lang w:val="en-GB" w:eastAsia="en-US"/>
        </w:rPr>
        <w:t xml:space="preserve">in this IA </w:t>
      </w:r>
      <w:r w:rsidR="00E3311F" w:rsidRPr="008D65D2">
        <w:rPr>
          <w:rFonts w:eastAsia="Calibri"/>
          <w:noProof/>
          <w:lang w:val="en-GB" w:eastAsia="en-US"/>
        </w:rPr>
        <w:t xml:space="preserve">as </w:t>
      </w:r>
      <w:r w:rsidR="00B73C39" w:rsidRPr="008D65D2">
        <w:rPr>
          <w:rFonts w:eastAsia="Calibri"/>
          <w:noProof/>
          <w:lang w:val="en-GB" w:eastAsia="en-US"/>
        </w:rPr>
        <w:t xml:space="preserve">they are </w:t>
      </w:r>
      <w:r w:rsidR="00A113A5" w:rsidRPr="008D65D2">
        <w:rPr>
          <w:rFonts w:eastAsia="Calibri"/>
          <w:noProof/>
          <w:lang w:val="en-GB" w:eastAsia="en-US"/>
        </w:rPr>
        <w:t xml:space="preserve">already </w:t>
      </w:r>
      <w:r w:rsidR="00E3311F" w:rsidRPr="008D65D2">
        <w:rPr>
          <w:rFonts w:eastAsia="Calibri"/>
          <w:noProof/>
          <w:lang w:val="en-GB" w:eastAsia="en-US"/>
        </w:rPr>
        <w:t>regulated elsewhere</w:t>
      </w:r>
      <w:r w:rsidR="00A113A5" w:rsidRPr="008D65D2">
        <w:rPr>
          <w:rFonts w:eastAsia="Calibri"/>
          <w:noProof/>
          <w:lang w:val="en-GB" w:eastAsia="en-US"/>
        </w:rPr>
        <w:t xml:space="preserve"> or </w:t>
      </w:r>
      <w:r w:rsidR="00902BF1" w:rsidRPr="008D65D2">
        <w:rPr>
          <w:rFonts w:eastAsia="Calibri"/>
          <w:noProof/>
          <w:lang w:val="en-GB" w:eastAsia="en-US"/>
        </w:rPr>
        <w:t xml:space="preserve">may not be </w:t>
      </w:r>
      <w:r w:rsidR="00A113A5" w:rsidRPr="008D65D2">
        <w:rPr>
          <w:rFonts w:eastAsia="Calibri"/>
          <w:noProof/>
          <w:lang w:val="en-GB" w:eastAsia="en-US"/>
        </w:rPr>
        <w:t>fit to be regulated in a horizontal consumer law instrument</w:t>
      </w:r>
      <w:r w:rsidR="00870F9C" w:rsidRPr="008D65D2">
        <w:rPr>
          <w:rFonts w:eastAsia="Calibri"/>
          <w:noProof/>
          <w:lang w:val="en-GB" w:eastAsia="en-US"/>
        </w:rPr>
        <w:t>. F</w:t>
      </w:r>
      <w:r w:rsidR="000E02BD" w:rsidRPr="008D65D2">
        <w:rPr>
          <w:rFonts w:eastAsia="Calibri"/>
          <w:noProof/>
          <w:lang w:val="en-GB" w:eastAsia="en-US"/>
        </w:rPr>
        <w:t>or example,</w:t>
      </w:r>
      <w:r w:rsidR="00870F9C" w:rsidRPr="008D65D2">
        <w:rPr>
          <w:rFonts w:eastAsia="Calibri"/>
          <w:noProof/>
          <w:lang w:val="en-GB" w:eastAsia="en-US"/>
        </w:rPr>
        <w:t xml:space="preserve"> information on the </w:t>
      </w:r>
      <w:r w:rsidR="00870F9C" w:rsidRPr="008D65D2">
        <w:rPr>
          <w:rFonts w:eastAsia="Calibri"/>
          <w:b/>
          <w:bCs/>
          <w:noProof/>
          <w:lang w:val="en-GB" w:eastAsia="en-US"/>
        </w:rPr>
        <w:t>energy efficiency</w:t>
      </w:r>
      <w:r w:rsidR="008B1175" w:rsidRPr="008D65D2">
        <w:rPr>
          <w:rStyle w:val="FootnoteReference"/>
          <w:noProof/>
          <w:lang w:val="en-GB"/>
        </w:rPr>
        <w:footnoteReference w:id="24"/>
      </w:r>
      <w:r w:rsidR="00870F9C" w:rsidRPr="008D65D2">
        <w:rPr>
          <w:rFonts w:eastAsia="Calibri"/>
          <w:noProof/>
          <w:lang w:val="en-GB" w:eastAsia="en-US"/>
        </w:rPr>
        <w:t xml:space="preserve"> of </w:t>
      </w:r>
      <w:r w:rsidR="008B1175" w:rsidRPr="008D65D2">
        <w:rPr>
          <w:rFonts w:eastAsia="Calibri"/>
          <w:noProof/>
          <w:lang w:val="en-GB" w:eastAsia="en-US"/>
        </w:rPr>
        <w:t>goods</w:t>
      </w:r>
      <w:r w:rsidR="00870F9C" w:rsidRPr="008D65D2">
        <w:rPr>
          <w:rFonts w:eastAsia="Calibri"/>
          <w:noProof/>
          <w:lang w:val="en-GB" w:eastAsia="en-US"/>
        </w:rPr>
        <w:t xml:space="preserve"> is not considered in this IA as </w:t>
      </w:r>
      <w:r w:rsidR="00B73C39" w:rsidRPr="008D65D2">
        <w:rPr>
          <w:rFonts w:eastAsia="Calibri"/>
          <w:noProof/>
          <w:lang w:val="en-GB" w:eastAsia="en-US"/>
        </w:rPr>
        <w:t>it is</w:t>
      </w:r>
      <w:r w:rsidR="00870F9C" w:rsidRPr="008D65D2">
        <w:rPr>
          <w:rFonts w:eastAsia="Calibri"/>
          <w:noProof/>
          <w:lang w:val="en-GB" w:eastAsia="en-US"/>
        </w:rPr>
        <w:t xml:space="preserve"> already regulated by the mandatory EU Energy Label</w:t>
      </w:r>
      <w:r w:rsidR="00FF357C" w:rsidRPr="008D65D2">
        <w:rPr>
          <w:rStyle w:val="FootnoteReference"/>
          <w:rFonts w:eastAsia="Calibri"/>
          <w:noProof/>
          <w:lang w:val="en-GB" w:eastAsia="en-US"/>
        </w:rPr>
        <w:footnoteReference w:id="25"/>
      </w:r>
      <w:r w:rsidR="00FF357C" w:rsidRPr="008D65D2">
        <w:rPr>
          <w:rFonts w:eastAsia="Calibri"/>
          <w:noProof/>
          <w:lang w:val="en-GB" w:eastAsia="en-US"/>
        </w:rPr>
        <w:t>.</w:t>
      </w:r>
      <w:r w:rsidR="009B1FF6" w:rsidRPr="008D65D2">
        <w:rPr>
          <w:rFonts w:eastAsia="Calibri"/>
          <w:noProof/>
          <w:lang w:val="en-GB" w:eastAsia="en-US"/>
        </w:rPr>
        <w:t xml:space="preserve"> </w:t>
      </w:r>
      <w:r w:rsidRPr="008D65D2">
        <w:rPr>
          <w:rFonts w:eastAsia="Calibri"/>
          <w:b/>
          <w:bCs/>
          <w:noProof/>
          <w:lang w:val="en-GB" w:eastAsia="en-US"/>
        </w:rPr>
        <w:t>R</w:t>
      </w:r>
      <w:r w:rsidR="009F77DE" w:rsidRPr="008D65D2">
        <w:rPr>
          <w:rFonts w:eastAsia="Calibri"/>
          <w:b/>
          <w:bCs/>
          <w:noProof/>
          <w:lang w:val="en-GB" w:eastAsia="en-US"/>
        </w:rPr>
        <w:t>ecyc</w:t>
      </w:r>
      <w:r w:rsidR="003B5741" w:rsidRPr="008D65D2">
        <w:rPr>
          <w:rFonts w:eastAsia="Calibri"/>
          <w:b/>
          <w:bCs/>
          <w:noProof/>
          <w:lang w:val="en-GB" w:eastAsia="en-US"/>
        </w:rPr>
        <w:t>ling aspects</w:t>
      </w:r>
      <w:r w:rsidRPr="008D65D2">
        <w:rPr>
          <w:rFonts w:eastAsia="Calibri"/>
          <w:noProof/>
          <w:lang w:val="en-GB" w:eastAsia="en-US"/>
        </w:rPr>
        <w:t xml:space="preserve"> are </w:t>
      </w:r>
      <w:r w:rsidR="000E02BD" w:rsidRPr="008D65D2">
        <w:rPr>
          <w:rFonts w:eastAsia="Calibri"/>
          <w:noProof/>
          <w:lang w:val="en-GB" w:eastAsia="en-US"/>
        </w:rPr>
        <w:t xml:space="preserve">also </w:t>
      </w:r>
      <w:r w:rsidRPr="008D65D2">
        <w:rPr>
          <w:rFonts w:eastAsia="Calibri"/>
          <w:noProof/>
          <w:lang w:val="en-GB" w:eastAsia="en-US"/>
        </w:rPr>
        <w:t xml:space="preserve">already </w:t>
      </w:r>
      <w:r w:rsidR="00DB2149" w:rsidRPr="008D65D2">
        <w:rPr>
          <w:rFonts w:eastAsia="Calibri"/>
          <w:noProof/>
          <w:lang w:val="en-GB" w:eastAsia="en-US"/>
        </w:rPr>
        <w:t>covered by product</w:t>
      </w:r>
      <w:r w:rsidRPr="008D65D2">
        <w:rPr>
          <w:rFonts w:eastAsia="Calibri"/>
          <w:noProof/>
          <w:lang w:val="en-GB" w:eastAsia="en-US"/>
        </w:rPr>
        <w:t xml:space="preserve"> </w:t>
      </w:r>
      <w:r w:rsidR="00DB2149" w:rsidRPr="008D65D2">
        <w:rPr>
          <w:rFonts w:eastAsia="Calibri"/>
          <w:noProof/>
          <w:lang w:val="en-GB" w:eastAsia="en-US"/>
        </w:rPr>
        <w:t>design</w:t>
      </w:r>
      <w:r w:rsidR="00FF357C" w:rsidRPr="008D65D2">
        <w:rPr>
          <w:rFonts w:eastAsia="Calibri"/>
          <w:noProof/>
          <w:lang w:val="en-GB" w:eastAsia="en-US"/>
        </w:rPr>
        <w:t xml:space="preserve"> and packaging </w:t>
      </w:r>
      <w:r w:rsidR="00DB2149" w:rsidRPr="008D65D2">
        <w:rPr>
          <w:rFonts w:eastAsia="Calibri"/>
          <w:noProof/>
          <w:lang w:val="en-GB" w:eastAsia="en-US"/>
        </w:rPr>
        <w:t>rules</w:t>
      </w:r>
      <w:r w:rsidR="000E5F87" w:rsidRPr="008D65D2">
        <w:rPr>
          <w:rFonts w:eastAsia="Calibri"/>
          <w:noProof/>
          <w:lang w:val="en-GB" w:eastAsia="en-US"/>
        </w:rPr>
        <w:t xml:space="preserve"> </w:t>
      </w:r>
      <w:r w:rsidRPr="008D65D2">
        <w:rPr>
          <w:rFonts w:eastAsia="Calibri"/>
          <w:noProof/>
          <w:lang w:val="en-GB" w:eastAsia="en-US"/>
        </w:rPr>
        <w:t>or waste legislation</w:t>
      </w:r>
      <w:r w:rsidR="00FF357C" w:rsidRPr="008D65D2">
        <w:rPr>
          <w:rStyle w:val="FootnoteReference"/>
          <w:rFonts w:eastAsia="Calibri"/>
          <w:noProof/>
          <w:lang w:val="en-GB" w:eastAsia="en-US"/>
        </w:rPr>
        <w:footnoteReference w:id="26"/>
      </w:r>
      <w:r w:rsidRPr="008D65D2">
        <w:rPr>
          <w:rFonts w:eastAsia="Calibri"/>
          <w:noProof/>
          <w:lang w:val="en-GB" w:eastAsia="en-US"/>
        </w:rPr>
        <w:t>.</w:t>
      </w:r>
      <w:r w:rsidR="00A113A5" w:rsidRPr="008D65D2">
        <w:rPr>
          <w:rFonts w:eastAsia="Calibri"/>
          <w:noProof/>
          <w:lang w:val="en-GB" w:eastAsia="en-US"/>
        </w:rPr>
        <w:t xml:space="preserve"> </w:t>
      </w:r>
      <w:r w:rsidR="001A6309" w:rsidRPr="008D65D2">
        <w:rPr>
          <w:rFonts w:eastAsia="Calibri"/>
          <w:noProof/>
          <w:lang w:val="en-GB" w:eastAsia="en-US"/>
        </w:rPr>
        <w:t>Moreover, multiple other sector specific initiatives are being prepared and undertaken in the context of the Circular Economy Action Plan, such as in areas like plastics, textiles, buildings or food.</w:t>
      </w:r>
      <w:r w:rsidR="00EC0A58">
        <w:rPr>
          <w:rFonts w:eastAsia="Calibri"/>
          <w:noProof/>
          <w:lang w:val="en-GB" w:eastAsia="en-US"/>
        </w:rPr>
        <w:t xml:space="preserve"> Notwithstanding this, some of</w:t>
      </w:r>
      <w:r w:rsidR="00AF0D2E">
        <w:rPr>
          <w:rFonts w:eastAsia="Calibri"/>
          <w:noProof/>
          <w:lang w:val="en-GB" w:eastAsia="en-US"/>
        </w:rPr>
        <w:t xml:space="preserve"> the</w:t>
      </w:r>
      <w:r w:rsidR="00EC0A58">
        <w:rPr>
          <w:rFonts w:eastAsia="Calibri"/>
          <w:noProof/>
          <w:lang w:val="en-GB" w:eastAsia="en-US"/>
        </w:rPr>
        <w:t xml:space="preserve"> problems addressed in this initiative in fact relate to all aspects of environmental sustainability.</w:t>
      </w:r>
      <w:r w:rsidR="0006576A">
        <w:rPr>
          <w:rFonts w:eastAsia="Calibri"/>
          <w:noProof/>
          <w:lang w:val="en-GB" w:eastAsia="en-US"/>
        </w:rPr>
        <w:t xml:space="preserve"> </w:t>
      </w:r>
      <w:r w:rsidR="00EC0A58">
        <w:rPr>
          <w:rFonts w:eastAsia="Calibri"/>
          <w:noProof/>
          <w:lang w:val="en-GB" w:eastAsia="en-US"/>
        </w:rPr>
        <w:t xml:space="preserve">Insofar as this initiative addresses </w:t>
      </w:r>
      <w:r w:rsidR="0006576A">
        <w:rPr>
          <w:rFonts w:eastAsia="Calibri"/>
          <w:noProof/>
          <w:lang w:val="en-GB" w:eastAsia="en-US"/>
        </w:rPr>
        <w:t>misleading environmental claims</w:t>
      </w:r>
      <w:r w:rsidR="00EC0A58">
        <w:rPr>
          <w:rFonts w:eastAsia="Calibri"/>
          <w:noProof/>
          <w:lang w:val="en-GB" w:eastAsia="en-US"/>
        </w:rPr>
        <w:t xml:space="preserve">, it addresses claims relating to all aspects of environmental sustainability, including, for example, recycling aspects. Similarly, in addressing </w:t>
      </w:r>
      <w:r w:rsidR="0006576A">
        <w:rPr>
          <w:rFonts w:eastAsia="Calibri"/>
          <w:noProof/>
          <w:lang w:val="en-GB" w:eastAsia="en-US"/>
        </w:rPr>
        <w:t>unreliable sustainability labels and digital information tools</w:t>
      </w:r>
      <w:r w:rsidR="00EC0A58">
        <w:rPr>
          <w:rFonts w:eastAsia="Calibri"/>
          <w:noProof/>
          <w:lang w:val="en-GB" w:eastAsia="en-US"/>
        </w:rPr>
        <w:t>, this initiative addresses labels and tools relating to all aspects of sustainability, including all aspects of environmental sustainability.</w:t>
      </w:r>
    </w:p>
    <w:p w:rsidR="00EF41D2" w:rsidRPr="009B5734" w:rsidRDefault="00EF41D2" w:rsidP="006D1432">
      <w:pPr>
        <w:pStyle w:val="Default"/>
        <w:spacing w:before="120" w:after="120"/>
        <w:ind w:left="0" w:firstLine="0"/>
        <w:rPr>
          <w:rFonts w:eastAsia="Calibri"/>
          <w:b/>
          <w:noProof/>
          <w:lang w:val="en-GB" w:eastAsia="en-US"/>
        </w:rPr>
      </w:pPr>
      <w:r w:rsidRPr="009B5734">
        <w:rPr>
          <w:rFonts w:eastAsia="Calibri"/>
          <w:b/>
          <w:noProof/>
          <w:lang w:val="en-GB" w:eastAsia="en-US"/>
        </w:rPr>
        <w:t>Interaction with existing legislation and upcoming initiatives</w:t>
      </w:r>
    </w:p>
    <w:p w:rsidR="000B0157" w:rsidRPr="00014EB8" w:rsidRDefault="000B0157" w:rsidP="006D1432">
      <w:pPr>
        <w:pStyle w:val="Default"/>
        <w:spacing w:before="120" w:after="120"/>
        <w:ind w:left="0" w:firstLine="0"/>
        <w:rPr>
          <w:noProof/>
          <w:lang w:val="en-GB"/>
        </w:rPr>
      </w:pPr>
      <w:r w:rsidRPr="009B5734">
        <w:rPr>
          <w:rFonts w:eastAsia="Calibri"/>
          <w:noProof/>
          <w:lang w:val="en-GB" w:eastAsia="en-US"/>
        </w:rPr>
        <w:t xml:space="preserve">As </w:t>
      </w:r>
      <w:r w:rsidRPr="005D24D2">
        <w:rPr>
          <w:rFonts w:eastAsia="Calibri"/>
          <w:i/>
          <w:iCs/>
          <w:noProof/>
          <w:lang w:val="en-GB" w:eastAsia="en-US"/>
        </w:rPr>
        <w:t xml:space="preserve">lex generalis, </w:t>
      </w:r>
      <w:r w:rsidR="00870F9C" w:rsidRPr="009B5734">
        <w:rPr>
          <w:rFonts w:eastAsia="Calibri"/>
          <w:noProof/>
          <w:lang w:val="en-GB" w:eastAsia="en-US"/>
        </w:rPr>
        <w:t xml:space="preserve">this initiative </w:t>
      </w:r>
      <w:r w:rsidRPr="009B5734">
        <w:rPr>
          <w:rFonts w:eastAsia="Calibri"/>
          <w:noProof/>
          <w:lang w:val="en-GB" w:eastAsia="en-US"/>
        </w:rPr>
        <w:t xml:space="preserve">will provide for </w:t>
      </w:r>
      <w:r w:rsidR="00CA72F0" w:rsidRPr="009B5734">
        <w:rPr>
          <w:rFonts w:eastAsia="Calibri"/>
          <w:noProof/>
          <w:lang w:val="en-GB" w:eastAsia="en-US"/>
        </w:rPr>
        <w:t>general</w:t>
      </w:r>
      <w:r w:rsidR="00870F9C" w:rsidRPr="009B5734">
        <w:rPr>
          <w:rFonts w:eastAsia="Calibri"/>
          <w:noProof/>
          <w:lang w:val="en-GB" w:eastAsia="en-US"/>
        </w:rPr>
        <w:t xml:space="preserve"> consumer protection</w:t>
      </w:r>
      <w:r w:rsidR="00CA72F0" w:rsidRPr="009B5734">
        <w:rPr>
          <w:rFonts w:eastAsia="Calibri"/>
          <w:noProof/>
          <w:lang w:val="en-GB" w:eastAsia="en-US"/>
        </w:rPr>
        <w:t xml:space="preserve"> rules</w:t>
      </w:r>
      <w:r w:rsidRPr="009B5734">
        <w:rPr>
          <w:rFonts w:eastAsia="Calibri"/>
          <w:noProof/>
          <w:lang w:val="en-GB" w:eastAsia="en-US"/>
        </w:rPr>
        <w:t xml:space="preserve"> that will be complemented by other EU-level technical or sector-specific instruments</w:t>
      </w:r>
      <w:r w:rsidR="00821910" w:rsidRPr="009B5734">
        <w:rPr>
          <w:rFonts w:eastAsia="Calibri"/>
          <w:noProof/>
          <w:lang w:val="en-GB" w:eastAsia="en-US"/>
        </w:rPr>
        <w:t xml:space="preserve"> (</w:t>
      </w:r>
      <w:r w:rsidR="00821910" w:rsidRPr="005D24D2">
        <w:rPr>
          <w:rFonts w:eastAsia="Calibri"/>
          <w:i/>
          <w:iCs/>
          <w:noProof/>
          <w:lang w:val="en-GB" w:eastAsia="en-US"/>
        </w:rPr>
        <w:t>lex specialis</w:t>
      </w:r>
      <w:r w:rsidR="00821910" w:rsidRPr="009B5734">
        <w:rPr>
          <w:rFonts w:eastAsia="Calibri"/>
          <w:noProof/>
          <w:lang w:val="en-GB" w:eastAsia="en-US"/>
        </w:rPr>
        <w:t>)</w:t>
      </w:r>
      <w:r w:rsidR="00680011" w:rsidRPr="009B5734">
        <w:rPr>
          <w:rFonts w:eastAsia="Calibri"/>
          <w:noProof/>
          <w:lang w:val="en-GB" w:eastAsia="en-US"/>
        </w:rPr>
        <w:t xml:space="preserve">, </w:t>
      </w:r>
      <w:r w:rsidR="000A15EA" w:rsidRPr="009B5734">
        <w:rPr>
          <w:rFonts w:eastAsia="Calibri"/>
          <w:noProof/>
          <w:lang w:val="en-GB" w:eastAsia="en-US"/>
        </w:rPr>
        <w:t xml:space="preserve">when they provide for </w:t>
      </w:r>
      <w:r w:rsidRPr="009B5734">
        <w:rPr>
          <w:rFonts w:eastAsia="Calibri"/>
          <w:noProof/>
          <w:lang w:val="en-GB" w:eastAsia="en-US"/>
        </w:rPr>
        <w:t xml:space="preserve">more detailed </w:t>
      </w:r>
      <w:r w:rsidR="008B5AD0" w:rsidRPr="009B5734">
        <w:rPr>
          <w:rFonts w:eastAsia="Calibri"/>
          <w:noProof/>
          <w:lang w:val="en-GB" w:eastAsia="en-US"/>
        </w:rPr>
        <w:t>rules</w:t>
      </w:r>
      <w:r w:rsidRPr="009B5734">
        <w:rPr>
          <w:rFonts w:eastAsia="Calibri"/>
          <w:noProof/>
          <w:lang w:val="en-GB" w:eastAsia="en-US"/>
        </w:rPr>
        <w:t>.</w:t>
      </w:r>
      <w:r w:rsidR="00905A05" w:rsidRPr="009B5734">
        <w:rPr>
          <w:rFonts w:eastAsia="Calibri"/>
          <w:noProof/>
          <w:lang w:val="en-GB" w:eastAsia="en-US"/>
        </w:rPr>
        <w:t xml:space="preserve"> This applies to existing rules (</w:t>
      </w:r>
      <w:r w:rsidR="00E7570D" w:rsidRPr="009B5734">
        <w:rPr>
          <w:rFonts w:eastAsia="Calibri"/>
          <w:noProof/>
          <w:lang w:val="en-GB" w:eastAsia="en-US"/>
        </w:rPr>
        <w:t xml:space="preserve">for example: </w:t>
      </w:r>
      <w:r w:rsidR="006D51CD" w:rsidRPr="009B5734">
        <w:rPr>
          <w:rFonts w:eastAsia="Calibri"/>
          <w:noProof/>
          <w:lang w:val="en-GB" w:eastAsia="en-US"/>
        </w:rPr>
        <w:t>ecolabels, eco-design measures</w:t>
      </w:r>
      <w:r w:rsidR="00C3582B" w:rsidRPr="009B5734">
        <w:rPr>
          <w:rFonts w:eastAsia="Calibri"/>
          <w:noProof/>
          <w:lang w:val="en-GB" w:eastAsia="en-US"/>
        </w:rPr>
        <w:t>, food labelling legislation</w:t>
      </w:r>
      <w:r w:rsidR="00905A05" w:rsidRPr="009B5734">
        <w:rPr>
          <w:rFonts w:eastAsia="Calibri"/>
          <w:noProof/>
          <w:lang w:val="en-GB" w:eastAsia="en-US"/>
        </w:rPr>
        <w:t xml:space="preserve">) or upcoming initiatives. </w:t>
      </w:r>
      <w:r w:rsidR="00821910" w:rsidRPr="00014EB8">
        <w:rPr>
          <w:noProof/>
          <w:lang w:val="en-GB"/>
        </w:rPr>
        <w:t xml:space="preserve">There will </w:t>
      </w:r>
      <w:r w:rsidR="000A15EA" w:rsidRPr="00014EB8">
        <w:rPr>
          <w:noProof/>
          <w:lang w:val="en-GB"/>
        </w:rPr>
        <w:t xml:space="preserve">thus </w:t>
      </w:r>
      <w:r w:rsidR="00821910" w:rsidRPr="00014EB8">
        <w:rPr>
          <w:noProof/>
          <w:lang w:val="en-GB"/>
        </w:rPr>
        <w:t>be no change to the current relationship between environmental and product policy legislation and consumer law instruments</w:t>
      </w:r>
      <w:r w:rsidR="006D51CD" w:rsidRPr="00014EB8">
        <w:rPr>
          <w:noProof/>
          <w:lang w:val="en-GB"/>
        </w:rPr>
        <w:t>.</w:t>
      </w:r>
    </w:p>
    <w:p w:rsidR="000A15EA" w:rsidRPr="009B5734" w:rsidRDefault="00E7570D" w:rsidP="007F2BF3">
      <w:pPr>
        <w:pStyle w:val="Default"/>
        <w:spacing w:before="120" w:after="120"/>
        <w:ind w:left="0" w:firstLine="0"/>
        <w:rPr>
          <w:noProof/>
          <w:lang w:val="en-GB"/>
        </w:rPr>
      </w:pPr>
      <w:r w:rsidRPr="009B5734">
        <w:rPr>
          <w:noProof/>
          <w:lang w:val="en-GB"/>
        </w:rPr>
        <w:t>As further demonstrated in</w:t>
      </w:r>
      <w:r w:rsidR="00C310D8" w:rsidRPr="00C310D8">
        <w:rPr>
          <w:noProof/>
          <w:lang w:val="en-IE"/>
        </w:rPr>
        <w:t xml:space="preserve"> </w:t>
      </w:r>
      <w:hyperlink w:anchor="_What_are_the" w:history="1">
        <w:r w:rsidR="00C310D8" w:rsidRPr="00C310D8">
          <w:rPr>
            <w:rStyle w:val="Hyperlink"/>
            <w:noProof/>
            <w:lang w:val="en-IE"/>
          </w:rPr>
          <w:t>Section 5</w:t>
        </w:r>
      </w:hyperlink>
      <w:r w:rsidRPr="009B5734">
        <w:rPr>
          <w:b/>
          <w:noProof/>
          <w:lang w:val="en-GB"/>
        </w:rPr>
        <w:t>, t</w:t>
      </w:r>
      <w:r w:rsidR="000A15EA" w:rsidRPr="009B5734">
        <w:rPr>
          <w:b/>
          <w:noProof/>
          <w:lang w:val="en-GB"/>
        </w:rPr>
        <w:t xml:space="preserve">his initiative is self-standing and developed in </w:t>
      </w:r>
      <w:r w:rsidR="008A41C0" w:rsidRPr="009B5734">
        <w:rPr>
          <w:b/>
          <w:noProof/>
          <w:lang w:val="en-GB"/>
        </w:rPr>
        <w:t xml:space="preserve">full </w:t>
      </w:r>
      <w:r w:rsidR="000A15EA" w:rsidRPr="009B5734">
        <w:rPr>
          <w:b/>
          <w:noProof/>
          <w:lang w:val="en-GB"/>
        </w:rPr>
        <w:t>coherence with the</w:t>
      </w:r>
      <w:r w:rsidR="00FE2A21">
        <w:rPr>
          <w:b/>
          <w:noProof/>
          <w:lang w:val="en-GB"/>
        </w:rPr>
        <w:t xml:space="preserve"> </w:t>
      </w:r>
      <w:r w:rsidR="00FE2A21" w:rsidRPr="00C310D8">
        <w:rPr>
          <w:b/>
          <w:noProof/>
          <w:lang w:val="en-GB"/>
        </w:rPr>
        <w:t>upcoming</w:t>
      </w:r>
      <w:r w:rsidR="000A15EA" w:rsidRPr="00C310D8">
        <w:rPr>
          <w:b/>
          <w:noProof/>
          <w:lang w:val="en-GB"/>
        </w:rPr>
        <w:t xml:space="preserve"> </w:t>
      </w:r>
      <w:r w:rsidR="00B83AEE" w:rsidRPr="00C310D8">
        <w:rPr>
          <w:b/>
          <w:noProof/>
          <w:lang w:val="en-GB"/>
        </w:rPr>
        <w:t xml:space="preserve">Green </w:t>
      </w:r>
      <w:r w:rsidR="000A15EA" w:rsidRPr="00C310D8">
        <w:rPr>
          <w:b/>
          <w:noProof/>
          <w:lang w:val="en-GB"/>
        </w:rPr>
        <w:t>Claims Initiative and the Sustainable Products Initiative</w:t>
      </w:r>
      <w:r w:rsidR="0064511B" w:rsidRPr="00C310D8">
        <w:rPr>
          <w:b/>
          <w:noProof/>
          <w:lang w:val="en-GB"/>
        </w:rPr>
        <w:t xml:space="preserve"> </w:t>
      </w:r>
      <w:r w:rsidR="0064511B" w:rsidRPr="00C310D8">
        <w:rPr>
          <w:noProof/>
          <w:lang w:val="en-GB"/>
        </w:rPr>
        <w:t>(adopted together with this initiative)</w:t>
      </w:r>
      <w:r w:rsidR="00C25EFE" w:rsidRPr="00C310D8">
        <w:rPr>
          <w:noProof/>
          <w:lang w:val="en-GB"/>
        </w:rPr>
        <w:t>,</w:t>
      </w:r>
      <w:r w:rsidR="0064511B" w:rsidRPr="00C310D8">
        <w:rPr>
          <w:b/>
          <w:noProof/>
          <w:lang w:val="en-GB"/>
        </w:rPr>
        <w:t xml:space="preserve"> both</w:t>
      </w:r>
      <w:r w:rsidR="00C25EFE" w:rsidRPr="00C310D8">
        <w:rPr>
          <w:b/>
          <w:noProof/>
          <w:lang w:val="en-GB"/>
        </w:rPr>
        <w:t xml:space="preserve"> </w:t>
      </w:r>
      <w:r w:rsidR="008E0AE8" w:rsidRPr="00C310D8">
        <w:rPr>
          <w:b/>
          <w:noProof/>
          <w:lang w:val="en-GB"/>
        </w:rPr>
        <w:t>also</w:t>
      </w:r>
      <w:r w:rsidR="000A15EA" w:rsidRPr="00C310D8">
        <w:rPr>
          <w:b/>
          <w:noProof/>
          <w:lang w:val="en-GB"/>
        </w:rPr>
        <w:t xml:space="preserve"> announced in CEAP</w:t>
      </w:r>
      <w:r w:rsidR="000A15EA" w:rsidRPr="00C310D8">
        <w:rPr>
          <w:noProof/>
          <w:lang w:val="en-GB"/>
        </w:rPr>
        <w:t xml:space="preserve">. While </w:t>
      </w:r>
      <w:r w:rsidR="008E357B" w:rsidRPr="00C310D8">
        <w:rPr>
          <w:noProof/>
          <w:lang w:val="en-GB"/>
        </w:rPr>
        <w:t>these</w:t>
      </w:r>
      <w:r w:rsidR="000A15EA" w:rsidRPr="00C310D8">
        <w:rPr>
          <w:noProof/>
          <w:lang w:val="en-GB"/>
        </w:rPr>
        <w:t xml:space="preserve"> initiatives are linked in their purpose to</w:t>
      </w:r>
      <w:r w:rsidR="000A15EA" w:rsidRPr="009B5734">
        <w:rPr>
          <w:noProof/>
          <w:lang w:val="en-GB"/>
        </w:rPr>
        <w:t xml:space="preserve"> enhance sustainable production and consumption, they do so by focusing on different market participants</w:t>
      </w:r>
      <w:r w:rsidR="002529BB" w:rsidRPr="009B5734">
        <w:rPr>
          <w:noProof/>
          <w:lang w:val="en-GB"/>
        </w:rPr>
        <w:t>, at different stages of the value chain</w:t>
      </w:r>
      <w:r w:rsidR="000A15EA" w:rsidRPr="009B5734">
        <w:rPr>
          <w:noProof/>
          <w:lang w:val="en-GB"/>
        </w:rPr>
        <w:t>.</w:t>
      </w:r>
      <w:r w:rsidRPr="009B5734">
        <w:rPr>
          <w:noProof/>
          <w:lang w:val="en-GB"/>
        </w:rPr>
        <w:t xml:space="preserve"> They also have differing product scopes and introduce different types of requirements</w:t>
      </w:r>
      <w:r w:rsidR="00FF357C" w:rsidRPr="009B5734">
        <w:rPr>
          <w:noProof/>
          <w:lang w:val="en-GB"/>
        </w:rPr>
        <w:t>.</w:t>
      </w:r>
      <w:r w:rsidRPr="009B5734">
        <w:rPr>
          <w:noProof/>
          <w:lang w:val="en-GB"/>
        </w:rPr>
        <w:t xml:space="preserve"> </w:t>
      </w:r>
    </w:p>
    <w:p w:rsidR="000A15EA" w:rsidRPr="009B5734" w:rsidRDefault="000A15EA" w:rsidP="00AF2509">
      <w:pPr>
        <w:pStyle w:val="Default"/>
        <w:spacing w:before="120" w:after="120"/>
        <w:ind w:left="0" w:firstLine="0"/>
        <w:rPr>
          <w:noProof/>
          <w:lang w:val="en-GB"/>
        </w:rPr>
      </w:pPr>
      <w:r w:rsidRPr="009B5734">
        <w:rPr>
          <w:noProof/>
          <w:lang w:val="en-GB"/>
        </w:rPr>
        <w:t xml:space="preserve">Indeed, </w:t>
      </w:r>
      <w:r w:rsidRPr="005D24D2">
        <w:rPr>
          <w:b/>
          <w:bCs/>
          <w:noProof/>
          <w:lang w:val="en-GB"/>
        </w:rPr>
        <w:t>this initiative will focus on the demand side</w:t>
      </w:r>
      <w:r w:rsidRPr="009B5734">
        <w:rPr>
          <w:noProof/>
          <w:lang w:val="en-GB"/>
        </w:rPr>
        <w:t xml:space="preserve">, and more particularly at enhancing the </w:t>
      </w:r>
      <w:r w:rsidR="00BB130F" w:rsidRPr="009B5734">
        <w:rPr>
          <w:noProof/>
          <w:lang w:val="en-GB"/>
        </w:rPr>
        <w:t xml:space="preserve">environmental </w:t>
      </w:r>
      <w:r w:rsidRPr="009B5734">
        <w:rPr>
          <w:noProof/>
          <w:lang w:val="en-GB"/>
        </w:rPr>
        <w:t>sustainability information provided to consumers at the point of the sale and at better protecting consumers from practices that could mislead them</w:t>
      </w:r>
      <w:r w:rsidR="00173669">
        <w:rPr>
          <w:noProof/>
          <w:lang w:val="en-GB"/>
        </w:rPr>
        <w:t xml:space="preserve"> and thus interfere with the integrity of</w:t>
      </w:r>
      <w:r w:rsidRPr="009B5734">
        <w:rPr>
          <w:noProof/>
          <w:lang w:val="en-GB"/>
        </w:rPr>
        <w:t xml:space="preserve"> their transactional decisions, luring them away from sustainable consumption choices. To do so, </w:t>
      </w:r>
      <w:r w:rsidRPr="005D24D2">
        <w:rPr>
          <w:b/>
          <w:bCs/>
          <w:noProof/>
          <w:lang w:val="en-GB"/>
        </w:rPr>
        <w:t>it will focus on the obligations of traders towards consumers</w:t>
      </w:r>
      <w:r w:rsidRPr="009B5734">
        <w:rPr>
          <w:noProof/>
          <w:lang w:val="en-GB"/>
        </w:rPr>
        <w:t xml:space="preserve">.  </w:t>
      </w:r>
    </w:p>
    <w:p w:rsidR="000E7C22" w:rsidRPr="00014EB8" w:rsidRDefault="000A15EA" w:rsidP="00AF2509">
      <w:pPr>
        <w:pStyle w:val="Default"/>
        <w:spacing w:before="120" w:after="120"/>
        <w:ind w:left="0" w:firstLine="0"/>
        <w:rPr>
          <w:noProof/>
          <w:lang w:val="en-GB"/>
        </w:rPr>
      </w:pPr>
      <w:r w:rsidRPr="00D014F4">
        <w:rPr>
          <w:noProof/>
          <w:lang w:val="en-GB"/>
        </w:rPr>
        <w:t xml:space="preserve">The objective of the </w:t>
      </w:r>
      <w:r w:rsidR="00DB7E83" w:rsidRPr="00D014F4">
        <w:rPr>
          <w:b/>
          <w:noProof/>
          <w:lang w:val="en-GB"/>
        </w:rPr>
        <w:t xml:space="preserve">Green </w:t>
      </w:r>
      <w:r w:rsidRPr="00D014F4">
        <w:rPr>
          <w:b/>
          <w:noProof/>
          <w:lang w:val="en-GB"/>
        </w:rPr>
        <w:t>Claims initiative</w:t>
      </w:r>
      <w:r w:rsidRPr="00D014F4">
        <w:rPr>
          <w:noProof/>
          <w:lang w:val="en-GB"/>
        </w:rPr>
        <w:t xml:space="preserve"> </w:t>
      </w:r>
      <w:r w:rsidR="00D014F4" w:rsidRPr="00D014F4">
        <w:rPr>
          <w:noProof/>
          <w:lang w:val="en-GB"/>
        </w:rPr>
        <w:t xml:space="preserve">will be to introduce certain requirements in relation to environmental claims on products and organisations. The initiative would establish methodological requirements on how environmental claims are communicated and substantiated. </w:t>
      </w:r>
    </w:p>
    <w:p w:rsidR="003D00BA" w:rsidRPr="009B5734" w:rsidRDefault="000E7C22">
      <w:pPr>
        <w:pStyle w:val="Default"/>
        <w:spacing w:before="120" w:after="120"/>
        <w:ind w:left="0" w:firstLine="0"/>
        <w:rPr>
          <w:rFonts w:eastAsia="Calibri"/>
          <w:noProof/>
          <w:lang w:val="en-GB"/>
        </w:rPr>
      </w:pPr>
      <w:r w:rsidRPr="00014EB8">
        <w:rPr>
          <w:noProof/>
          <w:lang w:val="en-GB"/>
        </w:rPr>
        <w:t xml:space="preserve">The </w:t>
      </w:r>
      <w:r w:rsidR="0005644B">
        <w:rPr>
          <w:noProof/>
          <w:lang w:val="en-GB"/>
        </w:rPr>
        <w:t>main</w:t>
      </w:r>
      <w:r w:rsidRPr="00014EB8">
        <w:rPr>
          <w:noProof/>
          <w:lang w:val="en-GB"/>
        </w:rPr>
        <w:t xml:space="preserve"> </w:t>
      </w:r>
      <w:r w:rsidR="00737AEA" w:rsidRPr="00014EB8">
        <w:rPr>
          <w:noProof/>
          <w:lang w:val="en-GB"/>
        </w:rPr>
        <w:t>objective of the</w:t>
      </w:r>
      <w:r w:rsidR="00737AEA" w:rsidRPr="005D24D2">
        <w:rPr>
          <w:b/>
          <w:bCs/>
          <w:noProof/>
          <w:lang w:val="en-GB"/>
        </w:rPr>
        <w:t xml:space="preserve"> </w:t>
      </w:r>
      <w:r w:rsidRPr="005D24D2">
        <w:rPr>
          <w:b/>
          <w:bCs/>
          <w:noProof/>
          <w:lang w:val="en-GB"/>
        </w:rPr>
        <w:t>Sustainable Products Initiative</w:t>
      </w:r>
      <w:r w:rsidR="00EA1569" w:rsidRPr="005D24D2">
        <w:rPr>
          <w:b/>
          <w:bCs/>
          <w:noProof/>
          <w:lang w:val="en-US"/>
        </w:rPr>
        <w:t xml:space="preserve"> (SPI)</w:t>
      </w:r>
      <w:r w:rsidRPr="005D24D2">
        <w:rPr>
          <w:b/>
          <w:bCs/>
          <w:noProof/>
          <w:lang w:val="en-GB"/>
        </w:rPr>
        <w:t xml:space="preserve"> </w:t>
      </w:r>
      <w:r w:rsidR="00737AEA" w:rsidRPr="005D24D2">
        <w:rPr>
          <w:b/>
          <w:bCs/>
          <w:noProof/>
          <w:lang w:val="en-GB"/>
        </w:rPr>
        <w:t>is to</w:t>
      </w:r>
      <w:r w:rsidRPr="005D24D2">
        <w:rPr>
          <w:b/>
          <w:bCs/>
          <w:noProof/>
          <w:lang w:val="en-GB"/>
        </w:rPr>
        <w:t xml:space="preserve"> </w:t>
      </w:r>
      <w:r w:rsidR="00737AEA" w:rsidRPr="005D24D2">
        <w:rPr>
          <w:b/>
          <w:bCs/>
          <w:noProof/>
          <w:lang w:val="en-GB"/>
        </w:rPr>
        <w:t>introduce</w:t>
      </w:r>
      <w:r w:rsidR="00973145" w:rsidRPr="005D24D2">
        <w:rPr>
          <w:b/>
          <w:bCs/>
          <w:noProof/>
          <w:lang w:val="en-GB"/>
        </w:rPr>
        <w:t xml:space="preserve"> sustainability requirements</w:t>
      </w:r>
      <w:r w:rsidRPr="005D24D2">
        <w:rPr>
          <w:b/>
          <w:bCs/>
          <w:noProof/>
          <w:lang w:val="en-GB"/>
        </w:rPr>
        <w:t xml:space="preserve"> </w:t>
      </w:r>
      <w:r w:rsidR="00973145" w:rsidRPr="005D24D2">
        <w:rPr>
          <w:b/>
          <w:bCs/>
          <w:noProof/>
          <w:lang w:val="en-GB"/>
        </w:rPr>
        <w:t xml:space="preserve">for products placed on the market, thus </w:t>
      </w:r>
      <w:r w:rsidRPr="005D24D2">
        <w:rPr>
          <w:b/>
          <w:bCs/>
          <w:noProof/>
          <w:lang w:val="en-GB"/>
        </w:rPr>
        <w:t>targeting manufacturers.</w:t>
      </w:r>
      <w:r w:rsidRPr="00014EB8">
        <w:rPr>
          <w:noProof/>
          <w:lang w:val="en-GB"/>
        </w:rPr>
        <w:t xml:space="preserve"> </w:t>
      </w:r>
      <w:r w:rsidR="00EA1569">
        <w:rPr>
          <w:noProof/>
          <w:lang w:val="en-US"/>
        </w:rPr>
        <w:t xml:space="preserve">The SPI </w:t>
      </w:r>
      <w:r w:rsidR="002E43DE">
        <w:rPr>
          <w:noProof/>
          <w:lang w:val="en-US"/>
        </w:rPr>
        <w:t xml:space="preserve">will </w:t>
      </w:r>
      <w:r w:rsidR="0005644B">
        <w:rPr>
          <w:noProof/>
          <w:lang w:val="en-US"/>
        </w:rPr>
        <w:t>create a framework that</w:t>
      </w:r>
      <w:r w:rsidR="002E43DE">
        <w:rPr>
          <w:noProof/>
          <w:lang w:val="en-US"/>
        </w:rPr>
        <w:t xml:space="preserve"> allow</w:t>
      </w:r>
      <w:r w:rsidR="0005644B">
        <w:rPr>
          <w:noProof/>
          <w:lang w:val="en-US"/>
        </w:rPr>
        <w:t>s the</w:t>
      </w:r>
      <w:r w:rsidR="00EA1569">
        <w:rPr>
          <w:noProof/>
          <w:lang w:val="en-US"/>
        </w:rPr>
        <w:t xml:space="preserve"> setting</w:t>
      </w:r>
      <w:r w:rsidR="0005644B">
        <w:rPr>
          <w:noProof/>
          <w:lang w:val="en-US"/>
        </w:rPr>
        <w:t xml:space="preserve"> of</w:t>
      </w:r>
      <w:r w:rsidR="00EA1569">
        <w:rPr>
          <w:noProof/>
          <w:lang w:val="en-US"/>
        </w:rPr>
        <w:t xml:space="preserve"> both minimum requirements and information requirements for specific product or groups of products. </w:t>
      </w:r>
      <w:r w:rsidR="00973145" w:rsidRPr="00014EB8">
        <w:rPr>
          <w:noProof/>
          <w:lang w:val="en-GB"/>
        </w:rPr>
        <w:t>The initiative should expand the scope of the Ecodesign Directive to a wide</w:t>
      </w:r>
      <w:r w:rsidR="00FF357C" w:rsidRPr="00014EB8">
        <w:rPr>
          <w:noProof/>
          <w:lang w:val="en-GB"/>
        </w:rPr>
        <w:t>r</w:t>
      </w:r>
      <w:r w:rsidR="00973145" w:rsidRPr="00014EB8">
        <w:rPr>
          <w:noProof/>
          <w:lang w:val="en-GB"/>
        </w:rPr>
        <w:t xml:space="preserve"> range of products, and to new types of requirements to better cover the life cycle of products, circularity and possibly social aspects. </w:t>
      </w:r>
      <w:r w:rsidR="00516BA5">
        <w:rPr>
          <w:noProof/>
          <w:lang w:val="en-IE"/>
        </w:rPr>
        <w:t xml:space="preserve">Information requirements set through SPI can </w:t>
      </w:r>
      <w:r w:rsidR="00C30D24" w:rsidRPr="00014EB8">
        <w:rPr>
          <w:noProof/>
          <w:lang w:val="en-GB"/>
        </w:rPr>
        <w:t xml:space="preserve">help consumers distinguish </w:t>
      </w:r>
      <w:r w:rsidR="00516BA5">
        <w:rPr>
          <w:noProof/>
          <w:lang w:val="en-IE"/>
        </w:rPr>
        <w:t xml:space="preserve">the relevant products </w:t>
      </w:r>
      <w:r w:rsidR="00C30D24" w:rsidRPr="00014EB8">
        <w:rPr>
          <w:noProof/>
          <w:lang w:val="en-GB"/>
        </w:rPr>
        <w:t>based on their sustainability performance</w:t>
      </w:r>
      <w:r w:rsidR="00516BA5">
        <w:rPr>
          <w:noProof/>
          <w:lang w:val="en-IE"/>
        </w:rPr>
        <w:t xml:space="preserve"> (</w:t>
      </w:r>
      <w:r w:rsidR="0005644B">
        <w:rPr>
          <w:noProof/>
          <w:lang w:val="en-IE"/>
        </w:rPr>
        <w:t xml:space="preserve">the information required will depend on the product and can range </w:t>
      </w:r>
      <w:r w:rsidR="00516BA5">
        <w:rPr>
          <w:noProof/>
          <w:lang w:val="en-IE"/>
        </w:rPr>
        <w:t>from the origin of materials to environmental performance, durability, reparability, chemicals of concern, handling at the end of life etc.)</w:t>
      </w:r>
      <w:r w:rsidR="00C30D24" w:rsidRPr="00014EB8">
        <w:rPr>
          <w:noProof/>
          <w:lang w:val="en-GB"/>
        </w:rPr>
        <w:t xml:space="preserve">. </w:t>
      </w:r>
      <w:r w:rsidR="00516BA5">
        <w:rPr>
          <w:noProof/>
          <w:lang w:val="en-IE"/>
        </w:rPr>
        <w:t xml:space="preserve">The SPI also aims to establish a </w:t>
      </w:r>
      <w:r w:rsidR="00516BA5" w:rsidRPr="005D24D2">
        <w:rPr>
          <w:b/>
          <w:bCs/>
          <w:noProof/>
          <w:lang w:val="en-IE"/>
        </w:rPr>
        <w:t>digital product passport</w:t>
      </w:r>
      <w:r w:rsidR="00516BA5">
        <w:rPr>
          <w:noProof/>
          <w:lang w:val="en-IE"/>
        </w:rPr>
        <w:t xml:space="preserve"> which would give access to such information along the value chain, with differentiated access to consumers, businesses and compliance authorities.</w:t>
      </w:r>
      <w:r w:rsidR="00C30D24">
        <w:rPr>
          <w:noProof/>
          <w:lang w:val="en-IE"/>
        </w:rPr>
        <w:t xml:space="preserve"> </w:t>
      </w:r>
      <w:r w:rsidR="00C30D24" w:rsidRPr="00014EB8">
        <w:rPr>
          <w:noProof/>
          <w:lang w:val="en-GB"/>
        </w:rPr>
        <w:t>Th</w:t>
      </w:r>
      <w:r w:rsidR="00EB36BE" w:rsidRPr="00014EB8">
        <w:rPr>
          <w:noProof/>
          <w:lang w:val="en-GB"/>
        </w:rPr>
        <w:t xml:space="preserve">e </w:t>
      </w:r>
      <w:r w:rsidR="00C30D24" w:rsidRPr="00014EB8">
        <w:rPr>
          <w:noProof/>
          <w:lang w:val="en-GB"/>
        </w:rPr>
        <w:t>initiative</w:t>
      </w:r>
      <w:r w:rsidR="00EB36BE" w:rsidRPr="00014EB8">
        <w:rPr>
          <w:noProof/>
          <w:lang w:val="en-GB"/>
        </w:rPr>
        <w:t xml:space="preserve"> examined in this IA</w:t>
      </w:r>
      <w:r w:rsidR="00C30D24" w:rsidRPr="00014EB8">
        <w:rPr>
          <w:noProof/>
          <w:lang w:val="en-GB"/>
        </w:rPr>
        <w:t xml:space="preserve"> would </w:t>
      </w:r>
      <w:r w:rsidR="00516BA5">
        <w:rPr>
          <w:noProof/>
          <w:lang w:val="en-IE"/>
        </w:rPr>
        <w:t xml:space="preserve">similarly contribute to the aim of allowing product differentiation by </w:t>
      </w:r>
      <w:r w:rsidR="00C30D24">
        <w:rPr>
          <w:noProof/>
          <w:lang w:val="en-IE"/>
        </w:rPr>
        <w:t>interven</w:t>
      </w:r>
      <w:r w:rsidR="00516BA5">
        <w:rPr>
          <w:noProof/>
          <w:lang w:val="en-IE"/>
        </w:rPr>
        <w:t>ing</w:t>
      </w:r>
      <w:r w:rsidR="00C30D24" w:rsidRPr="00014EB8">
        <w:rPr>
          <w:noProof/>
          <w:lang w:val="en-GB"/>
        </w:rPr>
        <w:t xml:space="preserve"> at the point of sale </w:t>
      </w:r>
      <w:r w:rsidR="001C4182" w:rsidRPr="00014EB8">
        <w:rPr>
          <w:noProof/>
          <w:lang w:val="en-GB"/>
        </w:rPr>
        <w:t xml:space="preserve">and </w:t>
      </w:r>
      <w:r w:rsidR="001C4182">
        <w:rPr>
          <w:noProof/>
          <w:lang w:val="en-IE"/>
        </w:rPr>
        <w:t>facilitat</w:t>
      </w:r>
      <w:r w:rsidR="00516BA5">
        <w:rPr>
          <w:noProof/>
          <w:lang w:val="en-IE"/>
        </w:rPr>
        <w:t>ing</w:t>
      </w:r>
      <w:r w:rsidR="001C4182" w:rsidRPr="00014EB8">
        <w:rPr>
          <w:noProof/>
          <w:lang w:val="en-GB"/>
        </w:rPr>
        <w:t xml:space="preserve"> consumer access to relevant information</w:t>
      </w:r>
      <w:r w:rsidR="00C30D24" w:rsidRPr="00014EB8">
        <w:rPr>
          <w:noProof/>
          <w:lang w:val="en-GB"/>
        </w:rPr>
        <w:t xml:space="preserve">, </w:t>
      </w:r>
      <w:r w:rsidR="00516BA5">
        <w:rPr>
          <w:noProof/>
          <w:lang w:val="en-IE"/>
        </w:rPr>
        <w:t>i.e.</w:t>
      </w:r>
      <w:r w:rsidR="00C30D24" w:rsidRPr="00014EB8">
        <w:rPr>
          <w:noProof/>
          <w:lang w:val="en-GB"/>
        </w:rPr>
        <w:t xml:space="preserve"> as regards to </w:t>
      </w:r>
      <w:r w:rsidR="001C4182" w:rsidRPr="00014EB8">
        <w:rPr>
          <w:noProof/>
          <w:lang w:val="en-GB"/>
        </w:rPr>
        <w:t xml:space="preserve">the </w:t>
      </w:r>
      <w:r w:rsidR="00C30D24" w:rsidRPr="00014EB8">
        <w:rPr>
          <w:noProof/>
          <w:lang w:val="en-GB"/>
        </w:rPr>
        <w:t>durability or reparability</w:t>
      </w:r>
      <w:r w:rsidR="001C4182" w:rsidRPr="00014EB8">
        <w:rPr>
          <w:noProof/>
          <w:lang w:val="en-GB"/>
        </w:rPr>
        <w:t xml:space="preserve"> of</w:t>
      </w:r>
      <w:r w:rsidR="0046558D">
        <w:rPr>
          <w:noProof/>
          <w:lang w:val="en-GB"/>
        </w:rPr>
        <w:t xml:space="preserve"> products</w:t>
      </w:r>
      <w:r w:rsidR="00190355" w:rsidRPr="00014EB8">
        <w:rPr>
          <w:noProof/>
          <w:lang w:val="en-GB"/>
        </w:rPr>
        <w:t>.</w:t>
      </w:r>
      <w:r w:rsidR="00382894" w:rsidRPr="00014EB8">
        <w:rPr>
          <w:noProof/>
          <w:lang w:val="en-GB"/>
        </w:rPr>
        <w:t xml:space="preserve"> </w:t>
      </w:r>
      <w:r w:rsidR="00973145" w:rsidRPr="00014EB8">
        <w:rPr>
          <w:noProof/>
          <w:lang w:val="en-GB"/>
        </w:rPr>
        <w:t>In this respect</w:t>
      </w:r>
      <w:r w:rsidR="00905A05" w:rsidRPr="00014EB8">
        <w:rPr>
          <w:noProof/>
          <w:lang w:val="en-GB"/>
        </w:rPr>
        <w:t xml:space="preserve">, </w:t>
      </w:r>
      <w:r w:rsidR="00516BA5">
        <w:rPr>
          <w:noProof/>
          <w:lang w:val="en-IE"/>
        </w:rPr>
        <w:t xml:space="preserve">the SPI </w:t>
      </w:r>
      <w:r w:rsidR="00905A05" w:rsidRPr="00014EB8">
        <w:rPr>
          <w:noProof/>
          <w:lang w:val="en-GB"/>
        </w:rPr>
        <w:t xml:space="preserve">will act as a </w:t>
      </w:r>
      <w:r w:rsidR="00905A05" w:rsidRPr="005D24D2">
        <w:rPr>
          <w:i/>
          <w:iCs/>
          <w:noProof/>
          <w:lang w:val="en-GB"/>
        </w:rPr>
        <w:t>lex specialis</w:t>
      </w:r>
      <w:r w:rsidR="00905A05" w:rsidRPr="00014EB8">
        <w:rPr>
          <w:noProof/>
          <w:lang w:val="en-GB"/>
        </w:rPr>
        <w:t xml:space="preserve"> vis-à-vis horizontal consumer law information requirements by </w:t>
      </w:r>
      <w:r w:rsidR="00382894" w:rsidRPr="00014EB8">
        <w:rPr>
          <w:noProof/>
          <w:lang w:val="en-GB"/>
        </w:rPr>
        <w:t>providing</w:t>
      </w:r>
      <w:r w:rsidR="00905A05" w:rsidRPr="00014EB8">
        <w:rPr>
          <w:noProof/>
          <w:lang w:val="en-GB"/>
        </w:rPr>
        <w:t xml:space="preserve"> further </w:t>
      </w:r>
      <w:r w:rsidR="00C03EE9" w:rsidRPr="00014EB8">
        <w:rPr>
          <w:noProof/>
          <w:lang w:val="en-GB"/>
        </w:rPr>
        <w:t xml:space="preserve">information on the product </w:t>
      </w:r>
      <w:r w:rsidR="00516BA5">
        <w:rPr>
          <w:noProof/>
          <w:lang w:val="en-IE"/>
        </w:rPr>
        <w:t xml:space="preserve">or group of products </w:t>
      </w:r>
      <w:r w:rsidR="00C03EE9" w:rsidRPr="00014EB8">
        <w:rPr>
          <w:noProof/>
          <w:lang w:val="en-GB"/>
        </w:rPr>
        <w:t>in question</w:t>
      </w:r>
      <w:r w:rsidR="0058125F" w:rsidRPr="00014EB8">
        <w:rPr>
          <w:noProof/>
          <w:lang w:val="en-GB"/>
        </w:rPr>
        <w:t xml:space="preserve"> in accordance with the specific requirements of the SPI</w:t>
      </w:r>
      <w:r w:rsidR="00905A05" w:rsidRPr="00014EB8">
        <w:rPr>
          <w:noProof/>
          <w:lang w:val="en-GB"/>
        </w:rPr>
        <w:t>.</w:t>
      </w:r>
      <w:r w:rsidR="00AA4B36">
        <w:rPr>
          <w:noProof/>
          <w:lang w:val="en-GB"/>
        </w:rPr>
        <w:t xml:space="preserve"> For further details on the interaction between the initiative subject to this Impact Assessment and other EU initiatives currently under preparation, please see</w:t>
      </w:r>
      <w:r w:rsidR="00C310D8" w:rsidRPr="00C310D8">
        <w:rPr>
          <w:noProof/>
          <w:lang w:val="en-IE"/>
        </w:rPr>
        <w:t xml:space="preserve"> </w:t>
      </w:r>
      <w:hyperlink w:anchor="_Annex_7:_Overview" w:history="1">
        <w:r w:rsidR="00C310D8" w:rsidRPr="00C310D8">
          <w:rPr>
            <w:rStyle w:val="Hyperlink"/>
            <w:noProof/>
            <w:lang w:val="en-IE"/>
          </w:rPr>
          <w:t>Annex 7</w:t>
        </w:r>
      </w:hyperlink>
      <w:r w:rsidR="00AA4B36">
        <w:rPr>
          <w:noProof/>
          <w:lang w:val="en-GB"/>
        </w:rPr>
        <w:t>.</w:t>
      </w:r>
    </w:p>
    <w:p w:rsidR="006D51CD" w:rsidRPr="009B5734" w:rsidRDefault="006D51CD">
      <w:pPr>
        <w:pStyle w:val="Default"/>
        <w:spacing w:before="120" w:after="120"/>
        <w:ind w:left="0" w:firstLine="0"/>
        <w:rPr>
          <w:rFonts w:eastAsia="Calibri"/>
          <w:noProof/>
          <w:lang w:val="en-GB"/>
        </w:rPr>
      </w:pPr>
      <w:r w:rsidRPr="009B5734">
        <w:rPr>
          <w:rFonts w:eastAsia="Calibri"/>
          <w:noProof/>
          <w:lang w:val="en-GB"/>
        </w:rPr>
        <w:t>In addition, as regards food products, th</w:t>
      </w:r>
      <w:r w:rsidR="000E02BD" w:rsidRPr="009B5734">
        <w:rPr>
          <w:rFonts w:eastAsia="Calibri"/>
          <w:noProof/>
          <w:lang w:val="en-GB"/>
        </w:rPr>
        <w:t xml:space="preserve">is consumer law </w:t>
      </w:r>
      <w:r w:rsidR="009B5734" w:rsidRPr="009B5734">
        <w:rPr>
          <w:rFonts w:eastAsia="Calibri"/>
          <w:noProof/>
          <w:lang w:val="en-GB"/>
        </w:rPr>
        <w:t>initiative</w:t>
      </w:r>
      <w:r w:rsidR="00C11279">
        <w:rPr>
          <w:rFonts w:eastAsia="Calibri"/>
          <w:noProof/>
          <w:lang w:val="en-GB"/>
        </w:rPr>
        <w:t xml:space="preserve"> </w:t>
      </w:r>
      <w:r w:rsidR="009B5734" w:rsidRPr="009B5734">
        <w:rPr>
          <w:rFonts w:eastAsia="Calibri"/>
          <w:noProof/>
          <w:lang w:val="en-GB"/>
        </w:rPr>
        <w:t>is</w:t>
      </w:r>
      <w:r w:rsidRPr="009B5734">
        <w:rPr>
          <w:rFonts w:eastAsia="Calibri"/>
          <w:noProof/>
          <w:lang w:val="en-GB"/>
        </w:rPr>
        <w:t xml:space="preserve"> completed by actions announced in the </w:t>
      </w:r>
      <w:r w:rsidRPr="005D24D2">
        <w:rPr>
          <w:rFonts w:eastAsia="Calibri"/>
          <w:b/>
          <w:bCs/>
          <w:noProof/>
          <w:lang w:val="en-GB"/>
        </w:rPr>
        <w:t>Farm to Fork Strategy</w:t>
      </w:r>
      <w:r w:rsidRPr="009B5734">
        <w:rPr>
          <w:noProof/>
          <w:vertAlign w:val="superscript"/>
          <w:lang w:val="en-GB"/>
        </w:rPr>
        <w:footnoteReference w:id="27"/>
      </w:r>
      <w:r w:rsidRPr="009B5734">
        <w:rPr>
          <w:rFonts w:eastAsia="Calibri"/>
          <w:noProof/>
          <w:lang w:val="en-GB"/>
        </w:rPr>
        <w:t xml:space="preserve">. In particular, the Commission announced that it will make a legislative proposal for a sustainable food system and will examine ways to create a sustainable food labelling framework </w:t>
      </w:r>
      <w:r w:rsidRPr="009B5734">
        <w:rPr>
          <w:noProof/>
          <w:lang w:val="en-GB"/>
        </w:rPr>
        <w:t xml:space="preserve">that covers, </w:t>
      </w:r>
      <w:r w:rsidRPr="005D24D2">
        <w:rPr>
          <w:noProof/>
          <w:lang w:val="en-GB"/>
        </w:rPr>
        <w:t>in synergy with other relevant initiatives,</w:t>
      </w:r>
      <w:r w:rsidRPr="009B5734">
        <w:rPr>
          <w:noProof/>
          <w:lang w:val="en-GB"/>
        </w:rPr>
        <w:t xml:space="preserve"> the nutritional, climate, environmental and social aspects of food products. As </w:t>
      </w:r>
      <w:r w:rsidRPr="005D24D2">
        <w:rPr>
          <w:i/>
          <w:iCs/>
          <w:noProof/>
          <w:lang w:val="en-GB"/>
        </w:rPr>
        <w:t xml:space="preserve">lex specialis, </w:t>
      </w:r>
      <w:r w:rsidRPr="009B5734">
        <w:rPr>
          <w:noProof/>
          <w:lang w:val="en-GB"/>
        </w:rPr>
        <w:t xml:space="preserve">such a labelling framework would thus further specify the rules set out under general consumer law (and therefore those flowing from this initiative). </w:t>
      </w:r>
      <w:r w:rsidRPr="009B5734">
        <w:rPr>
          <w:rFonts w:eastAsia="Calibri"/>
          <w:noProof/>
          <w:lang w:val="en-GB"/>
        </w:rPr>
        <w:t xml:space="preserve">Additional regulatory and non-regulatory initiatives will also be developed to address specific groups of goods and services, such as ICT, electronics, textile, packaging or telecommunications, again, under the </w:t>
      </w:r>
      <w:r w:rsidRPr="005D24D2">
        <w:rPr>
          <w:rFonts w:eastAsia="Calibri"/>
          <w:i/>
          <w:iCs/>
          <w:noProof/>
          <w:lang w:val="en-GB"/>
        </w:rPr>
        <w:t>lex specialis</w:t>
      </w:r>
      <w:r w:rsidRPr="009B5734">
        <w:rPr>
          <w:rFonts w:eastAsia="Calibri"/>
          <w:noProof/>
          <w:lang w:val="en-GB"/>
        </w:rPr>
        <w:t xml:space="preserve"> logic. </w:t>
      </w:r>
    </w:p>
    <w:p w:rsidR="00A43E95" w:rsidRPr="00111BFE" w:rsidRDefault="00F140D4" w:rsidP="00111BFE">
      <w:pPr>
        <w:pStyle w:val="Default"/>
        <w:spacing w:before="120" w:after="120"/>
        <w:ind w:left="0" w:firstLine="0"/>
        <w:rPr>
          <w:rStyle w:val="CommentReference"/>
          <w:rFonts w:eastAsiaTheme="minorEastAsia"/>
          <w:noProof/>
          <w:color w:val="auto"/>
          <w:sz w:val="24"/>
          <w:szCs w:val="24"/>
          <w:lang w:val="en-GB"/>
        </w:rPr>
      </w:pPr>
      <w:r w:rsidRPr="009B5734">
        <w:rPr>
          <w:noProof/>
          <w:lang w:val="en-GB"/>
        </w:rPr>
        <w:t>Finally</w:t>
      </w:r>
      <w:r w:rsidR="00EF35D7" w:rsidRPr="009B5734">
        <w:rPr>
          <w:noProof/>
          <w:lang w:val="en-GB"/>
        </w:rPr>
        <w:t>,</w:t>
      </w:r>
      <w:r w:rsidRPr="009B5734">
        <w:rPr>
          <w:noProof/>
          <w:lang w:val="en-GB"/>
        </w:rPr>
        <w:t xml:space="preserve"> th</w:t>
      </w:r>
      <w:r w:rsidR="000E02BD" w:rsidRPr="009B5734">
        <w:rPr>
          <w:noProof/>
          <w:lang w:val="en-GB"/>
        </w:rPr>
        <w:t xml:space="preserve">is initiative </w:t>
      </w:r>
      <w:r w:rsidR="00EF35D7" w:rsidRPr="009B5734">
        <w:rPr>
          <w:noProof/>
          <w:lang w:val="en-GB"/>
        </w:rPr>
        <w:t xml:space="preserve">in conjunction with other initiatives in preparation, </w:t>
      </w:r>
      <w:r w:rsidRPr="009B5734">
        <w:rPr>
          <w:noProof/>
          <w:lang w:val="en-GB"/>
        </w:rPr>
        <w:t>will</w:t>
      </w:r>
      <w:r w:rsidR="00EF35D7" w:rsidRPr="009B5734">
        <w:rPr>
          <w:noProof/>
          <w:lang w:val="en-GB"/>
        </w:rPr>
        <w:t xml:space="preserve"> also contribute to </w:t>
      </w:r>
      <w:r w:rsidR="006D0221">
        <w:rPr>
          <w:noProof/>
          <w:lang w:val="en-GB"/>
        </w:rPr>
        <w:t xml:space="preserve">the </w:t>
      </w:r>
      <w:r w:rsidR="00EF35D7" w:rsidRPr="005D24D2">
        <w:rPr>
          <w:b/>
          <w:bCs/>
          <w:noProof/>
          <w:lang w:val="en-GB"/>
        </w:rPr>
        <w:t>right to repair</w:t>
      </w:r>
      <w:r w:rsidR="001A6309" w:rsidRPr="008D65D2">
        <w:rPr>
          <w:rStyle w:val="FootnoteReference"/>
          <w:bCs/>
          <w:noProof/>
          <w:lang w:val="en-GB"/>
        </w:rPr>
        <w:footnoteReference w:id="28"/>
      </w:r>
      <w:r w:rsidR="00EF35D7" w:rsidRPr="009B5734">
        <w:rPr>
          <w:noProof/>
          <w:lang w:val="en-GB"/>
        </w:rPr>
        <w:t xml:space="preserve"> </w:t>
      </w:r>
      <w:r w:rsidR="00965DFC" w:rsidRPr="009B5734">
        <w:rPr>
          <w:noProof/>
          <w:lang w:val="en-GB"/>
        </w:rPr>
        <w:t>as announced in the New Consumer Agenda,</w:t>
      </w:r>
      <w:r w:rsidR="00EF35D7" w:rsidRPr="009B5734">
        <w:rPr>
          <w:noProof/>
          <w:lang w:val="en-GB"/>
        </w:rPr>
        <w:t xml:space="preserve"> by giving consumers certain </w:t>
      </w:r>
      <w:r w:rsidR="00427BB9" w:rsidRPr="009B5734">
        <w:rPr>
          <w:noProof/>
          <w:lang w:val="en-GB"/>
        </w:rPr>
        <w:t>horizontal</w:t>
      </w:r>
      <w:r w:rsidR="00EF35D7" w:rsidRPr="009B5734">
        <w:rPr>
          <w:noProof/>
          <w:lang w:val="en-GB"/>
        </w:rPr>
        <w:t xml:space="preserve"> rights regarding access to information</w:t>
      </w:r>
      <w:r w:rsidR="004235BE" w:rsidRPr="009B5734">
        <w:rPr>
          <w:noProof/>
          <w:lang w:val="en-GB"/>
        </w:rPr>
        <w:t xml:space="preserve"> on reparability</w:t>
      </w:r>
      <w:r w:rsidR="00702D16" w:rsidRPr="009B5734">
        <w:rPr>
          <w:noProof/>
          <w:lang w:val="en-GB"/>
        </w:rPr>
        <w:t xml:space="preserve"> or by better protecting consumers against early obsolescence practices (including a lack of reparability)</w:t>
      </w:r>
      <w:r w:rsidR="00825900" w:rsidRPr="009B5734">
        <w:rPr>
          <w:noProof/>
          <w:lang w:val="en-GB"/>
        </w:rPr>
        <w:t>.</w:t>
      </w:r>
    </w:p>
    <w:p w:rsidR="00CD1CC7" w:rsidRPr="009B5734" w:rsidRDefault="002252FC" w:rsidP="00A43E95">
      <w:pPr>
        <w:pStyle w:val="Default"/>
        <w:spacing w:before="120" w:after="120"/>
        <w:ind w:left="0" w:firstLine="0"/>
        <w:rPr>
          <w:rFonts w:eastAsia="Calibri"/>
          <w:b/>
          <w:noProof/>
          <w:lang w:val="en-GB" w:eastAsia="en-US"/>
        </w:rPr>
      </w:pPr>
      <w:r w:rsidRPr="009B5734">
        <w:rPr>
          <w:rFonts w:eastAsia="Calibri"/>
          <w:b/>
          <w:noProof/>
          <w:lang w:val="en-GB" w:eastAsia="en-US"/>
        </w:rPr>
        <w:t>Results of previous evaluation</w:t>
      </w:r>
      <w:r w:rsidR="00CB7696" w:rsidRPr="009B5734">
        <w:rPr>
          <w:rFonts w:eastAsia="Calibri"/>
          <w:b/>
          <w:noProof/>
          <w:lang w:val="en-GB" w:eastAsia="en-US"/>
        </w:rPr>
        <w:t>s</w:t>
      </w:r>
    </w:p>
    <w:p w:rsidR="00CB7696" w:rsidRPr="00014EB8" w:rsidRDefault="002252FC" w:rsidP="00A43E95">
      <w:pPr>
        <w:pStyle w:val="Default"/>
        <w:spacing w:before="120" w:after="120"/>
        <w:ind w:left="0" w:firstLine="0"/>
        <w:rPr>
          <w:noProof/>
          <w:lang w:val="en-GB"/>
        </w:rPr>
      </w:pPr>
      <w:r w:rsidRPr="009B5734">
        <w:rPr>
          <w:noProof/>
          <w:lang w:val="en-GB"/>
        </w:rPr>
        <w:t>In 2017, the EU Consumer and Marketing Law and the Consumer Rights Directive underw</w:t>
      </w:r>
      <w:r w:rsidR="00CB7696" w:rsidRPr="009B5734">
        <w:rPr>
          <w:noProof/>
          <w:lang w:val="en-GB"/>
        </w:rPr>
        <w:t>ent a Fitness Check and evaluation, respectively</w:t>
      </w:r>
      <w:r w:rsidRPr="009B5734">
        <w:rPr>
          <w:noProof/>
          <w:lang w:val="en-GB"/>
        </w:rPr>
        <w:t>.</w:t>
      </w:r>
      <w:r w:rsidR="00210969" w:rsidRPr="009B5734">
        <w:rPr>
          <w:rStyle w:val="FootnoteReference"/>
          <w:noProof/>
          <w:lang w:val="en-GB"/>
        </w:rPr>
        <w:footnoteReference w:id="29"/>
      </w:r>
      <w:r w:rsidRPr="009B5734">
        <w:rPr>
          <w:noProof/>
          <w:lang w:val="en-GB"/>
        </w:rPr>
        <w:t xml:space="preserve"> The </w:t>
      </w:r>
      <w:r w:rsidRPr="00014EB8">
        <w:rPr>
          <w:noProof/>
          <w:lang w:val="en-GB"/>
        </w:rPr>
        <w:t xml:space="preserve">findings from this exercise pointed primarily to the need to improve awareness, enforcement of the rules and redress opportunities to make the best of the existing legislation and highlighted a limited </w:t>
      </w:r>
      <w:r w:rsidR="00A17FF9" w:rsidRPr="00014EB8">
        <w:rPr>
          <w:noProof/>
          <w:lang w:val="en-GB"/>
        </w:rPr>
        <w:t>range of</w:t>
      </w:r>
      <w:r w:rsidRPr="00014EB8">
        <w:rPr>
          <w:noProof/>
          <w:lang w:val="en-GB"/>
        </w:rPr>
        <w:t xml:space="preserve"> necessary changes </w:t>
      </w:r>
      <w:r w:rsidR="00A17FF9" w:rsidRPr="00014EB8">
        <w:rPr>
          <w:noProof/>
          <w:lang w:val="en-GB"/>
        </w:rPr>
        <w:t>due to</w:t>
      </w:r>
      <w:r w:rsidRPr="00014EB8">
        <w:rPr>
          <w:noProof/>
          <w:lang w:val="en-GB"/>
        </w:rPr>
        <w:t xml:space="preserve"> </w:t>
      </w:r>
      <w:r w:rsidR="00CB7696" w:rsidRPr="009B5734">
        <w:rPr>
          <w:noProof/>
          <w:lang w:val="en-GB"/>
        </w:rPr>
        <w:t>digitali</w:t>
      </w:r>
      <w:r w:rsidR="003139EF" w:rsidRPr="009B5734">
        <w:rPr>
          <w:noProof/>
          <w:lang w:val="en-GB"/>
        </w:rPr>
        <w:t>s</w:t>
      </w:r>
      <w:r w:rsidR="00CB7696" w:rsidRPr="009B5734">
        <w:rPr>
          <w:noProof/>
          <w:lang w:val="en-GB"/>
        </w:rPr>
        <w:t>ation</w:t>
      </w:r>
      <w:r w:rsidRPr="009B5734">
        <w:rPr>
          <w:noProof/>
          <w:lang w:val="en-GB"/>
        </w:rPr>
        <w:t>.</w:t>
      </w:r>
      <w:r w:rsidR="00CB7696" w:rsidRPr="00014EB8">
        <w:rPr>
          <w:noProof/>
          <w:lang w:val="en-GB"/>
        </w:rPr>
        <w:t xml:space="preserve"> </w:t>
      </w:r>
    </w:p>
    <w:p w:rsidR="002252FC" w:rsidRPr="00014EB8" w:rsidRDefault="00CB7696" w:rsidP="00A43E95">
      <w:pPr>
        <w:pStyle w:val="Default"/>
        <w:spacing w:before="120" w:after="120"/>
        <w:ind w:left="0" w:firstLine="0"/>
        <w:rPr>
          <w:noProof/>
          <w:lang w:val="en-GB"/>
        </w:rPr>
      </w:pPr>
      <w:r w:rsidRPr="00014EB8">
        <w:rPr>
          <w:noProof/>
          <w:lang w:val="en-GB"/>
        </w:rPr>
        <w:t xml:space="preserve">Given the focus on enforcement and </w:t>
      </w:r>
      <w:r w:rsidRPr="009B5734">
        <w:rPr>
          <w:noProof/>
          <w:lang w:val="en-GB"/>
        </w:rPr>
        <w:t>digitali</w:t>
      </w:r>
      <w:r w:rsidR="003139EF" w:rsidRPr="009B5734">
        <w:rPr>
          <w:noProof/>
          <w:lang w:val="en-GB"/>
        </w:rPr>
        <w:t>s</w:t>
      </w:r>
      <w:r w:rsidRPr="009B5734">
        <w:rPr>
          <w:noProof/>
          <w:lang w:val="en-GB"/>
        </w:rPr>
        <w:t>ation</w:t>
      </w:r>
      <w:r w:rsidRPr="00014EB8">
        <w:rPr>
          <w:noProof/>
          <w:lang w:val="en-GB"/>
        </w:rPr>
        <w:t>, there were no specific conclusions in relation to the contribution of the</w:t>
      </w:r>
      <w:r w:rsidR="003139EF" w:rsidRPr="00014EB8">
        <w:rPr>
          <w:noProof/>
          <w:lang w:val="en-GB"/>
        </w:rPr>
        <w:t xml:space="preserve"> consumer</w:t>
      </w:r>
      <w:r w:rsidRPr="00014EB8">
        <w:rPr>
          <w:noProof/>
          <w:lang w:val="en-GB"/>
        </w:rPr>
        <w:t xml:space="preserve"> </w:t>
      </w:r>
      <w:r w:rsidRPr="0080633B">
        <w:rPr>
          <w:i/>
          <w:noProof/>
          <w:lang w:val="en-GB"/>
        </w:rPr>
        <w:t>acquis</w:t>
      </w:r>
      <w:r w:rsidRPr="00014EB8">
        <w:rPr>
          <w:noProof/>
          <w:lang w:val="en-GB"/>
        </w:rPr>
        <w:t xml:space="preserve"> to sustainable consumption, an issue which </w:t>
      </w:r>
      <w:r w:rsidR="00965DFC" w:rsidRPr="00014EB8">
        <w:rPr>
          <w:noProof/>
          <w:lang w:val="en-GB"/>
        </w:rPr>
        <w:t xml:space="preserve">in fact </w:t>
      </w:r>
      <w:r w:rsidRPr="00014EB8">
        <w:rPr>
          <w:noProof/>
          <w:lang w:val="en-GB"/>
        </w:rPr>
        <w:t>gain</w:t>
      </w:r>
      <w:r w:rsidR="009B2414" w:rsidRPr="00014EB8">
        <w:rPr>
          <w:noProof/>
          <w:lang w:val="en-GB"/>
        </w:rPr>
        <w:t>ed</w:t>
      </w:r>
      <w:r w:rsidRPr="00014EB8">
        <w:rPr>
          <w:noProof/>
          <w:lang w:val="en-GB"/>
        </w:rPr>
        <w:t xml:space="preserve"> further political </w:t>
      </w:r>
      <w:r w:rsidR="00965DFC" w:rsidRPr="00014EB8">
        <w:rPr>
          <w:noProof/>
          <w:lang w:val="en-GB"/>
        </w:rPr>
        <w:t>prominence</w:t>
      </w:r>
      <w:r w:rsidRPr="00014EB8">
        <w:rPr>
          <w:noProof/>
          <w:lang w:val="en-GB"/>
        </w:rPr>
        <w:t xml:space="preserve"> a </w:t>
      </w:r>
      <w:r w:rsidR="00965DFC" w:rsidRPr="00014EB8">
        <w:rPr>
          <w:noProof/>
          <w:lang w:val="en-GB"/>
        </w:rPr>
        <w:t xml:space="preserve">number of years </w:t>
      </w:r>
      <w:r w:rsidRPr="00014EB8">
        <w:rPr>
          <w:noProof/>
          <w:lang w:val="en-GB"/>
        </w:rPr>
        <w:t xml:space="preserve">later </w:t>
      </w:r>
      <w:r w:rsidR="00965DFC" w:rsidRPr="00014EB8">
        <w:rPr>
          <w:noProof/>
          <w:lang w:val="en-GB"/>
        </w:rPr>
        <w:t xml:space="preserve">with the announcement of </w:t>
      </w:r>
      <w:r w:rsidRPr="00014EB8">
        <w:rPr>
          <w:noProof/>
          <w:lang w:val="en-GB"/>
        </w:rPr>
        <w:t xml:space="preserve">the </w:t>
      </w:r>
      <w:r w:rsidR="00965DFC" w:rsidRPr="00014EB8">
        <w:rPr>
          <w:noProof/>
          <w:lang w:val="en-GB"/>
        </w:rPr>
        <w:t>European</w:t>
      </w:r>
      <w:r w:rsidRPr="00014EB8">
        <w:rPr>
          <w:noProof/>
          <w:lang w:val="en-GB"/>
        </w:rPr>
        <w:t xml:space="preserve"> Green Deal. Nevertheless, whenever possible and relevant, this Impact Assessment draws on the findings and conclusions collected in this exercise.  </w:t>
      </w:r>
    </w:p>
    <w:p w:rsidR="00B644EA" w:rsidRPr="009B5734" w:rsidRDefault="00A00208" w:rsidP="00A00208">
      <w:pPr>
        <w:pStyle w:val="Heading1"/>
        <w:rPr>
          <w:noProof/>
        </w:rPr>
      </w:pPr>
      <w:bookmarkStart w:id="9" w:name="_Problem_definition"/>
      <w:bookmarkStart w:id="10" w:name="_Toc58148984"/>
      <w:bookmarkStart w:id="11" w:name="_Toc58604020"/>
      <w:bookmarkStart w:id="12" w:name="_Toc75440971"/>
      <w:bookmarkStart w:id="13" w:name="_Toc75446970"/>
      <w:bookmarkStart w:id="14" w:name="_Toc75448843"/>
      <w:bookmarkStart w:id="15" w:name="_Toc77844222"/>
      <w:bookmarkStart w:id="16" w:name="_Toc86391725"/>
      <w:bookmarkEnd w:id="9"/>
      <w:r w:rsidRPr="00A00208">
        <w:rPr>
          <w:rFonts w:eastAsiaTheme="majorEastAsia"/>
        </w:rPr>
        <w:t>2.</w:t>
      </w:r>
      <w:r w:rsidRPr="00A00208">
        <w:rPr>
          <w:rFonts w:eastAsiaTheme="majorEastAsia"/>
        </w:rPr>
        <w:tab/>
      </w:r>
      <w:r w:rsidR="00442220" w:rsidRPr="009B5734">
        <w:rPr>
          <w:rStyle w:val="Heading1Char1"/>
          <w:rFonts w:ascii="Times New Roman" w:hAnsi="Times New Roman" w:cs="Times New Roman"/>
          <w:noProof/>
          <w:color w:val="auto"/>
          <w:sz w:val="24"/>
          <w:szCs w:val="20"/>
        </w:rPr>
        <w:t>Problem</w:t>
      </w:r>
      <w:r w:rsidR="00442220" w:rsidRPr="009B5734">
        <w:rPr>
          <w:noProof/>
        </w:rPr>
        <w:t xml:space="preserve"> definition</w:t>
      </w:r>
      <w:bookmarkEnd w:id="10"/>
      <w:bookmarkEnd w:id="11"/>
      <w:bookmarkEnd w:id="12"/>
      <w:bookmarkEnd w:id="13"/>
      <w:bookmarkEnd w:id="14"/>
      <w:bookmarkEnd w:id="15"/>
      <w:bookmarkEnd w:id="16"/>
    </w:p>
    <w:p w:rsidR="00C418DF" w:rsidRPr="009B5734" w:rsidRDefault="00F865DE" w:rsidP="00C92F5C">
      <w:pPr>
        <w:pStyle w:val="Text1"/>
        <w:spacing w:before="120" w:after="120"/>
        <w:ind w:left="0" w:firstLine="0"/>
        <w:rPr>
          <w:noProof/>
        </w:rPr>
      </w:pPr>
      <w:r w:rsidRPr="009B5734">
        <w:rPr>
          <w:noProof/>
        </w:rPr>
        <w:t>In spite of</w:t>
      </w:r>
      <w:r w:rsidR="00442220" w:rsidRPr="009B5734">
        <w:rPr>
          <w:noProof/>
        </w:rPr>
        <w:t xml:space="preserve"> consumers’ willingness to </w:t>
      </w:r>
      <w:r w:rsidR="000D6A87" w:rsidRPr="009B5734">
        <w:rPr>
          <w:noProof/>
        </w:rPr>
        <w:t xml:space="preserve">contribute to a greener and more circular economy </w:t>
      </w:r>
      <w:r w:rsidR="00442220" w:rsidRPr="009B5734">
        <w:rPr>
          <w:noProof/>
        </w:rPr>
        <w:t>in their everyday li</w:t>
      </w:r>
      <w:r w:rsidR="00B74821" w:rsidRPr="009B5734">
        <w:rPr>
          <w:noProof/>
        </w:rPr>
        <w:t>ves</w:t>
      </w:r>
      <w:r w:rsidR="00E35E49" w:rsidRPr="009B5734">
        <w:rPr>
          <w:rStyle w:val="FootnoteReference"/>
          <w:noProof/>
        </w:rPr>
        <w:footnoteReference w:id="30"/>
      </w:r>
      <w:r w:rsidR="00442220" w:rsidRPr="009B5734">
        <w:rPr>
          <w:noProof/>
        </w:rPr>
        <w:t>, their effective and active role in th</w:t>
      </w:r>
      <w:r w:rsidR="000D6A87" w:rsidRPr="009B5734">
        <w:rPr>
          <w:noProof/>
        </w:rPr>
        <w:t>is</w:t>
      </w:r>
      <w:r w:rsidR="00442220" w:rsidRPr="009B5734">
        <w:rPr>
          <w:noProof/>
        </w:rPr>
        <w:t xml:space="preserve"> green transition is </w:t>
      </w:r>
      <w:r w:rsidR="00CB6139" w:rsidRPr="009B5734">
        <w:rPr>
          <w:noProof/>
        </w:rPr>
        <w:t xml:space="preserve">hampered </w:t>
      </w:r>
      <w:r w:rsidR="00442220" w:rsidRPr="009B5734">
        <w:rPr>
          <w:noProof/>
        </w:rPr>
        <w:t xml:space="preserve">by </w:t>
      </w:r>
      <w:r w:rsidR="00044AE1" w:rsidRPr="009B5734">
        <w:rPr>
          <w:noProof/>
        </w:rPr>
        <w:t>a</w:t>
      </w:r>
      <w:r w:rsidR="00044AE1" w:rsidRPr="009B5734">
        <w:rPr>
          <w:b/>
          <w:noProof/>
        </w:rPr>
        <w:t xml:space="preserve"> lack of </w:t>
      </w:r>
      <w:r w:rsidR="00666526" w:rsidRPr="009B5734">
        <w:rPr>
          <w:b/>
          <w:noProof/>
        </w:rPr>
        <w:t xml:space="preserve">reliable </w:t>
      </w:r>
      <w:r w:rsidR="002A7FC2" w:rsidRPr="009B5734">
        <w:rPr>
          <w:b/>
          <w:noProof/>
        </w:rPr>
        <w:t xml:space="preserve">information </w:t>
      </w:r>
      <w:r w:rsidR="003A1412">
        <w:rPr>
          <w:b/>
          <w:noProof/>
        </w:rPr>
        <w:t>at the point of sale</w:t>
      </w:r>
      <w:r w:rsidR="002A7FC2" w:rsidRPr="009B5734">
        <w:rPr>
          <w:b/>
          <w:noProof/>
        </w:rPr>
        <w:t xml:space="preserve"> to make </w:t>
      </w:r>
      <w:r w:rsidR="00044AE1" w:rsidRPr="009B5734">
        <w:rPr>
          <w:b/>
          <w:noProof/>
        </w:rPr>
        <w:t xml:space="preserve">environmentally </w:t>
      </w:r>
      <w:r w:rsidR="002A7FC2" w:rsidRPr="009B5734">
        <w:rPr>
          <w:b/>
          <w:noProof/>
        </w:rPr>
        <w:t xml:space="preserve">sustainable </w:t>
      </w:r>
      <w:r w:rsidR="0080633B">
        <w:rPr>
          <w:b/>
          <w:noProof/>
        </w:rPr>
        <w:t>consumption</w:t>
      </w:r>
      <w:r w:rsidR="002A7FC2" w:rsidRPr="009B5734">
        <w:rPr>
          <w:b/>
          <w:noProof/>
        </w:rPr>
        <w:t xml:space="preserve"> choices</w:t>
      </w:r>
      <w:r w:rsidR="002201B3" w:rsidRPr="009B5734">
        <w:rPr>
          <w:b/>
          <w:noProof/>
        </w:rPr>
        <w:t xml:space="preserve"> (Problem 1)</w:t>
      </w:r>
      <w:r w:rsidR="00C37F64" w:rsidRPr="009B5734">
        <w:rPr>
          <w:b/>
          <w:noProof/>
        </w:rPr>
        <w:t xml:space="preserve"> </w:t>
      </w:r>
      <w:r w:rsidR="00044AE1" w:rsidRPr="009B5734">
        <w:rPr>
          <w:noProof/>
        </w:rPr>
        <w:t>and by</w:t>
      </w:r>
      <w:r w:rsidR="00044AE1" w:rsidRPr="009B5734">
        <w:rPr>
          <w:b/>
          <w:noProof/>
        </w:rPr>
        <w:t xml:space="preserve"> </w:t>
      </w:r>
      <w:r w:rsidR="00295965" w:rsidRPr="009B5734">
        <w:rPr>
          <w:b/>
          <w:noProof/>
        </w:rPr>
        <w:t xml:space="preserve">misleading </w:t>
      </w:r>
      <w:r w:rsidR="0080633B">
        <w:rPr>
          <w:b/>
          <w:noProof/>
        </w:rPr>
        <w:t xml:space="preserve">commercial </w:t>
      </w:r>
      <w:r w:rsidR="002A7FC2" w:rsidRPr="009B5734">
        <w:rPr>
          <w:b/>
          <w:noProof/>
        </w:rPr>
        <w:t>practices</w:t>
      </w:r>
      <w:r w:rsidR="00666526" w:rsidRPr="009B5734">
        <w:rPr>
          <w:b/>
          <w:noProof/>
        </w:rPr>
        <w:t xml:space="preserve"> related to the sustainability of products</w:t>
      </w:r>
      <w:r w:rsidR="002201B3" w:rsidRPr="009B5734">
        <w:rPr>
          <w:b/>
          <w:noProof/>
        </w:rPr>
        <w:t xml:space="preserve"> (Problem 2)</w:t>
      </w:r>
      <w:r w:rsidR="00C41CB3" w:rsidRPr="009B5734">
        <w:rPr>
          <w:noProof/>
        </w:rPr>
        <w:t>.</w:t>
      </w:r>
      <w:r w:rsidR="002A7FC2" w:rsidRPr="009B5734">
        <w:rPr>
          <w:noProof/>
        </w:rPr>
        <w:t xml:space="preserve"> </w:t>
      </w:r>
      <w:r w:rsidR="00D70C83" w:rsidRPr="009B5734">
        <w:rPr>
          <w:noProof/>
        </w:rPr>
        <w:t xml:space="preserve">As </w:t>
      </w:r>
      <w:r w:rsidR="00592B0D" w:rsidRPr="009B5734">
        <w:rPr>
          <w:noProof/>
        </w:rPr>
        <w:t>mentioned</w:t>
      </w:r>
      <w:r w:rsidR="00D70C83" w:rsidRPr="009B5734">
        <w:rPr>
          <w:noProof/>
        </w:rPr>
        <w:t xml:space="preserve"> in </w:t>
      </w:r>
      <w:hyperlink w:anchor="_Introduction:_Political_and" w:history="1">
        <w:r w:rsidR="00D70C83" w:rsidRPr="009B5734">
          <w:rPr>
            <w:rStyle w:val="Hyperlink"/>
            <w:noProof/>
          </w:rPr>
          <w:t>S</w:t>
        </w:r>
        <w:r w:rsidR="00C7061A" w:rsidRPr="009B5734">
          <w:rPr>
            <w:rStyle w:val="Hyperlink"/>
            <w:noProof/>
          </w:rPr>
          <w:t>ection 1</w:t>
        </w:r>
      </w:hyperlink>
      <w:r w:rsidR="00065F91" w:rsidRPr="009B5734">
        <w:rPr>
          <w:noProof/>
        </w:rPr>
        <w:t xml:space="preserve"> above</w:t>
      </w:r>
      <w:r w:rsidR="00C7061A" w:rsidRPr="009B5734">
        <w:rPr>
          <w:noProof/>
        </w:rPr>
        <w:t xml:space="preserve">, this </w:t>
      </w:r>
      <w:r w:rsidR="00592B0D" w:rsidRPr="009B5734">
        <w:rPr>
          <w:noProof/>
        </w:rPr>
        <w:t xml:space="preserve">Impact Assessment will address </w:t>
      </w:r>
      <w:r w:rsidR="00C7061A" w:rsidRPr="009B5734">
        <w:rPr>
          <w:noProof/>
        </w:rPr>
        <w:t xml:space="preserve">primarily </w:t>
      </w:r>
      <w:r w:rsidR="00592B0D" w:rsidRPr="009B5734">
        <w:rPr>
          <w:noProof/>
        </w:rPr>
        <w:t>the</w:t>
      </w:r>
      <w:r w:rsidR="00065F91" w:rsidRPr="009B5734">
        <w:rPr>
          <w:noProof/>
        </w:rPr>
        <w:t xml:space="preserve"> lack of</w:t>
      </w:r>
      <w:r w:rsidR="00C7061A" w:rsidRPr="009B5734">
        <w:rPr>
          <w:noProof/>
        </w:rPr>
        <w:t xml:space="preserve"> </w:t>
      </w:r>
      <w:r w:rsidR="00666526" w:rsidRPr="009B5734">
        <w:rPr>
          <w:noProof/>
        </w:rPr>
        <w:t xml:space="preserve">reliable </w:t>
      </w:r>
      <w:r w:rsidR="00C7061A" w:rsidRPr="009B5734">
        <w:rPr>
          <w:noProof/>
        </w:rPr>
        <w:t xml:space="preserve">information </w:t>
      </w:r>
      <w:r w:rsidR="00065F91" w:rsidRPr="009B5734">
        <w:rPr>
          <w:noProof/>
        </w:rPr>
        <w:t>related to products’</w:t>
      </w:r>
      <w:r w:rsidR="00C7061A" w:rsidRPr="009B5734">
        <w:rPr>
          <w:noProof/>
        </w:rPr>
        <w:t xml:space="preserve"> durability</w:t>
      </w:r>
      <w:r w:rsidR="003F6480" w:rsidRPr="009B5734">
        <w:rPr>
          <w:noProof/>
        </w:rPr>
        <w:t xml:space="preserve"> and reparability</w:t>
      </w:r>
      <w:r w:rsidR="00065F91" w:rsidRPr="009B5734">
        <w:rPr>
          <w:noProof/>
        </w:rPr>
        <w:t xml:space="preserve">, as well as </w:t>
      </w:r>
      <w:r w:rsidR="00666526" w:rsidRPr="009B5734">
        <w:rPr>
          <w:noProof/>
        </w:rPr>
        <w:t>misleading practices related to the sustainability</w:t>
      </w:r>
      <w:r w:rsidR="00065F91" w:rsidRPr="009B5734">
        <w:rPr>
          <w:noProof/>
        </w:rPr>
        <w:t xml:space="preserve"> of products</w:t>
      </w:r>
      <w:r w:rsidR="00666526" w:rsidRPr="009B5734">
        <w:rPr>
          <w:noProof/>
        </w:rPr>
        <w:t>.</w:t>
      </w:r>
      <w:r w:rsidR="00C7061A" w:rsidRPr="009B5734">
        <w:rPr>
          <w:noProof/>
        </w:rPr>
        <w:t xml:space="preserve"> </w:t>
      </w:r>
      <w:r w:rsidR="00592B0D" w:rsidRPr="009B5734">
        <w:rPr>
          <w:noProof/>
        </w:rPr>
        <w:t xml:space="preserve">A </w:t>
      </w:r>
      <w:r w:rsidR="00313FAB" w:rsidRPr="009B5734">
        <w:rPr>
          <w:noProof/>
        </w:rPr>
        <w:t>further</w:t>
      </w:r>
      <w:r w:rsidR="00592B0D" w:rsidRPr="009B5734">
        <w:rPr>
          <w:noProof/>
        </w:rPr>
        <w:t xml:space="preserve"> justification for the selection of these particular aspects of reliable information and these particular misleading practices is provided below. </w:t>
      </w:r>
    </w:p>
    <w:p w:rsidR="00442220" w:rsidRPr="009B5734" w:rsidRDefault="00C418DF" w:rsidP="00C92F5C">
      <w:pPr>
        <w:pStyle w:val="Text1"/>
        <w:spacing w:before="120" w:after="120"/>
        <w:ind w:left="0" w:firstLine="0"/>
        <w:rPr>
          <w:noProof/>
        </w:rPr>
      </w:pPr>
      <w:r w:rsidRPr="009B5734">
        <w:rPr>
          <w:noProof/>
        </w:rPr>
        <w:t xml:space="preserve">These problems are the consequences of </w:t>
      </w:r>
      <w:r w:rsidRPr="009B5734">
        <w:rPr>
          <w:b/>
          <w:noProof/>
        </w:rPr>
        <w:t>two types of drivers</w:t>
      </w:r>
      <w:r w:rsidRPr="009B5734">
        <w:rPr>
          <w:noProof/>
        </w:rPr>
        <w:t xml:space="preserve">. On the </w:t>
      </w:r>
      <w:r w:rsidRPr="009B5734">
        <w:rPr>
          <w:b/>
          <w:noProof/>
        </w:rPr>
        <w:t>market side</w:t>
      </w:r>
      <w:r w:rsidRPr="009B5734">
        <w:rPr>
          <w:noProof/>
        </w:rPr>
        <w:t xml:space="preserve">, there is a lack of incentives to provide </w:t>
      </w:r>
      <w:r w:rsidR="00666526" w:rsidRPr="009B5734">
        <w:rPr>
          <w:noProof/>
        </w:rPr>
        <w:t xml:space="preserve">reliable </w:t>
      </w:r>
      <w:r w:rsidRPr="009B5734">
        <w:rPr>
          <w:noProof/>
        </w:rPr>
        <w:t xml:space="preserve">environmental sustainability information and </w:t>
      </w:r>
      <w:r w:rsidR="00666526" w:rsidRPr="009B5734">
        <w:rPr>
          <w:noProof/>
        </w:rPr>
        <w:t xml:space="preserve">not to engage in </w:t>
      </w:r>
      <w:r w:rsidRPr="009B5734">
        <w:rPr>
          <w:noProof/>
        </w:rPr>
        <w:t xml:space="preserve">certain practices. In addition, the </w:t>
      </w:r>
      <w:r w:rsidRPr="009B5734">
        <w:rPr>
          <w:b/>
          <w:noProof/>
        </w:rPr>
        <w:t>regulatory framework</w:t>
      </w:r>
      <w:r w:rsidRPr="009B5734">
        <w:rPr>
          <w:noProof/>
        </w:rPr>
        <w:t xml:space="preserve"> fails to specify which information consumers should be provided </w:t>
      </w:r>
      <w:r w:rsidR="00065F91" w:rsidRPr="009B5734">
        <w:rPr>
          <w:noProof/>
        </w:rPr>
        <w:t xml:space="preserve">with </w:t>
      </w:r>
      <w:r w:rsidRPr="009B5734">
        <w:rPr>
          <w:noProof/>
        </w:rPr>
        <w:t xml:space="preserve">as regards </w:t>
      </w:r>
      <w:r w:rsidR="00C7061A" w:rsidRPr="009B5734">
        <w:rPr>
          <w:noProof/>
        </w:rPr>
        <w:t>these sustainability dimensions</w:t>
      </w:r>
      <w:r w:rsidRPr="009B5734">
        <w:rPr>
          <w:noProof/>
        </w:rPr>
        <w:t xml:space="preserve"> and does not address effectively certain misleading practices running counter to the </w:t>
      </w:r>
      <w:r w:rsidR="00065F91" w:rsidRPr="009B5734">
        <w:rPr>
          <w:noProof/>
        </w:rPr>
        <w:t>aims of</w:t>
      </w:r>
      <w:r w:rsidRPr="009B5734">
        <w:rPr>
          <w:noProof/>
        </w:rPr>
        <w:t xml:space="preserve"> the green transition</w:t>
      </w:r>
      <w:r w:rsidR="003A0905" w:rsidRPr="009B5734">
        <w:rPr>
          <w:noProof/>
        </w:rPr>
        <w:t xml:space="preserve">, </w:t>
      </w:r>
      <w:r w:rsidR="00A17FF9" w:rsidRPr="009B5734">
        <w:rPr>
          <w:noProof/>
        </w:rPr>
        <w:t>making diff</w:t>
      </w:r>
      <w:r w:rsidR="008D2C27" w:rsidRPr="009B5734">
        <w:rPr>
          <w:noProof/>
        </w:rPr>
        <w:t>i</w:t>
      </w:r>
      <w:r w:rsidR="00A17FF9" w:rsidRPr="009B5734">
        <w:rPr>
          <w:noProof/>
        </w:rPr>
        <w:t xml:space="preserve">cult </w:t>
      </w:r>
      <w:r w:rsidR="003A0905" w:rsidRPr="009B5734">
        <w:rPr>
          <w:noProof/>
        </w:rPr>
        <w:t>effective enforcement</w:t>
      </w:r>
      <w:r w:rsidRPr="009B5734">
        <w:rPr>
          <w:noProof/>
        </w:rPr>
        <w:t>.</w:t>
      </w:r>
    </w:p>
    <w:p w:rsidR="00C41CB3" w:rsidRPr="009B5734" w:rsidRDefault="00C418DF" w:rsidP="00F8638E">
      <w:pPr>
        <w:pStyle w:val="Text1"/>
        <w:spacing w:before="120" w:after="120"/>
        <w:ind w:left="0" w:firstLine="0"/>
        <w:rPr>
          <w:noProof/>
        </w:rPr>
      </w:pPr>
      <w:r w:rsidRPr="009B5734">
        <w:rPr>
          <w:noProof/>
        </w:rPr>
        <w:t xml:space="preserve">In turn, Problem 1 and Problem 2 translate into </w:t>
      </w:r>
      <w:r w:rsidRPr="009B5734">
        <w:rPr>
          <w:b/>
          <w:noProof/>
        </w:rPr>
        <w:t>consequences for consumers</w:t>
      </w:r>
      <w:r w:rsidRPr="009B5734">
        <w:rPr>
          <w:noProof/>
        </w:rPr>
        <w:t xml:space="preserve"> (detriment, lack of trust), </w:t>
      </w:r>
      <w:r w:rsidRPr="009B5734">
        <w:rPr>
          <w:b/>
          <w:noProof/>
        </w:rPr>
        <w:t>businesses</w:t>
      </w:r>
      <w:r w:rsidRPr="009B5734">
        <w:rPr>
          <w:noProof/>
        </w:rPr>
        <w:t xml:space="preserve"> (uneven playing field, compliance costs) and the </w:t>
      </w:r>
      <w:r w:rsidRPr="009B5734">
        <w:rPr>
          <w:b/>
          <w:noProof/>
        </w:rPr>
        <w:t>environment</w:t>
      </w:r>
      <w:r w:rsidRPr="009B5734">
        <w:rPr>
          <w:noProof/>
        </w:rPr>
        <w:t xml:space="preserve"> (non-realised benefits that a more sustainable consumption would bring</w:t>
      </w:r>
      <w:r w:rsidR="00427742" w:rsidRPr="009B5734">
        <w:rPr>
          <w:noProof/>
        </w:rPr>
        <w:t>).</w:t>
      </w:r>
    </w:p>
    <w:p w:rsidR="00FB49DC" w:rsidRPr="009B5734" w:rsidRDefault="00427742" w:rsidP="00FB49DC">
      <w:pPr>
        <w:pStyle w:val="Text1"/>
        <w:spacing w:before="120" w:after="120"/>
        <w:ind w:left="0" w:firstLine="0"/>
        <w:rPr>
          <w:noProof/>
        </w:rPr>
      </w:pPr>
      <w:r w:rsidRPr="009B5734">
        <w:rPr>
          <w:noProof/>
        </w:rPr>
        <w:t xml:space="preserve">An overview as well as a more detailed analysis of the various </w:t>
      </w:r>
      <w:r w:rsidRPr="009B5734">
        <w:rPr>
          <w:b/>
          <w:noProof/>
        </w:rPr>
        <w:t>stakeholder</w:t>
      </w:r>
      <w:r w:rsidR="00FB49DC" w:rsidRPr="009B5734">
        <w:rPr>
          <w:b/>
          <w:noProof/>
        </w:rPr>
        <w:t xml:space="preserve"> </w:t>
      </w:r>
      <w:r w:rsidRPr="009B5734">
        <w:rPr>
          <w:b/>
          <w:noProof/>
        </w:rPr>
        <w:t>consultations</w:t>
      </w:r>
      <w:r w:rsidRPr="009B5734">
        <w:rPr>
          <w:noProof/>
        </w:rPr>
        <w:t xml:space="preserve"> conducted to measure the extent of the problems identified in this Impact Assessment can be found in </w:t>
      </w:r>
      <w:hyperlink w:anchor="_Annex_2:_Stakeholder_1" w:history="1">
        <w:r w:rsidR="003B5CC7" w:rsidRPr="009B5734">
          <w:rPr>
            <w:rStyle w:val="Hyperlink"/>
            <w:noProof/>
          </w:rPr>
          <w:t>Annex 2</w:t>
        </w:r>
      </w:hyperlink>
      <w:r w:rsidR="003B5CC7" w:rsidRPr="009B5734">
        <w:rPr>
          <w:noProof/>
        </w:rPr>
        <w:t>.</w:t>
      </w:r>
    </w:p>
    <w:p w:rsidR="00E27EEC" w:rsidRPr="009B5734" w:rsidRDefault="00E27EEC" w:rsidP="00FB49DC">
      <w:pPr>
        <w:pStyle w:val="Text1"/>
        <w:spacing w:before="120" w:after="120"/>
        <w:ind w:left="0" w:firstLine="0"/>
        <w:rPr>
          <w:noProof/>
        </w:rPr>
      </w:pPr>
    </w:p>
    <w:p w:rsidR="00442220" w:rsidRPr="009B5734" w:rsidRDefault="00A00208" w:rsidP="00A00208">
      <w:pPr>
        <w:pStyle w:val="Heading2"/>
        <w:rPr>
          <w:noProof/>
        </w:rPr>
      </w:pPr>
      <w:bookmarkStart w:id="17" w:name="_Toc53757107"/>
      <w:bookmarkStart w:id="18" w:name="_Toc53757108"/>
      <w:bookmarkStart w:id="19" w:name="_Problem_1:_Consumers"/>
      <w:bookmarkStart w:id="20" w:name="_Toc58148986"/>
      <w:bookmarkStart w:id="21" w:name="_Toc58604022"/>
      <w:bookmarkStart w:id="22" w:name="_Toc77844223"/>
      <w:bookmarkStart w:id="23" w:name="_Toc86391726"/>
      <w:bookmarkEnd w:id="17"/>
      <w:bookmarkEnd w:id="18"/>
      <w:bookmarkEnd w:id="19"/>
      <w:r w:rsidRPr="00A00208">
        <w:t>2.1.</w:t>
      </w:r>
      <w:r w:rsidRPr="00A00208">
        <w:tab/>
      </w:r>
      <w:r w:rsidR="00A26376" w:rsidRPr="009B5734">
        <w:rPr>
          <w:noProof/>
        </w:rPr>
        <w:t>P</w:t>
      </w:r>
      <w:r w:rsidR="00442220" w:rsidRPr="009B5734">
        <w:rPr>
          <w:noProof/>
        </w:rPr>
        <w:t xml:space="preserve">roblem 1: Consumers lack </w:t>
      </w:r>
      <w:r w:rsidR="002E407D" w:rsidRPr="009B5734">
        <w:rPr>
          <w:noProof/>
        </w:rPr>
        <w:t xml:space="preserve">reliable </w:t>
      </w:r>
      <w:r w:rsidR="00442220" w:rsidRPr="009B5734">
        <w:rPr>
          <w:noProof/>
        </w:rPr>
        <w:t xml:space="preserve">information </w:t>
      </w:r>
      <w:r w:rsidR="00820E45" w:rsidRPr="009B5734">
        <w:rPr>
          <w:noProof/>
        </w:rPr>
        <w:t>at the point of sale</w:t>
      </w:r>
      <w:r w:rsidR="00442220" w:rsidRPr="009B5734">
        <w:rPr>
          <w:noProof/>
        </w:rPr>
        <w:t xml:space="preserve"> to </w:t>
      </w:r>
      <w:r w:rsidR="00E427CC" w:rsidRPr="009B5734">
        <w:rPr>
          <w:noProof/>
        </w:rPr>
        <w:t xml:space="preserve">make environmentally sustainable </w:t>
      </w:r>
      <w:bookmarkEnd w:id="20"/>
      <w:bookmarkEnd w:id="21"/>
      <w:r w:rsidR="0080633B">
        <w:rPr>
          <w:noProof/>
        </w:rPr>
        <w:t>consumption choices</w:t>
      </w:r>
      <w:bookmarkEnd w:id="22"/>
      <w:bookmarkEnd w:id="23"/>
      <w:r w:rsidR="00C3582B" w:rsidRPr="009B5734">
        <w:rPr>
          <w:noProof/>
        </w:rPr>
        <w:t xml:space="preserve"> </w:t>
      </w:r>
    </w:p>
    <w:p w:rsidR="00442220" w:rsidRPr="009B5734" w:rsidRDefault="00442220" w:rsidP="00442220">
      <w:pPr>
        <w:pStyle w:val="Default"/>
        <w:spacing w:before="120" w:after="120"/>
        <w:ind w:left="0" w:firstLine="0"/>
        <w:rPr>
          <w:noProof/>
          <w:lang w:val="en-GB"/>
        </w:rPr>
      </w:pPr>
      <w:r w:rsidRPr="009B5734">
        <w:rPr>
          <w:noProof/>
          <w:lang w:val="en-GB"/>
        </w:rPr>
        <w:t xml:space="preserve">When comparing products and making purchase decisions, evidence suggests that </w:t>
      </w:r>
      <w:r w:rsidRPr="009B5734">
        <w:rPr>
          <w:b/>
          <w:noProof/>
          <w:lang w:val="en-GB"/>
        </w:rPr>
        <w:t>consumers often lack</w:t>
      </w:r>
      <w:r w:rsidR="002E407D" w:rsidRPr="009B5734">
        <w:rPr>
          <w:b/>
          <w:noProof/>
          <w:lang w:val="en-GB"/>
        </w:rPr>
        <w:t xml:space="preserve"> reliable</w:t>
      </w:r>
      <w:r w:rsidRPr="009B5734">
        <w:rPr>
          <w:b/>
          <w:noProof/>
          <w:lang w:val="en-GB"/>
        </w:rPr>
        <w:t xml:space="preserve"> information </w:t>
      </w:r>
      <w:r w:rsidR="00820E45" w:rsidRPr="009B5734">
        <w:rPr>
          <w:b/>
          <w:noProof/>
          <w:lang w:val="en-GB"/>
        </w:rPr>
        <w:t xml:space="preserve">at the point of sale </w:t>
      </w:r>
      <w:r w:rsidRPr="009B5734">
        <w:rPr>
          <w:b/>
          <w:noProof/>
          <w:lang w:val="en-GB"/>
        </w:rPr>
        <w:t>on product</w:t>
      </w:r>
      <w:r w:rsidR="00CB6139" w:rsidRPr="009B5734">
        <w:rPr>
          <w:b/>
          <w:noProof/>
          <w:lang w:val="en-GB"/>
        </w:rPr>
        <w:t>s’</w:t>
      </w:r>
      <w:r w:rsidRPr="009B5734">
        <w:rPr>
          <w:b/>
          <w:noProof/>
          <w:lang w:val="en-GB"/>
        </w:rPr>
        <w:t xml:space="preserve"> </w:t>
      </w:r>
      <w:r w:rsidR="00932442" w:rsidRPr="009B5734">
        <w:rPr>
          <w:b/>
          <w:noProof/>
          <w:lang w:val="en-GB"/>
        </w:rPr>
        <w:t xml:space="preserve">environmental </w:t>
      </w:r>
      <w:r w:rsidRPr="009B5734">
        <w:rPr>
          <w:b/>
          <w:noProof/>
          <w:lang w:val="en-GB"/>
        </w:rPr>
        <w:t>sustainability</w:t>
      </w:r>
      <w:r w:rsidR="00932442" w:rsidRPr="009B5734">
        <w:rPr>
          <w:noProof/>
          <w:lang w:val="en-GB"/>
        </w:rPr>
        <w:t xml:space="preserve">. </w:t>
      </w:r>
      <w:r w:rsidR="002E407D" w:rsidRPr="009B5734">
        <w:rPr>
          <w:noProof/>
          <w:lang w:val="en-GB"/>
        </w:rPr>
        <w:t>T</w:t>
      </w:r>
      <w:r w:rsidR="00932442" w:rsidRPr="009B5734">
        <w:rPr>
          <w:noProof/>
          <w:lang w:val="en-GB"/>
        </w:rPr>
        <w:t>his includes information about the</w:t>
      </w:r>
      <w:r w:rsidRPr="009B5734">
        <w:rPr>
          <w:noProof/>
          <w:lang w:val="en-GB"/>
        </w:rPr>
        <w:t xml:space="preserve"> environmental characteristics of products, </w:t>
      </w:r>
      <w:r w:rsidR="005845B5" w:rsidRPr="009B5734">
        <w:rPr>
          <w:noProof/>
          <w:lang w:val="en-GB"/>
        </w:rPr>
        <w:t>their durability</w:t>
      </w:r>
      <w:r w:rsidR="002529BB" w:rsidRPr="009B5734">
        <w:rPr>
          <w:noProof/>
          <w:lang w:val="en-GB"/>
        </w:rPr>
        <w:t>/</w:t>
      </w:r>
      <w:r w:rsidRPr="009B5734">
        <w:rPr>
          <w:noProof/>
          <w:lang w:val="en-GB"/>
        </w:rPr>
        <w:t>lifespan</w:t>
      </w:r>
      <w:r w:rsidR="005845B5" w:rsidRPr="009B5734">
        <w:rPr>
          <w:noProof/>
          <w:lang w:val="en-GB"/>
        </w:rPr>
        <w:t xml:space="preserve"> and their reparability</w:t>
      </w:r>
      <w:r w:rsidRPr="009B5734">
        <w:rPr>
          <w:noProof/>
          <w:lang w:val="en-GB"/>
        </w:rPr>
        <w:t>.</w:t>
      </w:r>
      <w:r w:rsidR="00932442" w:rsidRPr="009B5734">
        <w:rPr>
          <w:noProof/>
          <w:lang w:val="en-GB"/>
        </w:rPr>
        <w:t xml:space="preserve"> </w:t>
      </w:r>
      <w:r w:rsidR="00910529" w:rsidRPr="00014EB8">
        <w:rPr>
          <w:noProof/>
          <w:lang w:val="en-GB"/>
        </w:rPr>
        <w:t>Detailed evidence identifying the lack of reliable information on these particular aspects as particularly problematic is presented below.</w:t>
      </w:r>
    </w:p>
    <w:p w:rsidR="00E91AA6" w:rsidRPr="009B5734" w:rsidRDefault="00A00208" w:rsidP="00A00208">
      <w:pPr>
        <w:pStyle w:val="Heading4"/>
        <w:rPr>
          <w:noProof/>
        </w:rPr>
      </w:pPr>
      <w:bookmarkStart w:id="24" w:name="_Lack_of_information_1"/>
      <w:bookmarkStart w:id="25" w:name="_Lack_of_reliable"/>
      <w:bookmarkStart w:id="26" w:name="_Toc58148988"/>
      <w:bookmarkStart w:id="27" w:name="_Toc58222366"/>
      <w:bookmarkStart w:id="28" w:name="_Toc58603164"/>
      <w:bookmarkStart w:id="29" w:name="_Toc58604024"/>
      <w:bookmarkStart w:id="30" w:name="_Toc58605341"/>
      <w:bookmarkStart w:id="31" w:name="_Toc60733985"/>
      <w:bookmarkEnd w:id="24"/>
      <w:bookmarkEnd w:id="25"/>
      <w:r w:rsidRPr="00A00208">
        <w:t>2.1.1.</w:t>
      </w:r>
      <w:r w:rsidRPr="00A00208">
        <w:tab/>
      </w:r>
      <w:r w:rsidR="00E427CC" w:rsidRPr="009B5734">
        <w:rPr>
          <w:noProof/>
        </w:rPr>
        <w:t>Lack of</w:t>
      </w:r>
      <w:r w:rsidR="00A41E84" w:rsidRPr="009B5734">
        <w:rPr>
          <w:noProof/>
        </w:rPr>
        <w:t xml:space="preserve"> </w:t>
      </w:r>
      <w:r w:rsidR="002E407D" w:rsidRPr="009B5734">
        <w:rPr>
          <w:noProof/>
        </w:rPr>
        <w:t xml:space="preserve">reliable </w:t>
      </w:r>
      <w:r w:rsidR="00E91AA6" w:rsidRPr="009B5734">
        <w:rPr>
          <w:noProof/>
        </w:rPr>
        <w:t>information on the environmental characteristics of products</w:t>
      </w:r>
      <w:bookmarkEnd w:id="26"/>
      <w:bookmarkEnd w:id="27"/>
      <w:bookmarkEnd w:id="28"/>
      <w:bookmarkEnd w:id="29"/>
      <w:bookmarkEnd w:id="30"/>
      <w:bookmarkEnd w:id="31"/>
      <w:r w:rsidR="00D52FE2" w:rsidRPr="009B5734">
        <w:rPr>
          <w:noProof/>
        </w:rPr>
        <w:t xml:space="preserve"> (Sub-problem 1.1)</w:t>
      </w:r>
    </w:p>
    <w:p w:rsidR="00BC259A" w:rsidRPr="009B5734" w:rsidRDefault="006706C3" w:rsidP="00674D37">
      <w:pPr>
        <w:pStyle w:val="BTNumbList"/>
        <w:spacing w:after="240"/>
        <w:rPr>
          <w:rFonts w:ascii="Times New Roman" w:hAnsi="Times New Roman"/>
          <w:noProof/>
          <w:sz w:val="24"/>
        </w:rPr>
      </w:pPr>
      <w:r w:rsidRPr="009B5734">
        <w:rPr>
          <w:rFonts w:ascii="Times New Roman" w:hAnsi="Times New Roman"/>
          <w:noProof/>
          <w:sz w:val="24"/>
        </w:rPr>
        <w:t xml:space="preserve">According to the consumer survey </w:t>
      </w:r>
      <w:r w:rsidR="00820E45" w:rsidRPr="009B5734">
        <w:rPr>
          <w:rFonts w:ascii="Times New Roman" w:hAnsi="Times New Roman"/>
          <w:noProof/>
          <w:sz w:val="24"/>
        </w:rPr>
        <w:t>conducted</w:t>
      </w:r>
      <w:r w:rsidRPr="009B5734">
        <w:rPr>
          <w:rFonts w:ascii="Times New Roman" w:hAnsi="Times New Roman"/>
          <w:noProof/>
          <w:sz w:val="24"/>
        </w:rPr>
        <w:t xml:space="preserve"> for this I</w:t>
      </w:r>
      <w:r w:rsidR="00820E45" w:rsidRPr="009B5734">
        <w:rPr>
          <w:rFonts w:ascii="Times New Roman" w:hAnsi="Times New Roman"/>
          <w:noProof/>
          <w:sz w:val="24"/>
        </w:rPr>
        <w:t xml:space="preserve">mpact </w:t>
      </w:r>
      <w:r w:rsidRPr="009B5734">
        <w:rPr>
          <w:rFonts w:ascii="Times New Roman" w:hAnsi="Times New Roman"/>
          <w:noProof/>
          <w:sz w:val="24"/>
        </w:rPr>
        <w:t>A</w:t>
      </w:r>
      <w:r w:rsidR="00820E45" w:rsidRPr="009B5734">
        <w:rPr>
          <w:rFonts w:ascii="Times New Roman" w:hAnsi="Times New Roman"/>
          <w:noProof/>
          <w:sz w:val="24"/>
        </w:rPr>
        <w:t>ssessment</w:t>
      </w:r>
      <w:r w:rsidRPr="009B5734">
        <w:rPr>
          <w:rFonts w:ascii="Times New Roman" w:hAnsi="Times New Roman"/>
          <w:noProof/>
          <w:sz w:val="24"/>
        </w:rPr>
        <w:t xml:space="preserve">, </w:t>
      </w:r>
      <w:r w:rsidRPr="009B5734">
        <w:rPr>
          <w:rFonts w:ascii="Times New Roman" w:hAnsi="Times New Roman"/>
          <w:b/>
          <w:noProof/>
          <w:sz w:val="24"/>
        </w:rPr>
        <w:t>half of the respondents</w:t>
      </w:r>
      <w:r w:rsidR="00E50F59" w:rsidRPr="009B5734">
        <w:rPr>
          <w:rFonts w:ascii="Times New Roman" w:hAnsi="Times New Roman"/>
          <w:b/>
          <w:noProof/>
          <w:sz w:val="24"/>
        </w:rPr>
        <w:t xml:space="preserve"> say they look actively for information about the environmental characteristics of products</w:t>
      </w:r>
      <w:r w:rsidR="00E50F59" w:rsidRPr="009B5734">
        <w:rPr>
          <w:rFonts w:ascii="Times New Roman" w:hAnsi="Times New Roman"/>
          <w:noProof/>
          <w:sz w:val="24"/>
        </w:rPr>
        <w:t>,</w:t>
      </w:r>
      <w:r w:rsidR="00E50F59" w:rsidRPr="009B5734">
        <w:rPr>
          <w:rFonts w:ascii="Times New Roman" w:hAnsi="Times New Roman"/>
          <w:b/>
          <w:noProof/>
          <w:sz w:val="24"/>
        </w:rPr>
        <w:t xml:space="preserve"> </w:t>
      </w:r>
      <w:r w:rsidR="00E50F59" w:rsidRPr="009B5734">
        <w:rPr>
          <w:rFonts w:ascii="Times New Roman" w:hAnsi="Times New Roman"/>
          <w:noProof/>
          <w:sz w:val="24"/>
        </w:rPr>
        <w:t>such as</w:t>
      </w:r>
      <w:r w:rsidR="00E50F59" w:rsidRPr="009B5734">
        <w:rPr>
          <w:rFonts w:ascii="Times New Roman" w:hAnsi="Times New Roman"/>
          <w:b/>
          <w:noProof/>
          <w:sz w:val="24"/>
        </w:rPr>
        <w:t xml:space="preserve"> </w:t>
      </w:r>
      <w:r w:rsidR="00E50F59" w:rsidRPr="009B5734">
        <w:rPr>
          <w:rFonts w:ascii="Times New Roman" w:hAnsi="Times New Roman"/>
          <w:noProof/>
          <w:sz w:val="24"/>
        </w:rPr>
        <w:t>their environmental impacts</w:t>
      </w:r>
      <w:r w:rsidR="00BD498E" w:rsidRPr="009B5734">
        <w:rPr>
          <w:rFonts w:ascii="Times New Roman" w:hAnsi="Times New Roman"/>
          <w:noProof/>
          <w:sz w:val="24"/>
        </w:rPr>
        <w:t xml:space="preserve"> or performance</w:t>
      </w:r>
      <w:r w:rsidR="006D22EF" w:rsidRPr="009B5734">
        <w:rPr>
          <w:rFonts w:ascii="Times New Roman" w:hAnsi="Times New Roman"/>
          <w:noProof/>
          <w:sz w:val="24"/>
        </w:rPr>
        <w:t>, greenhouse gas emissions, water use etc</w:t>
      </w:r>
      <w:r w:rsidR="00E50F59" w:rsidRPr="009B5734">
        <w:rPr>
          <w:rFonts w:ascii="Times New Roman" w:hAnsi="Times New Roman"/>
          <w:noProof/>
          <w:sz w:val="24"/>
        </w:rPr>
        <w:t xml:space="preserve">. </w:t>
      </w:r>
      <w:r w:rsidR="00192CD6" w:rsidRPr="009B5734">
        <w:rPr>
          <w:rFonts w:ascii="Times New Roman" w:hAnsi="Times New Roman"/>
          <w:noProof/>
          <w:sz w:val="24"/>
        </w:rPr>
        <w:t>However</w:t>
      </w:r>
      <w:r w:rsidR="00E50F59" w:rsidRPr="009B5734">
        <w:rPr>
          <w:rFonts w:ascii="Times New Roman" w:hAnsi="Times New Roman"/>
          <w:noProof/>
          <w:sz w:val="24"/>
        </w:rPr>
        <w:t xml:space="preserve"> a</w:t>
      </w:r>
      <w:r w:rsidR="00361084" w:rsidRPr="009B5734">
        <w:rPr>
          <w:rFonts w:ascii="Times New Roman" w:hAnsi="Times New Roman"/>
          <w:noProof/>
          <w:sz w:val="24"/>
        </w:rPr>
        <w:t xml:space="preserve"> large number of </w:t>
      </w:r>
      <w:r w:rsidR="00CD479B" w:rsidRPr="009B5734">
        <w:rPr>
          <w:rFonts w:ascii="Times New Roman" w:hAnsi="Times New Roman"/>
          <w:noProof/>
          <w:sz w:val="24"/>
        </w:rPr>
        <w:t>them</w:t>
      </w:r>
      <w:r w:rsidR="00361084" w:rsidRPr="009B5734">
        <w:rPr>
          <w:rFonts w:ascii="Times New Roman" w:hAnsi="Times New Roman"/>
          <w:noProof/>
          <w:sz w:val="24"/>
        </w:rPr>
        <w:t xml:space="preserve"> find that the </w:t>
      </w:r>
      <w:r w:rsidR="00CF0134" w:rsidRPr="009B5734">
        <w:rPr>
          <w:rFonts w:ascii="Times New Roman" w:hAnsi="Times New Roman"/>
          <w:b/>
          <w:noProof/>
          <w:sz w:val="24"/>
        </w:rPr>
        <w:t>existing</w:t>
      </w:r>
      <w:r w:rsidR="00192CD6" w:rsidRPr="009B5734">
        <w:rPr>
          <w:rFonts w:ascii="Times New Roman" w:hAnsi="Times New Roman"/>
          <w:b/>
          <w:noProof/>
          <w:sz w:val="24"/>
        </w:rPr>
        <w:t xml:space="preserve"> information</w:t>
      </w:r>
      <w:r w:rsidR="00361084" w:rsidRPr="009B5734">
        <w:rPr>
          <w:rFonts w:ascii="Times New Roman" w:hAnsi="Times New Roman"/>
          <w:b/>
          <w:noProof/>
          <w:sz w:val="24"/>
        </w:rPr>
        <w:t xml:space="preserve"> is simply insufficient</w:t>
      </w:r>
      <w:r w:rsidR="00F21B67" w:rsidRPr="009B5734">
        <w:rPr>
          <w:rStyle w:val="FootnoteReference"/>
          <w:rFonts w:ascii="Times New Roman" w:hAnsi="Times New Roman"/>
          <w:noProof/>
          <w:sz w:val="24"/>
        </w:rPr>
        <w:footnoteReference w:id="31"/>
      </w:r>
      <w:r w:rsidR="00634C26" w:rsidRPr="009B5734">
        <w:rPr>
          <w:rFonts w:ascii="Times New Roman" w:hAnsi="Times New Roman"/>
          <w:noProof/>
          <w:sz w:val="24"/>
        </w:rPr>
        <w:t>.</w:t>
      </w:r>
      <w:r w:rsidR="00361084" w:rsidRPr="009B5734">
        <w:rPr>
          <w:rFonts w:ascii="Times New Roman" w:hAnsi="Times New Roman"/>
          <w:noProof/>
          <w:sz w:val="24"/>
        </w:rPr>
        <w:t xml:space="preserve"> </w:t>
      </w:r>
    </w:p>
    <w:p w:rsidR="00BC259A" w:rsidRPr="009B5734" w:rsidRDefault="00A00208" w:rsidP="00A00208">
      <w:pPr>
        <w:pStyle w:val="Heading4"/>
        <w:rPr>
          <w:noProof/>
          <w:szCs w:val="24"/>
        </w:rPr>
      </w:pPr>
      <w:bookmarkStart w:id="32" w:name="_Lack_of_information"/>
      <w:bookmarkStart w:id="33" w:name="_Toc58148989"/>
      <w:bookmarkStart w:id="34" w:name="_Toc58222367"/>
      <w:bookmarkStart w:id="35" w:name="_Toc58603165"/>
      <w:bookmarkStart w:id="36" w:name="_Toc58604025"/>
      <w:bookmarkStart w:id="37" w:name="_Toc58605342"/>
      <w:bookmarkStart w:id="38" w:name="_Toc60733986"/>
      <w:bookmarkEnd w:id="32"/>
      <w:r w:rsidRPr="00A00208">
        <w:t>2.1.2.</w:t>
      </w:r>
      <w:r w:rsidRPr="00A00208">
        <w:tab/>
      </w:r>
      <w:r w:rsidR="00BC259A" w:rsidRPr="009B5734">
        <w:rPr>
          <w:noProof/>
        </w:rPr>
        <w:t xml:space="preserve">Lack of </w:t>
      </w:r>
      <w:r w:rsidR="002E407D" w:rsidRPr="009B5734">
        <w:rPr>
          <w:noProof/>
        </w:rPr>
        <w:t xml:space="preserve">reliable </w:t>
      </w:r>
      <w:r w:rsidR="00BC259A" w:rsidRPr="009B5734">
        <w:rPr>
          <w:noProof/>
        </w:rPr>
        <w:t>information on the lifespan of goods</w:t>
      </w:r>
      <w:bookmarkEnd w:id="33"/>
      <w:bookmarkEnd w:id="34"/>
      <w:bookmarkEnd w:id="35"/>
      <w:bookmarkEnd w:id="36"/>
      <w:bookmarkEnd w:id="37"/>
      <w:bookmarkEnd w:id="38"/>
      <w:r w:rsidR="00D52FE2" w:rsidRPr="009B5734">
        <w:rPr>
          <w:noProof/>
          <w:szCs w:val="24"/>
        </w:rPr>
        <w:t xml:space="preserve"> (Sub-problem 1.2)</w:t>
      </w:r>
    </w:p>
    <w:p w:rsidR="00A821F1" w:rsidRPr="00014EB8" w:rsidRDefault="00BC259A" w:rsidP="00BC259A">
      <w:pPr>
        <w:pStyle w:val="BTNumbList"/>
        <w:rPr>
          <w:rFonts w:ascii="Times New Roman" w:hAnsi="Times New Roman"/>
          <w:noProof/>
          <w:sz w:val="24"/>
        </w:rPr>
      </w:pPr>
      <w:r w:rsidRPr="009B5734">
        <w:rPr>
          <w:rFonts w:ascii="Times New Roman" w:hAnsi="Times New Roman"/>
          <w:noProof/>
          <w:sz w:val="24"/>
        </w:rPr>
        <w:t xml:space="preserve">Evidence shows that </w:t>
      </w:r>
      <w:r w:rsidRPr="009B5734">
        <w:rPr>
          <w:rFonts w:ascii="Times New Roman" w:hAnsi="Times New Roman"/>
          <w:b/>
          <w:noProof/>
          <w:sz w:val="24"/>
        </w:rPr>
        <w:t xml:space="preserve">information on the “expected lifespan” of goods (i.e. years of life, hours of use, number of cycles etc.) is </w:t>
      </w:r>
      <w:r w:rsidR="00F01878" w:rsidRPr="009B5734">
        <w:rPr>
          <w:rFonts w:ascii="Times New Roman" w:hAnsi="Times New Roman"/>
          <w:b/>
          <w:noProof/>
          <w:sz w:val="24"/>
        </w:rPr>
        <w:t>hardly ever</w:t>
      </w:r>
      <w:r w:rsidRPr="009B5734">
        <w:rPr>
          <w:rFonts w:ascii="Times New Roman" w:hAnsi="Times New Roman"/>
          <w:b/>
          <w:noProof/>
          <w:sz w:val="24"/>
        </w:rPr>
        <w:t xml:space="preserve"> made available to consumers</w:t>
      </w:r>
      <w:r w:rsidRPr="009B5734">
        <w:rPr>
          <w:rFonts w:ascii="Times New Roman" w:hAnsi="Times New Roman"/>
          <w:noProof/>
          <w:sz w:val="24"/>
        </w:rPr>
        <w:t xml:space="preserve">. </w:t>
      </w:r>
      <w:r w:rsidR="00C35D3F" w:rsidRPr="009B5734">
        <w:rPr>
          <w:rFonts w:ascii="Times New Roman" w:hAnsi="Times New Roman"/>
          <w:noProof/>
          <w:sz w:val="24"/>
        </w:rPr>
        <w:t xml:space="preserve">For instance, </w:t>
      </w:r>
      <w:r w:rsidRPr="009B5734">
        <w:rPr>
          <w:rFonts w:ascii="Times New Roman" w:hAnsi="Times New Roman"/>
          <w:noProof/>
          <w:sz w:val="24"/>
        </w:rPr>
        <w:t xml:space="preserve">the mystery shopping exercise </w:t>
      </w:r>
      <w:r w:rsidR="00C35D3F" w:rsidRPr="009B5734">
        <w:rPr>
          <w:rFonts w:ascii="Times New Roman" w:hAnsi="Times New Roman"/>
          <w:noProof/>
          <w:sz w:val="24"/>
        </w:rPr>
        <w:t>carried</w:t>
      </w:r>
      <w:r w:rsidR="00C93048" w:rsidRPr="009B5734">
        <w:rPr>
          <w:rFonts w:ascii="Times New Roman" w:hAnsi="Times New Roman"/>
          <w:noProof/>
          <w:sz w:val="24"/>
        </w:rPr>
        <w:t xml:space="preserve"> out</w:t>
      </w:r>
      <w:r w:rsidR="00C35D3F" w:rsidRPr="009B5734">
        <w:rPr>
          <w:rFonts w:ascii="Times New Roman" w:hAnsi="Times New Roman"/>
          <w:noProof/>
          <w:sz w:val="24"/>
        </w:rPr>
        <w:t xml:space="preserve"> as part of the Study supporting this I</w:t>
      </w:r>
      <w:r w:rsidR="00820E45" w:rsidRPr="009B5734">
        <w:rPr>
          <w:rFonts w:ascii="Times New Roman" w:hAnsi="Times New Roman"/>
          <w:noProof/>
          <w:sz w:val="24"/>
        </w:rPr>
        <w:t xml:space="preserve">mpact </w:t>
      </w:r>
      <w:r w:rsidR="00C35D3F" w:rsidRPr="009B5734">
        <w:rPr>
          <w:rFonts w:ascii="Times New Roman" w:hAnsi="Times New Roman"/>
          <w:noProof/>
          <w:sz w:val="24"/>
        </w:rPr>
        <w:t>A</w:t>
      </w:r>
      <w:r w:rsidR="00820E45" w:rsidRPr="009B5734">
        <w:rPr>
          <w:rFonts w:ascii="Times New Roman" w:hAnsi="Times New Roman"/>
          <w:noProof/>
          <w:sz w:val="24"/>
        </w:rPr>
        <w:t>ssessment</w:t>
      </w:r>
      <w:r w:rsidR="00C35D3F" w:rsidRPr="009B5734">
        <w:rPr>
          <w:rFonts w:ascii="Times New Roman" w:hAnsi="Times New Roman"/>
          <w:noProof/>
          <w:sz w:val="24"/>
        </w:rPr>
        <w:t xml:space="preserve"> </w:t>
      </w:r>
      <w:r w:rsidRPr="009B5734">
        <w:rPr>
          <w:rFonts w:ascii="Times New Roman" w:hAnsi="Times New Roman"/>
          <w:noProof/>
          <w:sz w:val="24"/>
        </w:rPr>
        <w:t>showed that in more than 95 %</w:t>
      </w:r>
      <w:r w:rsidR="00C93048" w:rsidRPr="009B5734">
        <w:rPr>
          <w:rFonts w:ascii="Times New Roman" w:hAnsi="Times New Roman"/>
          <w:noProof/>
          <w:sz w:val="24"/>
        </w:rPr>
        <w:t xml:space="preserve"> of</w:t>
      </w:r>
      <w:r w:rsidRPr="009B5734">
        <w:rPr>
          <w:rFonts w:ascii="Times New Roman" w:hAnsi="Times New Roman"/>
          <w:noProof/>
          <w:sz w:val="24"/>
        </w:rPr>
        <w:t xml:space="preserve"> cases, information relating to the</w:t>
      </w:r>
      <w:r w:rsidR="006D22EF" w:rsidRPr="009B5734">
        <w:rPr>
          <w:rFonts w:ascii="Times New Roman" w:hAnsi="Times New Roman"/>
          <w:noProof/>
          <w:sz w:val="24"/>
        </w:rPr>
        <w:t xml:space="preserve"> goods’ </w:t>
      </w:r>
      <w:r w:rsidRPr="009B5734">
        <w:rPr>
          <w:rFonts w:ascii="Times New Roman" w:hAnsi="Times New Roman"/>
          <w:noProof/>
          <w:sz w:val="24"/>
        </w:rPr>
        <w:t xml:space="preserve">expected lifespan was not available. </w:t>
      </w:r>
      <w:r w:rsidR="00C35D3F" w:rsidRPr="009B5734">
        <w:rPr>
          <w:rFonts w:ascii="Times New Roman" w:hAnsi="Times New Roman"/>
          <w:noProof/>
          <w:sz w:val="24"/>
        </w:rPr>
        <w:t>This is confirmed by observations from consumers</w:t>
      </w:r>
      <w:r w:rsidR="00FB677D" w:rsidRPr="009B5734">
        <w:rPr>
          <w:rFonts w:ascii="Times New Roman" w:hAnsi="Times New Roman"/>
          <w:noProof/>
          <w:sz w:val="24"/>
        </w:rPr>
        <w:t xml:space="preserve"> and</w:t>
      </w:r>
      <w:r w:rsidR="00C55B30" w:rsidRPr="009B5734">
        <w:rPr>
          <w:rFonts w:ascii="Times New Roman" w:hAnsi="Times New Roman"/>
          <w:noProof/>
          <w:sz w:val="24"/>
        </w:rPr>
        <w:t xml:space="preserve"> </w:t>
      </w:r>
      <w:r w:rsidR="00C35D3F" w:rsidRPr="009B5734">
        <w:rPr>
          <w:rFonts w:ascii="Times New Roman" w:hAnsi="Times New Roman"/>
          <w:noProof/>
          <w:sz w:val="24"/>
        </w:rPr>
        <w:t>stakeholders</w:t>
      </w:r>
      <w:r w:rsidR="00FB677D" w:rsidRPr="009B5734">
        <w:rPr>
          <w:rFonts w:ascii="Times New Roman" w:hAnsi="Times New Roman"/>
          <w:noProof/>
          <w:sz w:val="24"/>
        </w:rPr>
        <w:t>,</w:t>
      </w:r>
      <w:r w:rsidR="00C55B30" w:rsidRPr="009B5734">
        <w:rPr>
          <w:rFonts w:ascii="Times New Roman" w:hAnsi="Times New Roman"/>
          <w:noProof/>
          <w:sz w:val="24"/>
        </w:rPr>
        <w:t xml:space="preserve"> </w:t>
      </w:r>
      <w:r w:rsidR="001C3449" w:rsidRPr="009B5734">
        <w:rPr>
          <w:rFonts w:ascii="Times New Roman" w:hAnsi="Times New Roman"/>
          <w:noProof/>
          <w:sz w:val="24"/>
        </w:rPr>
        <w:t>including</w:t>
      </w:r>
      <w:r w:rsidR="00C55B30" w:rsidRPr="009B5734">
        <w:rPr>
          <w:rFonts w:ascii="Times New Roman" w:hAnsi="Times New Roman"/>
          <w:noProof/>
          <w:sz w:val="24"/>
        </w:rPr>
        <w:t xml:space="preserve"> manufacturers and retailers</w:t>
      </w:r>
      <w:r w:rsidR="00FB677D" w:rsidRPr="009B5734">
        <w:rPr>
          <w:rFonts w:ascii="Times New Roman" w:hAnsi="Times New Roman"/>
          <w:noProof/>
          <w:sz w:val="24"/>
        </w:rPr>
        <w:t>,</w:t>
      </w:r>
      <w:r w:rsidR="00C55B30" w:rsidRPr="009B5734">
        <w:rPr>
          <w:rFonts w:ascii="Times New Roman" w:hAnsi="Times New Roman"/>
          <w:noProof/>
          <w:sz w:val="24"/>
        </w:rPr>
        <w:t xml:space="preserve"> surveyed for this I</w:t>
      </w:r>
      <w:r w:rsidR="00820E45" w:rsidRPr="009B5734">
        <w:rPr>
          <w:rFonts w:ascii="Times New Roman" w:hAnsi="Times New Roman"/>
          <w:noProof/>
          <w:sz w:val="24"/>
        </w:rPr>
        <w:t xml:space="preserve">mpact </w:t>
      </w:r>
      <w:r w:rsidR="00C55B30" w:rsidRPr="009B5734">
        <w:rPr>
          <w:rFonts w:ascii="Times New Roman" w:hAnsi="Times New Roman"/>
          <w:noProof/>
          <w:sz w:val="24"/>
        </w:rPr>
        <w:t>A</w:t>
      </w:r>
      <w:r w:rsidR="00820E45" w:rsidRPr="009B5734">
        <w:rPr>
          <w:rFonts w:ascii="Times New Roman" w:hAnsi="Times New Roman"/>
          <w:noProof/>
          <w:sz w:val="24"/>
        </w:rPr>
        <w:t>ssessment</w:t>
      </w:r>
      <w:r w:rsidR="00C55B30" w:rsidRPr="009B5734">
        <w:rPr>
          <w:rStyle w:val="FootnoteReference"/>
          <w:rFonts w:ascii="Times New Roman" w:hAnsi="Times New Roman"/>
          <w:noProof/>
          <w:sz w:val="24"/>
        </w:rPr>
        <w:footnoteReference w:id="32"/>
      </w:r>
      <w:r w:rsidR="00C55B30" w:rsidRPr="009B5734">
        <w:rPr>
          <w:rFonts w:ascii="Times New Roman" w:hAnsi="Times New Roman"/>
          <w:noProof/>
          <w:sz w:val="24"/>
        </w:rPr>
        <w:t xml:space="preserve">. </w:t>
      </w:r>
    </w:p>
    <w:p w:rsidR="00093E31" w:rsidRPr="009B5734" w:rsidRDefault="00BC259A" w:rsidP="00BC259A">
      <w:pPr>
        <w:pStyle w:val="BTNumbList"/>
        <w:rPr>
          <w:rFonts w:ascii="Times New Roman" w:hAnsi="Times New Roman"/>
          <w:noProof/>
          <w:sz w:val="24"/>
        </w:rPr>
      </w:pPr>
      <w:r w:rsidRPr="7F52AB9A">
        <w:rPr>
          <w:rFonts w:ascii="Times New Roman" w:hAnsi="Times New Roman"/>
          <w:noProof/>
          <w:sz w:val="24"/>
        </w:rPr>
        <w:t xml:space="preserve">Information about </w:t>
      </w:r>
      <w:r w:rsidRPr="7F52AB9A">
        <w:rPr>
          <w:rFonts w:ascii="Times New Roman" w:hAnsi="Times New Roman"/>
          <w:b/>
          <w:bCs/>
          <w:noProof/>
          <w:sz w:val="24"/>
        </w:rPr>
        <w:t xml:space="preserve">the “guaranteed lifespan” is </w:t>
      </w:r>
      <w:r w:rsidR="00C042AA" w:rsidRPr="7F52AB9A">
        <w:rPr>
          <w:rFonts w:ascii="Times New Roman" w:hAnsi="Times New Roman"/>
          <w:b/>
          <w:bCs/>
          <w:noProof/>
          <w:sz w:val="24"/>
        </w:rPr>
        <w:t xml:space="preserve">naturally </w:t>
      </w:r>
      <w:r w:rsidRPr="7F52AB9A">
        <w:rPr>
          <w:rFonts w:ascii="Times New Roman" w:hAnsi="Times New Roman"/>
          <w:b/>
          <w:bCs/>
          <w:noProof/>
          <w:sz w:val="24"/>
        </w:rPr>
        <w:t>only available when a commercial guarantee is offered by the trader</w:t>
      </w:r>
      <w:r w:rsidRPr="7F52AB9A">
        <w:rPr>
          <w:rFonts w:ascii="Times New Roman" w:hAnsi="Times New Roman"/>
          <w:noProof/>
          <w:sz w:val="24"/>
        </w:rPr>
        <w:t xml:space="preserve"> (corresponding to the number of years covered by the commercial guarantee). </w:t>
      </w:r>
      <w:r w:rsidR="00AF256D" w:rsidRPr="7F52AB9A">
        <w:rPr>
          <w:rFonts w:ascii="Times New Roman" w:hAnsi="Times New Roman"/>
          <w:noProof/>
          <w:sz w:val="24"/>
        </w:rPr>
        <w:t>Moreover, research</w:t>
      </w:r>
      <w:r w:rsidRPr="7F52AB9A">
        <w:rPr>
          <w:rFonts w:ascii="Times New Roman" w:hAnsi="Times New Roman"/>
          <w:noProof/>
          <w:sz w:val="24"/>
        </w:rPr>
        <w:t xml:space="preserve"> shows that </w:t>
      </w:r>
      <w:r w:rsidR="00F01878" w:rsidRPr="7F52AB9A">
        <w:rPr>
          <w:rFonts w:ascii="Times New Roman" w:hAnsi="Times New Roman"/>
          <w:noProof/>
          <w:sz w:val="24"/>
        </w:rPr>
        <w:t xml:space="preserve">while </w:t>
      </w:r>
      <w:r w:rsidRPr="7F52AB9A">
        <w:rPr>
          <w:rFonts w:ascii="Times New Roman" w:hAnsi="Times New Roman"/>
          <w:noProof/>
          <w:sz w:val="24"/>
        </w:rPr>
        <w:t>consumer products are regularly offered with a commercial guarantee</w:t>
      </w:r>
      <w:r w:rsidR="00A26376" w:rsidRPr="7F52AB9A">
        <w:rPr>
          <w:rFonts w:ascii="Times New Roman" w:hAnsi="Times New Roman"/>
          <w:noProof/>
          <w:sz w:val="24"/>
        </w:rPr>
        <w:t xml:space="preserve"> (in 66% of the mystery shops at least one commercial guarantee was offered, 38% of which were included in the price of the product)</w:t>
      </w:r>
      <w:r w:rsidRPr="7F52AB9A">
        <w:rPr>
          <w:rFonts w:ascii="Times New Roman" w:hAnsi="Times New Roman"/>
          <w:noProof/>
          <w:sz w:val="24"/>
        </w:rPr>
        <w:t>,</w:t>
      </w:r>
      <w:r w:rsidR="00A26376" w:rsidRPr="7F52AB9A">
        <w:rPr>
          <w:rFonts w:ascii="Times New Roman" w:hAnsi="Times New Roman"/>
          <w:noProof/>
          <w:sz w:val="24"/>
        </w:rPr>
        <w:t xml:space="preserve"> </w:t>
      </w:r>
      <w:r w:rsidRPr="7F52AB9A">
        <w:rPr>
          <w:rFonts w:ascii="Times New Roman" w:hAnsi="Times New Roman"/>
          <w:noProof/>
          <w:sz w:val="24"/>
        </w:rPr>
        <w:t xml:space="preserve">the </w:t>
      </w:r>
      <w:r w:rsidRPr="7F52AB9A">
        <w:rPr>
          <w:rFonts w:ascii="Times New Roman" w:hAnsi="Times New Roman"/>
          <w:b/>
          <w:bCs/>
          <w:noProof/>
          <w:sz w:val="24"/>
        </w:rPr>
        <w:t xml:space="preserve">information on </w:t>
      </w:r>
      <w:r w:rsidR="00B7409F" w:rsidRPr="7F52AB9A">
        <w:rPr>
          <w:rFonts w:ascii="Times New Roman" w:hAnsi="Times New Roman"/>
          <w:b/>
          <w:bCs/>
          <w:noProof/>
          <w:sz w:val="24"/>
        </w:rPr>
        <w:t xml:space="preserve">such </w:t>
      </w:r>
      <w:r w:rsidRPr="7F52AB9A">
        <w:rPr>
          <w:rFonts w:ascii="Times New Roman" w:hAnsi="Times New Roman"/>
          <w:b/>
          <w:bCs/>
          <w:noProof/>
          <w:sz w:val="24"/>
        </w:rPr>
        <w:t>commercial guarantees</w:t>
      </w:r>
      <w:r w:rsidR="00EC5C46" w:rsidRPr="7F52AB9A">
        <w:rPr>
          <w:rFonts w:ascii="Times New Roman" w:hAnsi="Times New Roman"/>
          <w:b/>
          <w:bCs/>
          <w:noProof/>
          <w:sz w:val="24"/>
        </w:rPr>
        <w:t xml:space="preserve">, </w:t>
      </w:r>
      <w:r w:rsidR="00EC5C46" w:rsidRPr="7F52AB9A">
        <w:rPr>
          <w:rFonts w:ascii="Times New Roman" w:hAnsi="Times New Roman"/>
          <w:noProof/>
          <w:sz w:val="24"/>
        </w:rPr>
        <w:t>and the way</w:t>
      </w:r>
      <w:r w:rsidR="00DA0FB2" w:rsidRPr="7F52AB9A">
        <w:rPr>
          <w:rFonts w:ascii="Times New Roman" w:hAnsi="Times New Roman"/>
          <w:noProof/>
          <w:sz w:val="24"/>
        </w:rPr>
        <w:t xml:space="preserve"> </w:t>
      </w:r>
      <w:r w:rsidR="00FB677D" w:rsidRPr="7F52AB9A">
        <w:rPr>
          <w:rFonts w:ascii="Times New Roman" w:hAnsi="Times New Roman"/>
          <w:noProof/>
          <w:sz w:val="24"/>
        </w:rPr>
        <w:t xml:space="preserve">that </w:t>
      </w:r>
      <w:r w:rsidR="00EC5C46" w:rsidRPr="7F52AB9A">
        <w:rPr>
          <w:rFonts w:ascii="Times New Roman" w:hAnsi="Times New Roman"/>
          <w:noProof/>
          <w:sz w:val="24"/>
        </w:rPr>
        <w:t>consumers are being charged,</w:t>
      </w:r>
      <w:r w:rsidR="00EC5C46" w:rsidRPr="7F52AB9A">
        <w:rPr>
          <w:rFonts w:ascii="Times New Roman" w:hAnsi="Times New Roman"/>
          <w:b/>
          <w:bCs/>
          <w:noProof/>
          <w:sz w:val="24"/>
        </w:rPr>
        <w:t xml:space="preserve"> </w:t>
      </w:r>
      <w:r w:rsidRPr="7F52AB9A">
        <w:rPr>
          <w:rFonts w:ascii="Times New Roman" w:hAnsi="Times New Roman"/>
          <w:b/>
          <w:bCs/>
          <w:noProof/>
          <w:sz w:val="24"/>
        </w:rPr>
        <w:t>is often unclear, imprecise or incomplete</w:t>
      </w:r>
      <w:r w:rsidR="006706C3" w:rsidRPr="7F52AB9A">
        <w:rPr>
          <w:rFonts w:ascii="Times New Roman" w:hAnsi="Times New Roman"/>
          <w:b/>
          <w:bCs/>
          <w:noProof/>
          <w:sz w:val="24"/>
        </w:rPr>
        <w:t xml:space="preserve"> making it difficult for consumers to</w:t>
      </w:r>
      <w:r w:rsidR="0078755D" w:rsidRPr="7F52AB9A">
        <w:rPr>
          <w:rFonts w:ascii="Times New Roman" w:hAnsi="Times New Roman"/>
          <w:b/>
          <w:bCs/>
          <w:noProof/>
          <w:sz w:val="24"/>
        </w:rPr>
        <w:t xml:space="preserve"> compare between products and to</w:t>
      </w:r>
      <w:r w:rsidR="006706C3" w:rsidRPr="7F52AB9A">
        <w:rPr>
          <w:rFonts w:ascii="Times New Roman" w:hAnsi="Times New Roman"/>
          <w:b/>
          <w:bCs/>
          <w:noProof/>
          <w:sz w:val="24"/>
        </w:rPr>
        <w:t xml:space="preserve"> distinguish </w:t>
      </w:r>
      <w:r w:rsidR="00FB677D" w:rsidRPr="7F52AB9A">
        <w:rPr>
          <w:rFonts w:ascii="Times New Roman" w:hAnsi="Times New Roman"/>
          <w:b/>
          <w:bCs/>
          <w:noProof/>
          <w:sz w:val="24"/>
        </w:rPr>
        <w:t>this commercial guarantee</w:t>
      </w:r>
      <w:r w:rsidR="006706C3" w:rsidRPr="7F52AB9A">
        <w:rPr>
          <w:rFonts w:ascii="Times New Roman" w:hAnsi="Times New Roman"/>
          <w:b/>
          <w:bCs/>
          <w:noProof/>
          <w:sz w:val="24"/>
        </w:rPr>
        <w:t xml:space="preserve"> from the (compulsory) legal guarantee</w:t>
      </w:r>
      <w:r w:rsidRPr="7F52AB9A">
        <w:rPr>
          <w:rFonts w:ascii="Times New Roman" w:hAnsi="Times New Roman"/>
          <w:noProof/>
          <w:sz w:val="24"/>
        </w:rPr>
        <w:t>.</w:t>
      </w:r>
      <w:r w:rsidR="00516DAC" w:rsidRPr="7F52AB9A">
        <w:rPr>
          <w:rStyle w:val="FootnoteReference"/>
          <w:rFonts w:ascii="Times New Roman" w:hAnsi="Times New Roman"/>
          <w:noProof/>
          <w:sz w:val="24"/>
        </w:rPr>
        <w:t xml:space="preserve"> </w:t>
      </w:r>
      <w:r w:rsidR="00516DAC" w:rsidRPr="7F52AB9A">
        <w:rPr>
          <w:rStyle w:val="FootnoteReference"/>
          <w:rFonts w:ascii="Times New Roman" w:hAnsi="Times New Roman"/>
          <w:noProof/>
          <w:sz w:val="24"/>
        </w:rPr>
        <w:footnoteReference w:id="33"/>
      </w:r>
    </w:p>
    <w:p w:rsidR="003D42C7" w:rsidRPr="009B5734" w:rsidRDefault="00AF256D" w:rsidP="00674D37">
      <w:pPr>
        <w:pStyle w:val="BTNumbList"/>
        <w:spacing w:after="240"/>
        <w:rPr>
          <w:rFonts w:ascii="Times New Roman" w:hAnsi="Times New Roman"/>
          <w:noProof/>
          <w:sz w:val="24"/>
        </w:rPr>
      </w:pPr>
      <w:r w:rsidRPr="009B5734">
        <w:rPr>
          <w:rFonts w:ascii="Times New Roman" w:hAnsi="Times New Roman"/>
          <w:noProof/>
          <w:sz w:val="24"/>
        </w:rPr>
        <w:t>A</w:t>
      </w:r>
      <w:r w:rsidR="00FB677D" w:rsidRPr="009B5734">
        <w:rPr>
          <w:rFonts w:ascii="Times New Roman" w:hAnsi="Times New Roman"/>
          <w:noProof/>
          <w:sz w:val="24"/>
        </w:rPr>
        <w:t xml:space="preserve">s regards information </w:t>
      </w:r>
      <w:r w:rsidRPr="009B5734">
        <w:rPr>
          <w:rFonts w:ascii="Times New Roman" w:hAnsi="Times New Roman"/>
          <w:noProof/>
          <w:sz w:val="24"/>
        </w:rPr>
        <w:t xml:space="preserve">on </w:t>
      </w:r>
      <w:r w:rsidR="00FB677D" w:rsidRPr="009B5734">
        <w:rPr>
          <w:rFonts w:ascii="Times New Roman" w:hAnsi="Times New Roman"/>
          <w:noProof/>
          <w:sz w:val="24"/>
        </w:rPr>
        <w:t xml:space="preserve">the availability of </w:t>
      </w:r>
      <w:r w:rsidR="00FB677D" w:rsidRPr="009B5734">
        <w:rPr>
          <w:rFonts w:ascii="Times New Roman" w:hAnsi="Times New Roman"/>
          <w:b/>
          <w:noProof/>
          <w:sz w:val="24"/>
        </w:rPr>
        <w:t>software updates</w:t>
      </w:r>
      <w:r w:rsidR="00FB677D" w:rsidRPr="009B5734">
        <w:rPr>
          <w:rFonts w:ascii="Times New Roman" w:hAnsi="Times New Roman"/>
          <w:noProof/>
          <w:sz w:val="24"/>
        </w:rPr>
        <w:t xml:space="preserve">, the mystery shopping exercise carried out </w:t>
      </w:r>
      <w:r w:rsidRPr="009B5734">
        <w:rPr>
          <w:rFonts w:ascii="Times New Roman" w:hAnsi="Times New Roman"/>
          <w:noProof/>
          <w:sz w:val="24"/>
        </w:rPr>
        <w:t>for</w:t>
      </w:r>
      <w:r w:rsidR="00FB677D" w:rsidRPr="009B5734">
        <w:rPr>
          <w:rFonts w:ascii="Times New Roman" w:hAnsi="Times New Roman"/>
          <w:noProof/>
          <w:sz w:val="24"/>
        </w:rPr>
        <w:t xml:space="preserve"> this Impact Assessment </w:t>
      </w:r>
      <w:r w:rsidRPr="009B5734">
        <w:rPr>
          <w:rFonts w:ascii="Times New Roman" w:hAnsi="Times New Roman"/>
          <w:noProof/>
          <w:sz w:val="24"/>
        </w:rPr>
        <w:t xml:space="preserve">showed that in </w:t>
      </w:r>
      <w:r w:rsidR="00FB677D" w:rsidRPr="009B5734">
        <w:rPr>
          <w:rFonts w:ascii="Times New Roman" w:hAnsi="Times New Roman"/>
          <w:noProof/>
          <w:sz w:val="24"/>
        </w:rPr>
        <w:t xml:space="preserve">only 1.25% of </w:t>
      </w:r>
      <w:r w:rsidRPr="009B5734">
        <w:rPr>
          <w:rFonts w:ascii="Times New Roman" w:hAnsi="Times New Roman"/>
          <w:noProof/>
          <w:sz w:val="24"/>
        </w:rPr>
        <w:t>cases the product</w:t>
      </w:r>
      <w:r w:rsidR="00FB677D" w:rsidRPr="009B5734">
        <w:rPr>
          <w:rFonts w:ascii="Times New Roman" w:hAnsi="Times New Roman"/>
          <w:noProof/>
          <w:sz w:val="24"/>
        </w:rPr>
        <w:t xml:space="preserve"> contained an indication that software updates and/or upgrades were ensured and in only one case information about the period of the commitment of the software updates </w:t>
      </w:r>
      <w:r w:rsidR="00A83CA8" w:rsidRPr="009B5734">
        <w:rPr>
          <w:rFonts w:ascii="Times New Roman" w:hAnsi="Times New Roman"/>
          <w:noProof/>
          <w:sz w:val="24"/>
        </w:rPr>
        <w:t xml:space="preserve">was provided </w:t>
      </w:r>
      <w:r w:rsidR="00FB677D" w:rsidRPr="009B5734">
        <w:rPr>
          <w:rFonts w:ascii="Times New Roman" w:hAnsi="Times New Roman"/>
          <w:noProof/>
          <w:sz w:val="24"/>
        </w:rPr>
        <w:t>given (i.e. 12 months).</w:t>
      </w:r>
      <w:r w:rsidR="002E407D" w:rsidRPr="009B5734">
        <w:rPr>
          <w:rFonts w:ascii="Times New Roman" w:hAnsi="Times New Roman"/>
          <w:noProof/>
          <w:sz w:val="24"/>
        </w:rPr>
        <w:t xml:space="preserve"> Under the Sale of Goods Directive</w:t>
      </w:r>
      <w:r w:rsidR="00A83CA8" w:rsidRPr="009B5734">
        <w:rPr>
          <w:rStyle w:val="FootnoteReference"/>
          <w:rFonts w:ascii="Times New Roman" w:hAnsi="Times New Roman"/>
          <w:noProof/>
          <w:sz w:val="24"/>
        </w:rPr>
        <w:footnoteReference w:id="34"/>
      </w:r>
      <w:r w:rsidR="002E407D" w:rsidRPr="009B5734">
        <w:rPr>
          <w:rFonts w:ascii="Times New Roman" w:hAnsi="Times New Roman"/>
          <w:noProof/>
          <w:sz w:val="24"/>
        </w:rPr>
        <w:t xml:space="preserve">, applicable as </w:t>
      </w:r>
      <w:r w:rsidR="00D278D8" w:rsidRPr="009B5734">
        <w:rPr>
          <w:rFonts w:ascii="Times New Roman" w:hAnsi="Times New Roman"/>
          <w:noProof/>
          <w:sz w:val="24"/>
        </w:rPr>
        <w:t>of</w:t>
      </w:r>
      <w:r w:rsidR="002E407D" w:rsidRPr="009B5734">
        <w:rPr>
          <w:rFonts w:ascii="Times New Roman" w:hAnsi="Times New Roman"/>
          <w:noProof/>
          <w:sz w:val="24"/>
        </w:rPr>
        <w:t xml:space="preserve"> 2022, a seller will have to supply the consumer</w:t>
      </w:r>
      <w:r w:rsidR="00797DF6" w:rsidRPr="009B5734">
        <w:rPr>
          <w:rFonts w:ascii="Times New Roman" w:hAnsi="Times New Roman"/>
          <w:noProof/>
          <w:sz w:val="24"/>
        </w:rPr>
        <w:t xml:space="preserve"> </w:t>
      </w:r>
      <w:r w:rsidR="002E407D" w:rsidRPr="009B5734">
        <w:rPr>
          <w:rFonts w:ascii="Times New Roman" w:hAnsi="Times New Roman"/>
          <w:noProof/>
          <w:sz w:val="24"/>
        </w:rPr>
        <w:t>with software updates for a period of time which the consumer might reasonably expect</w:t>
      </w:r>
      <w:r w:rsidR="00B150E7" w:rsidRPr="009B5734">
        <w:rPr>
          <w:rFonts w:ascii="Times New Roman" w:hAnsi="Times New Roman"/>
          <w:noProof/>
          <w:sz w:val="24"/>
        </w:rPr>
        <w:t xml:space="preserve"> so as to ensure that the product remains in conformity</w:t>
      </w:r>
      <w:r w:rsidR="00357783" w:rsidRPr="009B5734">
        <w:rPr>
          <w:rStyle w:val="FootnoteReference"/>
          <w:rFonts w:ascii="Times New Roman" w:hAnsi="Times New Roman"/>
          <w:noProof/>
          <w:sz w:val="24"/>
        </w:rPr>
        <w:footnoteReference w:id="35"/>
      </w:r>
      <w:r w:rsidR="002E407D" w:rsidRPr="009B5734">
        <w:rPr>
          <w:rFonts w:ascii="Times New Roman" w:hAnsi="Times New Roman"/>
          <w:noProof/>
          <w:sz w:val="24"/>
        </w:rPr>
        <w:t>.</w:t>
      </w:r>
      <w:r w:rsidR="006325B6" w:rsidRPr="009B5734">
        <w:rPr>
          <w:rFonts w:ascii="Times New Roman" w:hAnsi="Times New Roman"/>
          <w:noProof/>
          <w:sz w:val="24"/>
        </w:rPr>
        <w:t xml:space="preserve"> Nevertheless, the provision of information</w:t>
      </w:r>
      <w:r w:rsidR="00B150E7" w:rsidRPr="009B5734">
        <w:rPr>
          <w:rFonts w:ascii="Times New Roman" w:hAnsi="Times New Roman"/>
          <w:noProof/>
          <w:sz w:val="24"/>
        </w:rPr>
        <w:t xml:space="preserve"> at the point of sale</w:t>
      </w:r>
      <w:r w:rsidR="006325B6" w:rsidRPr="009B5734">
        <w:rPr>
          <w:rFonts w:ascii="Times New Roman" w:hAnsi="Times New Roman"/>
          <w:noProof/>
          <w:sz w:val="24"/>
        </w:rPr>
        <w:t xml:space="preserve"> on the length of time during which a particular seller decides to provide software updates will not be required.</w:t>
      </w:r>
      <w:r w:rsidR="00357783" w:rsidRPr="009B5734">
        <w:rPr>
          <w:rFonts w:ascii="Times New Roman" w:hAnsi="Times New Roman"/>
          <w:noProof/>
          <w:sz w:val="24"/>
        </w:rPr>
        <w:t xml:space="preserve"> </w:t>
      </w:r>
    </w:p>
    <w:p w:rsidR="00C27E1D" w:rsidRPr="009B5734" w:rsidRDefault="00A00208" w:rsidP="00A00208">
      <w:pPr>
        <w:pStyle w:val="Heading4"/>
        <w:rPr>
          <w:noProof/>
        </w:rPr>
      </w:pPr>
      <w:bookmarkStart w:id="39" w:name="_Toc58148990"/>
      <w:bookmarkStart w:id="40" w:name="_Toc58222368"/>
      <w:bookmarkStart w:id="41" w:name="_Toc58603166"/>
      <w:bookmarkStart w:id="42" w:name="_Toc58604026"/>
      <w:bookmarkStart w:id="43" w:name="_Toc58605343"/>
      <w:bookmarkStart w:id="44" w:name="_Toc60733987"/>
      <w:r w:rsidRPr="00A00208">
        <w:t>2.1.3.</w:t>
      </w:r>
      <w:r w:rsidRPr="00A00208">
        <w:tab/>
      </w:r>
      <w:r w:rsidR="00C27E1D" w:rsidRPr="009B5734">
        <w:rPr>
          <w:noProof/>
        </w:rPr>
        <w:t xml:space="preserve">Lack of </w:t>
      </w:r>
      <w:r w:rsidR="00357783" w:rsidRPr="009B5734">
        <w:rPr>
          <w:noProof/>
        </w:rPr>
        <w:t xml:space="preserve">reliable </w:t>
      </w:r>
      <w:r w:rsidR="00C27E1D" w:rsidRPr="009B5734">
        <w:rPr>
          <w:noProof/>
        </w:rPr>
        <w:t xml:space="preserve">information </w:t>
      </w:r>
      <w:bookmarkEnd w:id="39"/>
      <w:bookmarkEnd w:id="40"/>
      <w:bookmarkEnd w:id="41"/>
      <w:bookmarkEnd w:id="42"/>
      <w:bookmarkEnd w:id="43"/>
      <w:bookmarkEnd w:id="44"/>
      <w:r w:rsidR="006000B9" w:rsidRPr="009B5734">
        <w:rPr>
          <w:noProof/>
        </w:rPr>
        <w:t>about products’ reparability</w:t>
      </w:r>
      <w:r w:rsidR="00D52FE2" w:rsidRPr="009B5734">
        <w:rPr>
          <w:noProof/>
        </w:rPr>
        <w:t xml:space="preserve"> (Sub-problem 1.3)</w:t>
      </w:r>
    </w:p>
    <w:p w:rsidR="00C27E1D" w:rsidRPr="009B5734" w:rsidRDefault="005619E5" w:rsidP="00CA2C0E">
      <w:pPr>
        <w:pStyle w:val="BTNumbList"/>
        <w:spacing w:before="120" w:after="120"/>
        <w:rPr>
          <w:rFonts w:ascii="Times New Roman" w:hAnsi="Times New Roman"/>
          <w:noProof/>
          <w:sz w:val="24"/>
        </w:rPr>
      </w:pPr>
      <w:r w:rsidRPr="7F52AB9A">
        <w:rPr>
          <w:rFonts w:ascii="Times New Roman" w:hAnsi="Times New Roman"/>
          <w:b/>
          <w:bCs/>
          <w:noProof/>
          <w:sz w:val="24"/>
        </w:rPr>
        <w:t>I</w:t>
      </w:r>
      <w:r w:rsidR="00C27E1D" w:rsidRPr="7F52AB9A">
        <w:rPr>
          <w:rFonts w:ascii="Times New Roman" w:hAnsi="Times New Roman"/>
          <w:b/>
          <w:bCs/>
          <w:noProof/>
          <w:sz w:val="24"/>
        </w:rPr>
        <w:t>nformation on</w:t>
      </w:r>
      <w:r w:rsidR="006000B9" w:rsidRPr="7F52AB9A">
        <w:rPr>
          <w:rFonts w:ascii="Times New Roman" w:hAnsi="Times New Roman"/>
          <w:b/>
          <w:bCs/>
          <w:noProof/>
          <w:sz w:val="24"/>
        </w:rPr>
        <w:t xml:space="preserve"> products’ reparability, such as</w:t>
      </w:r>
      <w:r w:rsidR="00A33657" w:rsidRPr="7F52AB9A">
        <w:rPr>
          <w:rFonts w:ascii="Times New Roman" w:hAnsi="Times New Roman"/>
          <w:b/>
          <w:bCs/>
          <w:noProof/>
          <w:sz w:val="24"/>
        </w:rPr>
        <w:t xml:space="preserve"> reparability scoring,</w:t>
      </w:r>
      <w:r w:rsidR="00A83CA8" w:rsidRPr="7F52AB9A">
        <w:rPr>
          <w:rFonts w:ascii="Times New Roman" w:hAnsi="Times New Roman"/>
          <w:b/>
          <w:bCs/>
          <w:noProof/>
          <w:sz w:val="24"/>
        </w:rPr>
        <w:t xml:space="preserve"> on</w:t>
      </w:r>
      <w:r w:rsidR="00C27E1D" w:rsidRPr="7F52AB9A">
        <w:rPr>
          <w:rFonts w:ascii="Times New Roman" w:hAnsi="Times New Roman"/>
          <w:noProof/>
          <w:sz w:val="24"/>
        </w:rPr>
        <w:t xml:space="preserve"> </w:t>
      </w:r>
      <w:r w:rsidR="00C27E1D" w:rsidRPr="7F52AB9A">
        <w:rPr>
          <w:rFonts w:ascii="Times New Roman" w:hAnsi="Times New Roman"/>
          <w:b/>
          <w:bCs/>
          <w:noProof/>
          <w:sz w:val="24"/>
        </w:rPr>
        <w:t xml:space="preserve">the availability of repair services, spare parts </w:t>
      </w:r>
      <w:r w:rsidR="00A83CA8" w:rsidRPr="7F52AB9A">
        <w:rPr>
          <w:rFonts w:ascii="Times New Roman" w:hAnsi="Times New Roman"/>
          <w:b/>
          <w:bCs/>
          <w:noProof/>
          <w:sz w:val="24"/>
        </w:rPr>
        <w:t xml:space="preserve">or </w:t>
      </w:r>
      <w:r w:rsidR="00C27E1D" w:rsidRPr="7F52AB9A">
        <w:rPr>
          <w:rFonts w:ascii="Times New Roman" w:hAnsi="Times New Roman"/>
          <w:b/>
          <w:bCs/>
          <w:noProof/>
          <w:sz w:val="24"/>
        </w:rPr>
        <w:t>repair manuals of goods</w:t>
      </w:r>
      <w:r w:rsidR="006000B9" w:rsidRPr="7F52AB9A">
        <w:rPr>
          <w:rFonts w:ascii="Times New Roman" w:hAnsi="Times New Roman"/>
          <w:b/>
          <w:bCs/>
          <w:noProof/>
          <w:sz w:val="24"/>
        </w:rPr>
        <w:t>,</w:t>
      </w:r>
      <w:r w:rsidR="00C27E1D" w:rsidRPr="7F52AB9A">
        <w:rPr>
          <w:rFonts w:ascii="Times New Roman" w:hAnsi="Times New Roman"/>
          <w:b/>
          <w:bCs/>
          <w:noProof/>
          <w:sz w:val="24"/>
        </w:rPr>
        <w:t xml:space="preserve"> is not widely available to consumers</w:t>
      </w:r>
      <w:r w:rsidR="00C82604" w:rsidRPr="7F52AB9A">
        <w:rPr>
          <w:rFonts w:ascii="Times New Roman" w:hAnsi="Times New Roman"/>
          <w:b/>
          <w:bCs/>
          <w:noProof/>
          <w:sz w:val="24"/>
        </w:rPr>
        <w:t xml:space="preserve"> at the point of sale</w:t>
      </w:r>
      <w:r w:rsidR="00BE2452" w:rsidRPr="7F52AB9A">
        <w:rPr>
          <w:rStyle w:val="FootnoteReference"/>
          <w:rFonts w:ascii="Times New Roman" w:hAnsi="Times New Roman"/>
          <w:noProof/>
          <w:sz w:val="24"/>
        </w:rPr>
        <w:footnoteReference w:id="36"/>
      </w:r>
      <w:r w:rsidR="00C27E1D" w:rsidRPr="7F52AB9A">
        <w:rPr>
          <w:rFonts w:ascii="Times New Roman" w:hAnsi="Times New Roman"/>
          <w:noProof/>
          <w:sz w:val="24"/>
        </w:rPr>
        <w:t>. For example, over 80% of the respondents pointed</w:t>
      </w:r>
      <w:r w:rsidR="00A0448D" w:rsidRPr="7F52AB9A">
        <w:rPr>
          <w:rFonts w:ascii="Times New Roman" w:hAnsi="Times New Roman"/>
          <w:noProof/>
          <w:sz w:val="24"/>
        </w:rPr>
        <w:t xml:space="preserve"> out</w:t>
      </w:r>
      <w:r w:rsidR="00C27E1D" w:rsidRPr="7F52AB9A">
        <w:rPr>
          <w:rFonts w:ascii="Times New Roman" w:hAnsi="Times New Roman"/>
          <w:noProof/>
          <w:sz w:val="24"/>
        </w:rPr>
        <w:t xml:space="preserve"> that it is difficult to find information on how easy it is to repair a product</w:t>
      </w:r>
      <w:r w:rsidRPr="7F52AB9A">
        <w:rPr>
          <w:rStyle w:val="FootnoteReference"/>
          <w:rFonts w:ascii="Times New Roman" w:hAnsi="Times New Roman"/>
          <w:noProof/>
          <w:sz w:val="24"/>
        </w:rPr>
        <w:footnoteReference w:id="37"/>
      </w:r>
      <w:r w:rsidR="00C27E1D" w:rsidRPr="7F52AB9A">
        <w:rPr>
          <w:rFonts w:ascii="Times New Roman" w:hAnsi="Times New Roman"/>
          <w:noProof/>
          <w:sz w:val="24"/>
        </w:rPr>
        <w:t xml:space="preserve">. This is also corroborated by the results of the mystery shopping exercise carried out in the context of this </w:t>
      </w:r>
      <w:r w:rsidR="00A0448D" w:rsidRPr="7F52AB9A">
        <w:rPr>
          <w:rFonts w:ascii="Times New Roman" w:hAnsi="Times New Roman"/>
          <w:noProof/>
          <w:sz w:val="24"/>
        </w:rPr>
        <w:t>I</w:t>
      </w:r>
      <w:r w:rsidR="00C27E1D" w:rsidRPr="7F52AB9A">
        <w:rPr>
          <w:rFonts w:ascii="Times New Roman" w:hAnsi="Times New Roman"/>
          <w:noProof/>
          <w:sz w:val="24"/>
        </w:rPr>
        <w:t xml:space="preserve">mpact </w:t>
      </w:r>
      <w:r w:rsidR="00A0448D" w:rsidRPr="7F52AB9A">
        <w:rPr>
          <w:rFonts w:ascii="Times New Roman" w:hAnsi="Times New Roman"/>
          <w:noProof/>
          <w:sz w:val="24"/>
        </w:rPr>
        <w:t>A</w:t>
      </w:r>
      <w:r w:rsidR="00C27E1D" w:rsidRPr="7F52AB9A">
        <w:rPr>
          <w:rFonts w:ascii="Times New Roman" w:hAnsi="Times New Roman"/>
          <w:noProof/>
          <w:sz w:val="24"/>
        </w:rPr>
        <w:t>ssessment</w:t>
      </w:r>
      <w:r w:rsidR="00C82604" w:rsidRPr="7F52AB9A">
        <w:rPr>
          <w:rFonts w:ascii="Times New Roman" w:hAnsi="Times New Roman"/>
          <w:noProof/>
          <w:sz w:val="24"/>
        </w:rPr>
        <w:t>: information about reparability aspects such as availability of spare parts in general, period of time of availability of spare parts or certified repair services was available</w:t>
      </w:r>
      <w:r w:rsidR="00FB677D" w:rsidRPr="7F52AB9A">
        <w:rPr>
          <w:rFonts w:ascii="Times New Roman" w:hAnsi="Times New Roman"/>
          <w:noProof/>
          <w:sz w:val="24"/>
        </w:rPr>
        <w:t xml:space="preserve"> only in 19% of cases</w:t>
      </w:r>
      <w:r w:rsidR="00C82604" w:rsidRPr="7F52AB9A">
        <w:rPr>
          <w:rFonts w:ascii="Times New Roman" w:hAnsi="Times New Roman"/>
          <w:noProof/>
          <w:sz w:val="24"/>
        </w:rPr>
        <w:t>.</w:t>
      </w:r>
      <w:r w:rsidR="00D278D8" w:rsidRPr="7F52AB9A">
        <w:rPr>
          <w:rFonts w:ascii="Times New Roman" w:hAnsi="Times New Roman"/>
          <w:noProof/>
          <w:sz w:val="24"/>
        </w:rPr>
        <w:t xml:space="preserve"> </w:t>
      </w:r>
      <w:r w:rsidR="00984B12" w:rsidRPr="7F52AB9A">
        <w:rPr>
          <w:rFonts w:ascii="Times New Roman" w:hAnsi="Times New Roman"/>
          <w:noProof/>
          <w:sz w:val="24"/>
        </w:rPr>
        <w:t>Contrary to this, representatives from the industry and businesses surveyed for this I</w:t>
      </w:r>
      <w:r w:rsidR="00DB54E8" w:rsidRPr="7F52AB9A">
        <w:rPr>
          <w:rFonts w:ascii="Times New Roman" w:hAnsi="Times New Roman"/>
          <w:noProof/>
          <w:sz w:val="24"/>
        </w:rPr>
        <w:t xml:space="preserve">mpact </w:t>
      </w:r>
      <w:r w:rsidR="00984B12" w:rsidRPr="7F52AB9A">
        <w:rPr>
          <w:rFonts w:ascii="Times New Roman" w:hAnsi="Times New Roman"/>
          <w:noProof/>
          <w:sz w:val="24"/>
        </w:rPr>
        <w:t>A</w:t>
      </w:r>
      <w:r w:rsidR="00DB54E8" w:rsidRPr="7F52AB9A">
        <w:rPr>
          <w:rFonts w:ascii="Times New Roman" w:hAnsi="Times New Roman"/>
          <w:noProof/>
          <w:sz w:val="24"/>
        </w:rPr>
        <w:t>ssessment</w:t>
      </w:r>
      <w:r w:rsidR="00984B12" w:rsidRPr="7F52AB9A">
        <w:rPr>
          <w:rFonts w:ascii="Times New Roman" w:hAnsi="Times New Roman"/>
          <w:noProof/>
          <w:sz w:val="24"/>
        </w:rPr>
        <w:t xml:space="preserve"> mostly indicated that</w:t>
      </w:r>
      <w:r w:rsidR="009F0057" w:rsidRPr="7F52AB9A">
        <w:rPr>
          <w:rFonts w:ascii="Times New Roman" w:hAnsi="Times New Roman"/>
          <w:noProof/>
          <w:sz w:val="24"/>
        </w:rPr>
        <w:t xml:space="preserve"> they believed</w:t>
      </w:r>
      <w:r w:rsidR="00984B12" w:rsidRPr="7F52AB9A">
        <w:rPr>
          <w:rFonts w:ascii="Times New Roman" w:hAnsi="Times New Roman"/>
          <w:noProof/>
          <w:sz w:val="24"/>
        </w:rPr>
        <w:t xml:space="preserve"> information on reparability is widely available</w:t>
      </w:r>
      <w:r w:rsidR="009F0057" w:rsidRPr="7F52AB9A">
        <w:rPr>
          <w:rStyle w:val="FootnoteReference"/>
          <w:rFonts w:ascii="Times New Roman" w:hAnsi="Times New Roman"/>
          <w:noProof/>
          <w:sz w:val="24"/>
        </w:rPr>
        <w:footnoteReference w:id="38"/>
      </w:r>
      <w:r w:rsidR="00984B12" w:rsidRPr="7F52AB9A">
        <w:rPr>
          <w:rFonts w:ascii="Times New Roman" w:hAnsi="Times New Roman"/>
          <w:noProof/>
          <w:sz w:val="24"/>
        </w:rPr>
        <w:t xml:space="preserve">.  </w:t>
      </w:r>
    </w:p>
    <w:p w:rsidR="00073C02" w:rsidRPr="009B5734" w:rsidRDefault="00073C02" w:rsidP="00485433">
      <w:pPr>
        <w:pStyle w:val="Default"/>
        <w:spacing w:before="120" w:after="120"/>
        <w:ind w:left="0" w:firstLine="0"/>
        <w:rPr>
          <w:noProof/>
          <w:lang w:val="en-GB"/>
        </w:rPr>
      </w:pPr>
      <w:bookmarkStart w:id="45" w:name="_Toc58148991"/>
      <w:bookmarkStart w:id="46" w:name="_Toc58222369"/>
      <w:bookmarkStart w:id="47" w:name="_Consequences"/>
      <w:bookmarkEnd w:id="45"/>
      <w:bookmarkEnd w:id="46"/>
      <w:bookmarkEnd w:id="47"/>
    </w:p>
    <w:p w:rsidR="00442220" w:rsidRPr="009B5734" w:rsidRDefault="00A00208" w:rsidP="00A00208">
      <w:pPr>
        <w:pStyle w:val="Heading2"/>
        <w:rPr>
          <w:noProof/>
        </w:rPr>
      </w:pPr>
      <w:bookmarkStart w:id="48" w:name="_Toc58148996"/>
      <w:bookmarkStart w:id="49" w:name="_Toc58604031"/>
      <w:bookmarkStart w:id="50" w:name="_Toc77844224"/>
      <w:bookmarkStart w:id="51" w:name="_Toc86391727"/>
      <w:r w:rsidRPr="00A00208">
        <w:t>2.2.</w:t>
      </w:r>
      <w:r w:rsidRPr="00A00208">
        <w:tab/>
      </w:r>
      <w:r w:rsidR="00A26376" w:rsidRPr="009B5734">
        <w:rPr>
          <w:noProof/>
        </w:rPr>
        <w:t>P</w:t>
      </w:r>
      <w:r w:rsidR="00442220" w:rsidRPr="009B5734">
        <w:rPr>
          <w:noProof/>
        </w:rPr>
        <w:t xml:space="preserve">roblem 2: Consumers </w:t>
      </w:r>
      <w:r w:rsidR="00D60C0B" w:rsidRPr="009B5734">
        <w:rPr>
          <w:noProof/>
        </w:rPr>
        <w:t xml:space="preserve">face misleading commercial practices </w:t>
      </w:r>
      <w:r w:rsidR="0080633B">
        <w:rPr>
          <w:noProof/>
        </w:rPr>
        <w:t>related</w:t>
      </w:r>
      <w:r w:rsidR="0090675C" w:rsidRPr="009B5734">
        <w:rPr>
          <w:noProof/>
        </w:rPr>
        <w:t xml:space="preserve"> to</w:t>
      </w:r>
      <w:r w:rsidR="003514A1" w:rsidRPr="009B5734">
        <w:rPr>
          <w:noProof/>
        </w:rPr>
        <w:t xml:space="preserve"> </w:t>
      </w:r>
      <w:bookmarkEnd w:id="48"/>
      <w:bookmarkEnd w:id="49"/>
      <w:r w:rsidR="0080633B">
        <w:rPr>
          <w:noProof/>
        </w:rPr>
        <w:t>the sustainability of products</w:t>
      </w:r>
      <w:bookmarkEnd w:id="50"/>
      <w:bookmarkEnd w:id="51"/>
    </w:p>
    <w:p w:rsidR="009F6C0E" w:rsidRPr="009B5734" w:rsidRDefault="009F6C0E" w:rsidP="009F6C0E">
      <w:pPr>
        <w:pStyle w:val="BTNumbList"/>
        <w:rPr>
          <w:rFonts w:ascii="Times New Roman" w:hAnsi="Times New Roman"/>
          <w:noProof/>
          <w:sz w:val="24"/>
        </w:rPr>
      </w:pPr>
      <w:r w:rsidRPr="009B5734">
        <w:rPr>
          <w:rFonts w:ascii="Times New Roman" w:hAnsi="Times New Roman"/>
          <w:b/>
          <w:noProof/>
          <w:sz w:val="24"/>
        </w:rPr>
        <w:t xml:space="preserve">Consumers are </w:t>
      </w:r>
      <w:r w:rsidR="007718F3" w:rsidRPr="009B5734">
        <w:rPr>
          <w:rFonts w:ascii="Times New Roman" w:hAnsi="Times New Roman"/>
          <w:b/>
          <w:noProof/>
          <w:sz w:val="24"/>
        </w:rPr>
        <w:t xml:space="preserve">too often </w:t>
      </w:r>
      <w:r w:rsidRPr="009B5734">
        <w:rPr>
          <w:rFonts w:ascii="Times New Roman" w:hAnsi="Times New Roman"/>
          <w:b/>
          <w:noProof/>
          <w:sz w:val="24"/>
        </w:rPr>
        <w:t xml:space="preserve">confronted with </w:t>
      </w:r>
      <w:r w:rsidR="0054399D" w:rsidRPr="009B5734">
        <w:rPr>
          <w:rFonts w:ascii="Times New Roman" w:hAnsi="Times New Roman"/>
          <w:b/>
          <w:noProof/>
          <w:sz w:val="24"/>
        </w:rPr>
        <w:t xml:space="preserve">misleading </w:t>
      </w:r>
      <w:r w:rsidR="009178B0" w:rsidRPr="009B5734">
        <w:rPr>
          <w:rFonts w:ascii="Times New Roman" w:hAnsi="Times New Roman"/>
          <w:b/>
          <w:noProof/>
          <w:sz w:val="24"/>
        </w:rPr>
        <w:t>commercial practices</w:t>
      </w:r>
      <w:r w:rsidR="007C647D" w:rsidRPr="009B5734">
        <w:rPr>
          <w:rFonts w:ascii="Times New Roman" w:hAnsi="Times New Roman"/>
          <w:b/>
          <w:noProof/>
          <w:sz w:val="24"/>
        </w:rPr>
        <w:t xml:space="preserve"> </w:t>
      </w:r>
      <w:r w:rsidR="00A861A1" w:rsidRPr="009B5734">
        <w:rPr>
          <w:rFonts w:ascii="Times New Roman" w:hAnsi="Times New Roman"/>
          <w:b/>
          <w:noProof/>
          <w:sz w:val="24"/>
        </w:rPr>
        <w:t xml:space="preserve">preventing them from </w:t>
      </w:r>
      <w:r w:rsidR="00AB1E4F" w:rsidRPr="009B5734">
        <w:rPr>
          <w:rFonts w:ascii="Times New Roman" w:hAnsi="Times New Roman"/>
          <w:b/>
          <w:noProof/>
          <w:sz w:val="24"/>
        </w:rPr>
        <w:t>taking sustainability into account in their</w:t>
      </w:r>
      <w:r w:rsidR="007C647D" w:rsidRPr="009B5734">
        <w:rPr>
          <w:rFonts w:ascii="Times New Roman" w:hAnsi="Times New Roman"/>
          <w:b/>
          <w:noProof/>
          <w:sz w:val="24"/>
        </w:rPr>
        <w:t xml:space="preserve"> purchases</w:t>
      </w:r>
      <w:r w:rsidRPr="009B5734">
        <w:rPr>
          <w:rFonts w:ascii="Times New Roman" w:hAnsi="Times New Roman"/>
          <w:noProof/>
          <w:sz w:val="24"/>
        </w:rPr>
        <w:t xml:space="preserve">. </w:t>
      </w:r>
      <w:r w:rsidR="00482750" w:rsidRPr="009B5734">
        <w:rPr>
          <w:rFonts w:ascii="Times New Roman" w:hAnsi="Times New Roman"/>
          <w:noProof/>
          <w:sz w:val="24"/>
        </w:rPr>
        <w:t>Such practices occur at various stage</w:t>
      </w:r>
      <w:r w:rsidR="007718F3" w:rsidRPr="009B5734">
        <w:rPr>
          <w:rFonts w:ascii="Times New Roman" w:hAnsi="Times New Roman"/>
          <w:noProof/>
          <w:sz w:val="24"/>
        </w:rPr>
        <w:t>s</w:t>
      </w:r>
      <w:r w:rsidR="00482750" w:rsidRPr="009B5734">
        <w:rPr>
          <w:rFonts w:ascii="Times New Roman" w:hAnsi="Times New Roman"/>
          <w:noProof/>
          <w:sz w:val="24"/>
        </w:rPr>
        <w:t xml:space="preserve"> of the consumption journey: </w:t>
      </w:r>
      <w:r w:rsidR="00982EEA" w:rsidRPr="009B5734">
        <w:rPr>
          <w:rFonts w:ascii="Times New Roman" w:hAnsi="Times New Roman"/>
          <w:noProof/>
          <w:sz w:val="24"/>
        </w:rPr>
        <w:t xml:space="preserve">during the </w:t>
      </w:r>
      <w:r w:rsidR="00482750" w:rsidRPr="009B5734">
        <w:rPr>
          <w:rFonts w:ascii="Times New Roman" w:hAnsi="Times New Roman"/>
          <w:noProof/>
          <w:sz w:val="24"/>
        </w:rPr>
        <w:t xml:space="preserve">advertising stage, </w:t>
      </w:r>
      <w:r w:rsidR="00982EEA" w:rsidRPr="009B5734">
        <w:rPr>
          <w:rFonts w:ascii="Times New Roman" w:hAnsi="Times New Roman"/>
          <w:noProof/>
          <w:sz w:val="24"/>
        </w:rPr>
        <w:t xml:space="preserve">the </w:t>
      </w:r>
      <w:r w:rsidR="00482750" w:rsidRPr="009B5734">
        <w:rPr>
          <w:rFonts w:ascii="Times New Roman" w:hAnsi="Times New Roman"/>
          <w:noProof/>
          <w:sz w:val="24"/>
        </w:rPr>
        <w:t xml:space="preserve">purchasing </w:t>
      </w:r>
      <w:r w:rsidR="00982EEA" w:rsidRPr="009B5734">
        <w:rPr>
          <w:rFonts w:ascii="Times New Roman" w:hAnsi="Times New Roman"/>
          <w:noProof/>
          <w:sz w:val="24"/>
        </w:rPr>
        <w:t>stage</w:t>
      </w:r>
      <w:r w:rsidR="00482750" w:rsidRPr="009B5734">
        <w:rPr>
          <w:rFonts w:ascii="Times New Roman" w:hAnsi="Times New Roman"/>
          <w:noProof/>
          <w:sz w:val="24"/>
        </w:rPr>
        <w:t xml:space="preserve"> or during the use of the products. </w:t>
      </w:r>
      <w:r w:rsidRPr="009B5734">
        <w:rPr>
          <w:rFonts w:ascii="Times New Roman" w:hAnsi="Times New Roman"/>
          <w:noProof/>
          <w:sz w:val="24"/>
        </w:rPr>
        <w:t>The following main categories of such practices have been identified</w:t>
      </w:r>
      <w:r w:rsidR="00BE529F" w:rsidRPr="009B5734">
        <w:rPr>
          <w:rFonts w:ascii="Times New Roman" w:hAnsi="Times New Roman"/>
          <w:noProof/>
          <w:sz w:val="24"/>
        </w:rPr>
        <w:t xml:space="preserve"> in the consultations for this I</w:t>
      </w:r>
      <w:r w:rsidR="009B1FF6" w:rsidRPr="009B5734">
        <w:rPr>
          <w:rFonts w:ascii="Times New Roman" w:hAnsi="Times New Roman"/>
          <w:noProof/>
          <w:sz w:val="24"/>
        </w:rPr>
        <w:t xml:space="preserve">mpact </w:t>
      </w:r>
      <w:r w:rsidR="00BE529F" w:rsidRPr="009B5734">
        <w:rPr>
          <w:rFonts w:ascii="Times New Roman" w:hAnsi="Times New Roman"/>
          <w:noProof/>
          <w:sz w:val="24"/>
        </w:rPr>
        <w:t>A</w:t>
      </w:r>
      <w:r w:rsidR="009B1FF6" w:rsidRPr="009B5734">
        <w:rPr>
          <w:rFonts w:ascii="Times New Roman" w:hAnsi="Times New Roman"/>
          <w:noProof/>
          <w:sz w:val="24"/>
        </w:rPr>
        <w:t>ssessment</w:t>
      </w:r>
      <w:r w:rsidR="008C65BC" w:rsidRPr="009B5734">
        <w:rPr>
          <w:rFonts w:ascii="Times New Roman" w:hAnsi="Times New Roman"/>
          <w:noProof/>
          <w:sz w:val="24"/>
        </w:rPr>
        <w:t xml:space="preserve"> as particularly problematic</w:t>
      </w:r>
      <w:r w:rsidRPr="009B5734">
        <w:rPr>
          <w:rFonts w:ascii="Times New Roman" w:hAnsi="Times New Roman"/>
          <w:noProof/>
          <w:sz w:val="24"/>
        </w:rPr>
        <w:t>:</w:t>
      </w:r>
    </w:p>
    <w:p w:rsidR="005A5C7B" w:rsidRPr="009B5734" w:rsidRDefault="00D9255E" w:rsidP="00910D3D">
      <w:pPr>
        <w:pStyle w:val="BTBullet1Last"/>
        <w:numPr>
          <w:ilvl w:val="0"/>
          <w:numId w:val="56"/>
        </w:numPr>
        <w:tabs>
          <w:tab w:val="left" w:pos="708"/>
        </w:tabs>
        <w:spacing w:after="0"/>
        <w:ind w:left="357" w:hanging="357"/>
        <w:rPr>
          <w:rFonts w:ascii="Times New Roman" w:hAnsi="Times New Roman"/>
          <w:noProof/>
          <w:sz w:val="24"/>
        </w:rPr>
      </w:pPr>
      <w:r w:rsidRPr="009B5734">
        <w:rPr>
          <w:rFonts w:ascii="Times New Roman" w:hAnsi="Times New Roman"/>
          <w:noProof/>
          <w:sz w:val="24"/>
        </w:rPr>
        <w:t xml:space="preserve">Early obsolescence; </w:t>
      </w:r>
    </w:p>
    <w:p w:rsidR="00D9255E" w:rsidRPr="009B5734" w:rsidRDefault="00D9255E" w:rsidP="00910D3D">
      <w:pPr>
        <w:pStyle w:val="BTBullet1Last"/>
        <w:numPr>
          <w:ilvl w:val="0"/>
          <w:numId w:val="56"/>
        </w:numPr>
        <w:tabs>
          <w:tab w:val="left" w:pos="708"/>
        </w:tabs>
        <w:spacing w:after="0"/>
        <w:ind w:left="357" w:hanging="357"/>
        <w:rPr>
          <w:rFonts w:ascii="Times New Roman" w:hAnsi="Times New Roman"/>
          <w:noProof/>
          <w:sz w:val="24"/>
        </w:rPr>
      </w:pPr>
      <w:r w:rsidRPr="009B5734">
        <w:rPr>
          <w:rFonts w:ascii="Times New Roman" w:hAnsi="Times New Roman"/>
          <w:noProof/>
          <w:sz w:val="24"/>
        </w:rPr>
        <w:t>Greenwashing;</w:t>
      </w:r>
    </w:p>
    <w:p w:rsidR="009F6C0E" w:rsidRPr="009B5734" w:rsidRDefault="00D9255E" w:rsidP="00963E1B">
      <w:pPr>
        <w:pStyle w:val="BTBullet1Last"/>
        <w:numPr>
          <w:ilvl w:val="0"/>
          <w:numId w:val="56"/>
        </w:numPr>
        <w:tabs>
          <w:tab w:val="left" w:pos="708"/>
        </w:tabs>
        <w:rPr>
          <w:rFonts w:ascii="Times New Roman" w:hAnsi="Times New Roman"/>
          <w:noProof/>
          <w:sz w:val="24"/>
        </w:rPr>
      </w:pPr>
      <w:r w:rsidRPr="00014EB8">
        <w:rPr>
          <w:rFonts w:ascii="Times New Roman" w:hAnsi="Times New Roman"/>
          <w:noProof/>
          <w:sz w:val="24"/>
        </w:rPr>
        <w:t xml:space="preserve">Non-transparent and non-credible </w:t>
      </w:r>
      <w:r w:rsidR="009F6C0E" w:rsidRPr="009B5734">
        <w:rPr>
          <w:rFonts w:ascii="Times New Roman" w:hAnsi="Times New Roman"/>
          <w:noProof/>
          <w:sz w:val="24"/>
        </w:rPr>
        <w:t xml:space="preserve">sustainability labels, </w:t>
      </w:r>
      <w:r w:rsidR="00BB3A3C" w:rsidRPr="009B5734">
        <w:rPr>
          <w:rFonts w:ascii="Times New Roman" w:hAnsi="Times New Roman"/>
          <w:noProof/>
          <w:sz w:val="24"/>
        </w:rPr>
        <w:t>an</w:t>
      </w:r>
      <w:r w:rsidR="009F6C0E" w:rsidRPr="009B5734">
        <w:rPr>
          <w:rFonts w:ascii="Times New Roman" w:hAnsi="Times New Roman"/>
          <w:noProof/>
          <w:sz w:val="24"/>
        </w:rPr>
        <w:t xml:space="preserve">d </w:t>
      </w:r>
      <w:r w:rsidR="00AB1E4F" w:rsidRPr="009B5734">
        <w:rPr>
          <w:rFonts w:ascii="Times New Roman" w:hAnsi="Times New Roman"/>
          <w:noProof/>
          <w:sz w:val="24"/>
        </w:rPr>
        <w:t>digital information tools</w:t>
      </w:r>
      <w:r w:rsidR="009F6C0E" w:rsidRPr="009B5734">
        <w:rPr>
          <w:rFonts w:ascii="Times New Roman" w:hAnsi="Times New Roman"/>
          <w:noProof/>
          <w:sz w:val="24"/>
        </w:rPr>
        <w:t xml:space="preserve"> (e.g. mobile applications comparing the </w:t>
      </w:r>
      <w:r w:rsidR="00BB3A3C" w:rsidRPr="009B5734">
        <w:rPr>
          <w:rFonts w:ascii="Times New Roman" w:hAnsi="Times New Roman"/>
          <w:noProof/>
          <w:sz w:val="24"/>
        </w:rPr>
        <w:t>sustainability</w:t>
      </w:r>
      <w:r w:rsidR="008C3D9E" w:rsidRPr="009B5734">
        <w:rPr>
          <w:rFonts w:ascii="Times New Roman" w:hAnsi="Times New Roman"/>
          <w:noProof/>
          <w:sz w:val="24"/>
        </w:rPr>
        <w:t xml:space="preserve"> </w:t>
      </w:r>
      <w:r w:rsidR="00BB3A3C" w:rsidRPr="009B5734">
        <w:rPr>
          <w:rFonts w:ascii="Times New Roman" w:hAnsi="Times New Roman"/>
          <w:noProof/>
          <w:sz w:val="24"/>
        </w:rPr>
        <w:t>performance</w:t>
      </w:r>
      <w:r w:rsidR="009F6C0E" w:rsidRPr="009B5734">
        <w:rPr>
          <w:rFonts w:ascii="Times New Roman" w:hAnsi="Times New Roman"/>
          <w:noProof/>
          <w:sz w:val="24"/>
        </w:rPr>
        <w:t xml:space="preserve"> of selected products)</w:t>
      </w:r>
      <w:r w:rsidR="00C74030" w:rsidRPr="009B5734">
        <w:rPr>
          <w:rFonts w:ascii="Times New Roman" w:hAnsi="Times New Roman"/>
          <w:noProof/>
          <w:sz w:val="24"/>
        </w:rPr>
        <w:t xml:space="preserve">. </w:t>
      </w:r>
    </w:p>
    <w:p w:rsidR="00814FE8" w:rsidRPr="009B5734" w:rsidRDefault="00814FE8" w:rsidP="00674D37">
      <w:pPr>
        <w:pStyle w:val="BTNumbList"/>
        <w:spacing w:after="240"/>
        <w:rPr>
          <w:rFonts w:ascii="Times New Roman" w:hAnsi="Times New Roman"/>
          <w:noProof/>
          <w:sz w:val="24"/>
        </w:rPr>
      </w:pPr>
      <w:r w:rsidRPr="009B5734">
        <w:rPr>
          <w:rFonts w:ascii="Times New Roman" w:hAnsi="Times New Roman"/>
          <w:noProof/>
          <w:sz w:val="24"/>
        </w:rPr>
        <w:t xml:space="preserve">These practices have </w:t>
      </w:r>
      <w:r w:rsidR="008C65BC" w:rsidRPr="009B5734">
        <w:rPr>
          <w:rFonts w:ascii="Times New Roman" w:hAnsi="Times New Roman"/>
          <w:noProof/>
          <w:sz w:val="24"/>
        </w:rPr>
        <w:t>also been singled out</w:t>
      </w:r>
      <w:r w:rsidRPr="009B5734">
        <w:rPr>
          <w:rFonts w:ascii="Times New Roman" w:hAnsi="Times New Roman"/>
          <w:noProof/>
          <w:sz w:val="24"/>
        </w:rPr>
        <w:t xml:space="preserve"> by consumer protection authorities</w:t>
      </w:r>
      <w:r w:rsidR="00210A1F" w:rsidRPr="009B5734">
        <w:rPr>
          <w:rFonts w:ascii="Times New Roman" w:hAnsi="Times New Roman"/>
          <w:noProof/>
          <w:sz w:val="24"/>
        </w:rPr>
        <w:t xml:space="preserve">, </w:t>
      </w:r>
      <w:r w:rsidR="00A7282B" w:rsidRPr="009B5734">
        <w:rPr>
          <w:rFonts w:ascii="Times New Roman" w:hAnsi="Times New Roman"/>
          <w:noProof/>
          <w:sz w:val="24"/>
        </w:rPr>
        <w:t>for instance</w:t>
      </w:r>
      <w:r w:rsidR="00EA19AF" w:rsidRPr="009B5734">
        <w:rPr>
          <w:rFonts w:ascii="Times New Roman" w:hAnsi="Times New Roman"/>
          <w:noProof/>
          <w:sz w:val="24"/>
        </w:rPr>
        <w:t>,</w:t>
      </w:r>
      <w:r w:rsidR="00210A1F" w:rsidRPr="009B5734">
        <w:rPr>
          <w:rFonts w:ascii="Times New Roman" w:hAnsi="Times New Roman"/>
          <w:noProof/>
          <w:sz w:val="24"/>
        </w:rPr>
        <w:t xml:space="preserve"> in the course of the Fitness Check of EU Consumer and Marketing Law</w:t>
      </w:r>
      <w:r w:rsidR="00AB5FC8" w:rsidRPr="009B5734">
        <w:rPr>
          <w:rFonts w:ascii="Times New Roman" w:hAnsi="Times New Roman"/>
          <w:noProof/>
          <w:sz w:val="24"/>
        </w:rPr>
        <w:t xml:space="preserve"> (2017)</w:t>
      </w:r>
      <w:r w:rsidR="00210A1F" w:rsidRPr="009B5734">
        <w:rPr>
          <w:rStyle w:val="FootnoteReference"/>
          <w:rFonts w:ascii="Times New Roman" w:hAnsi="Times New Roman"/>
          <w:noProof/>
          <w:sz w:val="24"/>
        </w:rPr>
        <w:footnoteReference w:id="39"/>
      </w:r>
      <w:r w:rsidR="00293BA3" w:rsidRPr="009B5734">
        <w:rPr>
          <w:rFonts w:ascii="Times New Roman" w:hAnsi="Times New Roman"/>
          <w:noProof/>
          <w:sz w:val="24"/>
        </w:rPr>
        <w:t xml:space="preserve"> or </w:t>
      </w:r>
      <w:r w:rsidR="00C74030" w:rsidRPr="009B5734">
        <w:rPr>
          <w:rFonts w:ascii="Times New Roman" w:hAnsi="Times New Roman"/>
          <w:noProof/>
          <w:sz w:val="24"/>
        </w:rPr>
        <w:t>by</w:t>
      </w:r>
      <w:r w:rsidR="00293BA3" w:rsidRPr="009B5734">
        <w:rPr>
          <w:rFonts w:ascii="Times New Roman" w:hAnsi="Times New Roman"/>
          <w:noProof/>
          <w:sz w:val="24"/>
        </w:rPr>
        <w:t xml:space="preserve"> C</w:t>
      </w:r>
      <w:r w:rsidR="007D1CC3" w:rsidRPr="009B5734">
        <w:rPr>
          <w:rFonts w:ascii="Times New Roman" w:hAnsi="Times New Roman"/>
          <w:noProof/>
          <w:sz w:val="24"/>
        </w:rPr>
        <w:t xml:space="preserve">onsumer </w:t>
      </w:r>
      <w:r w:rsidR="00293BA3" w:rsidRPr="009B5734">
        <w:rPr>
          <w:rFonts w:ascii="Times New Roman" w:hAnsi="Times New Roman"/>
          <w:noProof/>
          <w:sz w:val="24"/>
        </w:rPr>
        <w:t>P</w:t>
      </w:r>
      <w:r w:rsidR="007D1CC3" w:rsidRPr="009B5734">
        <w:rPr>
          <w:rFonts w:ascii="Times New Roman" w:hAnsi="Times New Roman"/>
          <w:noProof/>
          <w:sz w:val="24"/>
        </w:rPr>
        <w:t xml:space="preserve">rotection </w:t>
      </w:r>
      <w:r w:rsidR="00293BA3" w:rsidRPr="009B5734">
        <w:rPr>
          <w:rFonts w:ascii="Times New Roman" w:hAnsi="Times New Roman"/>
          <w:noProof/>
          <w:sz w:val="24"/>
        </w:rPr>
        <w:t>C</w:t>
      </w:r>
      <w:r w:rsidR="007D1CC3" w:rsidRPr="009B5734">
        <w:rPr>
          <w:rFonts w:ascii="Times New Roman" w:hAnsi="Times New Roman"/>
          <w:noProof/>
          <w:sz w:val="24"/>
        </w:rPr>
        <w:t>ooperation (</w:t>
      </w:r>
      <w:r w:rsidR="00293BA3" w:rsidRPr="009B5734">
        <w:rPr>
          <w:rFonts w:ascii="Times New Roman" w:hAnsi="Times New Roman"/>
          <w:noProof/>
          <w:sz w:val="24"/>
        </w:rPr>
        <w:t>CPC</w:t>
      </w:r>
      <w:r w:rsidR="007D1CC3" w:rsidRPr="009B5734">
        <w:rPr>
          <w:rFonts w:ascii="Times New Roman" w:hAnsi="Times New Roman"/>
          <w:noProof/>
          <w:sz w:val="24"/>
        </w:rPr>
        <w:t>)</w:t>
      </w:r>
      <w:r w:rsidR="00293BA3" w:rsidRPr="009B5734">
        <w:rPr>
          <w:rFonts w:ascii="Times New Roman" w:hAnsi="Times New Roman"/>
          <w:noProof/>
          <w:sz w:val="24"/>
        </w:rPr>
        <w:t xml:space="preserve"> authorities</w:t>
      </w:r>
      <w:r w:rsidR="00AB1E4F" w:rsidRPr="009B5734">
        <w:rPr>
          <w:rStyle w:val="FootnoteReference"/>
          <w:rFonts w:ascii="Times New Roman" w:hAnsi="Times New Roman"/>
          <w:noProof/>
          <w:sz w:val="24"/>
        </w:rPr>
        <w:footnoteReference w:id="40"/>
      </w:r>
      <w:r w:rsidR="00AA6C61" w:rsidRPr="009B5734">
        <w:rPr>
          <w:rFonts w:ascii="Times New Roman" w:hAnsi="Times New Roman"/>
          <w:noProof/>
          <w:sz w:val="24"/>
        </w:rPr>
        <w:t xml:space="preserve"> </w:t>
      </w:r>
      <w:r w:rsidR="00C74030" w:rsidRPr="009B5734">
        <w:rPr>
          <w:rFonts w:ascii="Times New Roman" w:hAnsi="Times New Roman"/>
          <w:noProof/>
          <w:sz w:val="24"/>
        </w:rPr>
        <w:t>who have</w:t>
      </w:r>
      <w:r w:rsidRPr="009B5734">
        <w:rPr>
          <w:rFonts w:ascii="Times New Roman" w:hAnsi="Times New Roman"/>
          <w:noProof/>
          <w:sz w:val="24"/>
        </w:rPr>
        <w:t xml:space="preserve"> highlight</w:t>
      </w:r>
      <w:r w:rsidR="00AB5FC8" w:rsidRPr="009B5734">
        <w:rPr>
          <w:rFonts w:ascii="Times New Roman" w:hAnsi="Times New Roman"/>
          <w:noProof/>
          <w:sz w:val="24"/>
        </w:rPr>
        <w:t>ed</w:t>
      </w:r>
      <w:r w:rsidRPr="009B5734">
        <w:rPr>
          <w:rFonts w:ascii="Times New Roman" w:hAnsi="Times New Roman"/>
          <w:noProof/>
          <w:sz w:val="24"/>
        </w:rPr>
        <w:t xml:space="preserve"> difficulties to carry out enforcement </w:t>
      </w:r>
      <w:r w:rsidR="00C93327" w:rsidRPr="009B5734">
        <w:rPr>
          <w:rFonts w:ascii="Times New Roman" w:hAnsi="Times New Roman"/>
          <w:noProof/>
          <w:sz w:val="24"/>
        </w:rPr>
        <w:t xml:space="preserve">actions </w:t>
      </w:r>
      <w:r w:rsidR="00AB5FC8" w:rsidRPr="009B5734">
        <w:rPr>
          <w:rFonts w:ascii="Times New Roman" w:hAnsi="Times New Roman"/>
          <w:noProof/>
          <w:sz w:val="24"/>
        </w:rPr>
        <w:t>on</w:t>
      </w:r>
      <w:r w:rsidRPr="009B5734">
        <w:rPr>
          <w:rFonts w:ascii="Times New Roman" w:hAnsi="Times New Roman"/>
          <w:noProof/>
          <w:sz w:val="24"/>
        </w:rPr>
        <w:t xml:space="preserve"> these </w:t>
      </w:r>
      <w:r w:rsidR="00C93327" w:rsidRPr="009B5734">
        <w:rPr>
          <w:rFonts w:ascii="Times New Roman" w:hAnsi="Times New Roman"/>
          <w:noProof/>
          <w:sz w:val="24"/>
        </w:rPr>
        <w:t>issues</w:t>
      </w:r>
      <w:r w:rsidRPr="009B5734">
        <w:rPr>
          <w:rFonts w:ascii="Times New Roman" w:hAnsi="Times New Roman"/>
          <w:noProof/>
          <w:sz w:val="24"/>
        </w:rPr>
        <w:t xml:space="preserve"> (</w:t>
      </w:r>
      <w:r w:rsidR="000C4547" w:rsidRPr="009B5734">
        <w:rPr>
          <w:rFonts w:ascii="Times New Roman" w:hAnsi="Times New Roman"/>
          <w:noProof/>
          <w:sz w:val="24"/>
        </w:rPr>
        <w:t>see</w:t>
      </w:r>
      <w:r w:rsidRPr="009B5734">
        <w:rPr>
          <w:rFonts w:ascii="Times New Roman" w:hAnsi="Times New Roman"/>
          <w:noProof/>
          <w:sz w:val="24"/>
        </w:rPr>
        <w:t xml:space="preserve"> </w:t>
      </w:r>
      <w:hyperlink w:anchor="_What_are_the_1" w:history="1">
        <w:r w:rsidR="00DC519B" w:rsidRPr="009B5734">
          <w:rPr>
            <w:rStyle w:val="Hyperlink"/>
            <w:rFonts w:ascii="Times New Roman" w:hAnsi="Times New Roman"/>
            <w:noProof/>
            <w:sz w:val="24"/>
          </w:rPr>
          <w:t>S</w:t>
        </w:r>
        <w:r w:rsidRPr="009B5734">
          <w:rPr>
            <w:rStyle w:val="Hyperlink"/>
            <w:rFonts w:ascii="Times New Roman" w:hAnsi="Times New Roman"/>
            <w:noProof/>
            <w:sz w:val="24"/>
          </w:rPr>
          <w:t>ection 2.3</w:t>
        </w:r>
      </w:hyperlink>
      <w:r w:rsidRPr="009B5734">
        <w:rPr>
          <w:rFonts w:ascii="Times New Roman" w:hAnsi="Times New Roman"/>
          <w:noProof/>
          <w:sz w:val="24"/>
        </w:rPr>
        <w:t xml:space="preserve"> on drivers). </w:t>
      </w:r>
      <w:r w:rsidR="005626E1" w:rsidRPr="009B5734">
        <w:rPr>
          <w:rFonts w:ascii="Times New Roman" w:hAnsi="Times New Roman"/>
          <w:noProof/>
          <w:sz w:val="24"/>
        </w:rPr>
        <w:t>Further</w:t>
      </w:r>
      <w:r w:rsidR="008C65BC" w:rsidRPr="009B5734">
        <w:rPr>
          <w:rFonts w:ascii="Times New Roman" w:hAnsi="Times New Roman"/>
          <w:noProof/>
          <w:sz w:val="24"/>
        </w:rPr>
        <w:t xml:space="preserve"> evidence justifying the selection of these practices as particularly problematic is presented below.</w:t>
      </w:r>
    </w:p>
    <w:p w:rsidR="009F6C0E" w:rsidRPr="009B5734" w:rsidRDefault="00A00208" w:rsidP="00A00208">
      <w:pPr>
        <w:pStyle w:val="Heading4"/>
        <w:rPr>
          <w:noProof/>
        </w:rPr>
      </w:pPr>
      <w:bookmarkStart w:id="52" w:name="_Toc58148998"/>
      <w:bookmarkStart w:id="53" w:name="_Toc58222376"/>
      <w:bookmarkStart w:id="54" w:name="_Toc58603173"/>
      <w:bookmarkStart w:id="55" w:name="_Toc58604033"/>
      <w:bookmarkStart w:id="56" w:name="_Toc58605350"/>
      <w:bookmarkStart w:id="57" w:name="_Toc60733994"/>
      <w:r w:rsidRPr="00A00208">
        <w:t>2.2.1.</w:t>
      </w:r>
      <w:r w:rsidRPr="00A00208">
        <w:tab/>
      </w:r>
      <w:r w:rsidR="00CA57E7" w:rsidRPr="009B5734">
        <w:rPr>
          <w:noProof/>
        </w:rPr>
        <w:t xml:space="preserve">Consumers are sold products that do not last as long as </w:t>
      </w:r>
      <w:r w:rsidR="004933E1" w:rsidRPr="009B5734">
        <w:rPr>
          <w:noProof/>
        </w:rPr>
        <w:t xml:space="preserve">they </w:t>
      </w:r>
      <w:r w:rsidR="00F378A7" w:rsidRPr="009B5734">
        <w:rPr>
          <w:noProof/>
        </w:rPr>
        <w:t>could</w:t>
      </w:r>
      <w:r w:rsidR="004933E1" w:rsidRPr="009B5734">
        <w:rPr>
          <w:noProof/>
        </w:rPr>
        <w:t xml:space="preserve"> or consumers expect</w:t>
      </w:r>
      <w:bookmarkEnd w:id="52"/>
      <w:bookmarkEnd w:id="53"/>
      <w:bookmarkEnd w:id="54"/>
      <w:bookmarkEnd w:id="55"/>
      <w:bookmarkEnd w:id="56"/>
      <w:bookmarkEnd w:id="57"/>
      <w:r w:rsidR="00CA57E7" w:rsidRPr="009B5734">
        <w:rPr>
          <w:noProof/>
        </w:rPr>
        <w:t xml:space="preserve"> </w:t>
      </w:r>
      <w:r w:rsidR="00141347" w:rsidRPr="009B5734">
        <w:rPr>
          <w:noProof/>
        </w:rPr>
        <w:t>(“early obsolescence”)</w:t>
      </w:r>
      <w:r w:rsidR="000628B3" w:rsidRPr="009B5734">
        <w:rPr>
          <w:noProof/>
        </w:rPr>
        <w:t xml:space="preserve"> (Sub-problem 2.1)</w:t>
      </w:r>
    </w:p>
    <w:p w:rsidR="00D9255E" w:rsidRPr="009B5734" w:rsidRDefault="00D9255E" w:rsidP="009F6C0E">
      <w:pPr>
        <w:pStyle w:val="BTNumbList"/>
        <w:rPr>
          <w:rFonts w:ascii="Times New Roman" w:hAnsi="Times New Roman"/>
          <w:noProof/>
          <w:sz w:val="24"/>
        </w:rPr>
      </w:pPr>
      <w:r w:rsidRPr="009B5734">
        <w:rPr>
          <w:rFonts w:ascii="Times New Roman" w:hAnsi="Times New Roman"/>
          <w:b/>
          <w:noProof/>
          <w:sz w:val="24"/>
        </w:rPr>
        <w:t>Early obsolescence refers to instances where a product cannot be used for the expected purpose and breaks earlier than expected</w:t>
      </w:r>
      <w:r w:rsidRPr="009B5734">
        <w:rPr>
          <w:rStyle w:val="FootnoteReference"/>
          <w:rFonts w:ascii="Times New Roman" w:hAnsi="Times New Roman"/>
          <w:noProof/>
          <w:sz w:val="24"/>
        </w:rPr>
        <w:footnoteReference w:id="41"/>
      </w:r>
      <w:r w:rsidRPr="009B5734">
        <w:rPr>
          <w:rStyle w:val="FootnoteReference"/>
          <w:noProof/>
        </w:rPr>
        <w:t>.</w:t>
      </w:r>
      <w:r w:rsidRPr="009B5734">
        <w:rPr>
          <w:rFonts w:ascii="Times New Roman" w:hAnsi="Times New Roman"/>
          <w:noProof/>
          <w:sz w:val="24"/>
        </w:rPr>
        <w:t xml:space="preserve"> </w:t>
      </w:r>
      <w:r w:rsidR="00141347" w:rsidRPr="009B5734">
        <w:rPr>
          <w:rFonts w:ascii="Times New Roman" w:hAnsi="Times New Roman"/>
          <w:noProof/>
          <w:sz w:val="24"/>
        </w:rPr>
        <w:t xml:space="preserve">Within early obsolescence, </w:t>
      </w:r>
      <w:r w:rsidRPr="009B5734">
        <w:rPr>
          <w:rFonts w:ascii="Times New Roman" w:hAnsi="Times New Roman"/>
          <w:b/>
          <w:noProof/>
          <w:sz w:val="24"/>
        </w:rPr>
        <w:t>“</w:t>
      </w:r>
      <w:r w:rsidR="00141347" w:rsidRPr="009B5734">
        <w:rPr>
          <w:rFonts w:ascii="Times New Roman" w:hAnsi="Times New Roman"/>
          <w:b/>
          <w:noProof/>
          <w:sz w:val="24"/>
        </w:rPr>
        <w:t>p</w:t>
      </w:r>
      <w:r w:rsidRPr="009B5734">
        <w:rPr>
          <w:rFonts w:ascii="Times New Roman" w:hAnsi="Times New Roman"/>
          <w:b/>
          <w:noProof/>
          <w:sz w:val="24"/>
        </w:rPr>
        <w:t xml:space="preserve">lanned obsolescence” </w:t>
      </w:r>
      <w:r w:rsidRPr="009B5734">
        <w:rPr>
          <w:rFonts w:ascii="Times New Roman" w:hAnsi="Times New Roman"/>
          <w:noProof/>
          <w:sz w:val="24"/>
        </w:rPr>
        <w:t>refers specifically to a commercial policy involving</w:t>
      </w:r>
      <w:r w:rsidRPr="009B5734">
        <w:rPr>
          <w:rFonts w:ascii="Times New Roman" w:hAnsi="Times New Roman"/>
          <w:b/>
          <w:noProof/>
          <w:sz w:val="24"/>
        </w:rPr>
        <w:t xml:space="preserve"> deliberately planning or designing a product with a limited useful life</w:t>
      </w:r>
      <w:r w:rsidRPr="009B5734">
        <w:rPr>
          <w:rFonts w:ascii="Times New Roman" w:hAnsi="Times New Roman"/>
          <w:noProof/>
          <w:sz w:val="24"/>
        </w:rPr>
        <w:t xml:space="preserve"> so that it will become obsolete or non-functional after a certain period of time</w:t>
      </w:r>
      <w:r w:rsidRPr="009B5734">
        <w:rPr>
          <w:rStyle w:val="FootnoteReference"/>
          <w:rFonts w:ascii="Times New Roman" w:hAnsi="Times New Roman"/>
          <w:noProof/>
          <w:sz w:val="24"/>
        </w:rPr>
        <w:footnoteReference w:id="42"/>
      </w:r>
      <w:r w:rsidRPr="009B5734">
        <w:rPr>
          <w:rFonts w:ascii="Times New Roman" w:hAnsi="Times New Roman"/>
          <w:noProof/>
          <w:sz w:val="24"/>
        </w:rPr>
        <w:t>.</w:t>
      </w:r>
    </w:p>
    <w:p w:rsidR="002B0329" w:rsidRPr="009B5734" w:rsidRDefault="002B0329" w:rsidP="009F6C0E">
      <w:pPr>
        <w:pStyle w:val="BTNumbList"/>
        <w:rPr>
          <w:rFonts w:ascii="Times New Roman" w:hAnsi="Times New Roman"/>
          <w:noProof/>
          <w:sz w:val="24"/>
        </w:rPr>
      </w:pPr>
      <w:r w:rsidRPr="009B5734">
        <w:rPr>
          <w:rFonts w:ascii="Times New Roman" w:hAnsi="Times New Roman"/>
          <w:b/>
          <w:noProof/>
          <w:sz w:val="24"/>
        </w:rPr>
        <w:t>Faster obsolescence of products is a growing concern for consumers.</w:t>
      </w:r>
      <w:r w:rsidRPr="009B5734">
        <w:rPr>
          <w:rFonts w:ascii="Times New Roman" w:hAnsi="Times New Roman"/>
          <w:noProof/>
          <w:sz w:val="24"/>
        </w:rPr>
        <w:t xml:space="preserve"> In their reply to the O</w:t>
      </w:r>
      <w:r w:rsidR="00AB1E4F" w:rsidRPr="009B5734">
        <w:rPr>
          <w:rFonts w:ascii="Times New Roman" w:hAnsi="Times New Roman"/>
          <w:noProof/>
          <w:sz w:val="24"/>
        </w:rPr>
        <w:t>pen</w:t>
      </w:r>
      <w:r w:rsidRPr="009B5734">
        <w:rPr>
          <w:rFonts w:ascii="Times New Roman" w:hAnsi="Times New Roman"/>
          <w:noProof/>
          <w:sz w:val="24"/>
        </w:rPr>
        <w:t xml:space="preserve"> Public Consultation to support this IA, 76% of respondents </w:t>
      </w:r>
      <w:r w:rsidR="00591E39" w:rsidRPr="009B5734">
        <w:rPr>
          <w:rFonts w:ascii="Times New Roman" w:hAnsi="Times New Roman"/>
          <w:noProof/>
          <w:sz w:val="24"/>
        </w:rPr>
        <w:t>(and 89% of citizens)</w:t>
      </w:r>
      <w:r w:rsidRPr="009B5734">
        <w:rPr>
          <w:rFonts w:ascii="Times New Roman" w:hAnsi="Times New Roman"/>
          <w:noProof/>
          <w:sz w:val="24"/>
        </w:rPr>
        <w:t xml:space="preserve"> mentioned they had experienced an unexpected failure of products in the past 3 years</w:t>
      </w:r>
      <w:r w:rsidRPr="009B5734">
        <w:rPr>
          <w:rStyle w:val="FootnoteReference"/>
          <w:rFonts w:ascii="Times New Roman" w:hAnsi="Times New Roman"/>
          <w:noProof/>
          <w:sz w:val="24"/>
        </w:rPr>
        <w:footnoteReference w:id="43"/>
      </w:r>
      <w:r w:rsidR="000216E4" w:rsidRPr="009B5734">
        <w:rPr>
          <w:rFonts w:ascii="Times New Roman" w:hAnsi="Times New Roman"/>
          <w:noProof/>
          <w:sz w:val="24"/>
        </w:rPr>
        <w:t>.</w:t>
      </w:r>
      <w:r w:rsidRPr="009B5734">
        <w:rPr>
          <w:rFonts w:ascii="Times New Roman" w:hAnsi="Times New Roman"/>
          <w:noProof/>
          <w:sz w:val="24"/>
        </w:rPr>
        <w:t xml:space="preserve"> </w:t>
      </w:r>
      <w:r w:rsidR="007D0DFD" w:rsidRPr="009B5734">
        <w:rPr>
          <w:rFonts w:ascii="Times New Roman" w:hAnsi="Times New Roman"/>
          <w:noProof/>
          <w:sz w:val="24"/>
        </w:rPr>
        <w:t>ICT products (47%), small household appliances (20%), clothing and footwear (19%), other electronics (18%), large household appliances (16%) and software programmes (15%) were the most often cited product categories for which unexpected failure had been experienced.</w:t>
      </w:r>
    </w:p>
    <w:p w:rsidR="00D81E34" w:rsidRPr="009B5734" w:rsidDel="00D81E34" w:rsidRDefault="00E93FD7" w:rsidP="009F6C0E">
      <w:pPr>
        <w:pStyle w:val="BTNumbList"/>
        <w:rPr>
          <w:rFonts w:ascii="Times New Roman" w:hAnsi="Times New Roman"/>
          <w:noProof/>
          <w:sz w:val="24"/>
        </w:rPr>
      </w:pPr>
      <w:r w:rsidRPr="7F52AB9A">
        <w:rPr>
          <w:rFonts w:ascii="Times New Roman" w:hAnsi="Times New Roman"/>
          <w:noProof/>
          <w:sz w:val="24"/>
        </w:rPr>
        <w:t>A</w:t>
      </w:r>
      <w:r w:rsidR="009F6C0E" w:rsidRPr="7F52AB9A">
        <w:rPr>
          <w:rFonts w:ascii="Times New Roman" w:hAnsi="Times New Roman"/>
          <w:noProof/>
          <w:sz w:val="24"/>
        </w:rPr>
        <w:t xml:space="preserve">vailable studies suggest that </w:t>
      </w:r>
      <w:r w:rsidR="009F6C0E" w:rsidRPr="7F52AB9A">
        <w:rPr>
          <w:rFonts w:ascii="Times New Roman" w:hAnsi="Times New Roman"/>
          <w:b/>
          <w:bCs/>
          <w:noProof/>
          <w:sz w:val="24"/>
        </w:rPr>
        <w:t xml:space="preserve">certain consumer goods are not designed to last long and/or have a shorter lifetime than </w:t>
      </w:r>
      <w:r w:rsidR="000628B3" w:rsidRPr="7F52AB9A">
        <w:rPr>
          <w:rFonts w:ascii="Times New Roman" w:hAnsi="Times New Roman"/>
          <w:b/>
          <w:bCs/>
          <w:noProof/>
          <w:sz w:val="24"/>
        </w:rPr>
        <w:t xml:space="preserve">would have been expected for such products </w:t>
      </w:r>
      <w:r w:rsidR="009F6C0E" w:rsidRPr="7F52AB9A">
        <w:rPr>
          <w:rFonts w:ascii="Times New Roman" w:hAnsi="Times New Roman"/>
          <w:b/>
          <w:bCs/>
          <w:noProof/>
          <w:sz w:val="24"/>
        </w:rPr>
        <w:t>in the past</w:t>
      </w:r>
      <w:r w:rsidR="009F6C0E" w:rsidRPr="7F52AB9A">
        <w:rPr>
          <w:rStyle w:val="FootnoteReference"/>
          <w:rFonts w:ascii="Times New Roman" w:hAnsi="Times New Roman"/>
          <w:noProof/>
          <w:sz w:val="24"/>
        </w:rPr>
        <w:footnoteReference w:id="44"/>
      </w:r>
      <w:r w:rsidR="009F6C0E" w:rsidRPr="7F52AB9A">
        <w:rPr>
          <w:rFonts w:ascii="Times New Roman" w:hAnsi="Times New Roman"/>
          <w:noProof/>
          <w:sz w:val="24"/>
          <w:vertAlign w:val="superscript"/>
        </w:rPr>
        <w:t>,</w:t>
      </w:r>
      <w:r w:rsidR="009F6C0E" w:rsidRPr="7F52AB9A">
        <w:rPr>
          <w:rStyle w:val="FootnoteReference"/>
          <w:rFonts w:ascii="Times New Roman" w:hAnsi="Times New Roman"/>
          <w:noProof/>
          <w:sz w:val="24"/>
        </w:rPr>
        <w:footnoteReference w:id="45"/>
      </w:r>
      <w:r w:rsidR="009F6C0E" w:rsidRPr="7F52AB9A">
        <w:rPr>
          <w:rFonts w:ascii="Times New Roman" w:hAnsi="Times New Roman"/>
          <w:noProof/>
          <w:sz w:val="24"/>
        </w:rPr>
        <w:t xml:space="preserve">. For example, </w:t>
      </w:r>
      <w:r w:rsidR="006D300C" w:rsidRPr="7F52AB9A">
        <w:rPr>
          <w:rFonts w:ascii="Times New Roman" w:hAnsi="Times New Roman"/>
          <w:noProof/>
          <w:sz w:val="24"/>
        </w:rPr>
        <w:t>an EU funded project</w:t>
      </w:r>
      <w:r w:rsidR="009F6C0E" w:rsidRPr="7F52AB9A">
        <w:rPr>
          <w:rFonts w:ascii="Times New Roman" w:hAnsi="Times New Roman"/>
          <w:noProof/>
          <w:sz w:val="24"/>
        </w:rPr>
        <w:t>, identified that a significant share of goods tend to fail right after the end of the minimum legal guarantee period (between second and third year)</w:t>
      </w:r>
      <w:r w:rsidR="006D300C" w:rsidRPr="7F52AB9A">
        <w:rPr>
          <w:rFonts w:ascii="Times New Roman" w:hAnsi="Times New Roman"/>
          <w:noProof/>
          <w:sz w:val="24"/>
        </w:rPr>
        <w:t xml:space="preserve"> based on consumer reports in seven Member States</w:t>
      </w:r>
      <w:r w:rsidR="006D300C" w:rsidRPr="7F52AB9A">
        <w:rPr>
          <w:rStyle w:val="FootnoteReference"/>
          <w:rFonts w:ascii="Times New Roman" w:hAnsi="Times New Roman"/>
          <w:noProof/>
          <w:sz w:val="24"/>
        </w:rPr>
        <w:footnoteReference w:id="46"/>
      </w:r>
      <w:r w:rsidR="009F6C0E" w:rsidRPr="7F52AB9A">
        <w:rPr>
          <w:rFonts w:ascii="Times New Roman" w:hAnsi="Times New Roman"/>
          <w:noProof/>
          <w:sz w:val="24"/>
        </w:rPr>
        <w:t>. Similarly, a 2015 German Study</w:t>
      </w:r>
      <w:r w:rsidR="009F6C0E" w:rsidRPr="7F52AB9A">
        <w:rPr>
          <w:rStyle w:val="FootnoteReference"/>
          <w:rFonts w:ascii="Times New Roman" w:hAnsi="Times New Roman"/>
          <w:noProof/>
          <w:sz w:val="24"/>
        </w:rPr>
        <w:footnoteReference w:id="47"/>
      </w:r>
      <w:r w:rsidR="009F6C0E" w:rsidRPr="7F52AB9A">
        <w:rPr>
          <w:rFonts w:ascii="Times New Roman" w:hAnsi="Times New Roman"/>
          <w:noProof/>
          <w:sz w:val="24"/>
        </w:rPr>
        <w:t xml:space="preserve"> concluded that the percentage of large household appliances replaced by consumers within five years due to </w:t>
      </w:r>
      <w:r w:rsidR="009F6C0E" w:rsidRPr="7F52AB9A">
        <w:rPr>
          <w:rFonts w:ascii="Times New Roman" w:hAnsi="Times New Roman"/>
          <w:b/>
          <w:bCs/>
          <w:noProof/>
          <w:sz w:val="24"/>
        </w:rPr>
        <w:t>technical defects</w:t>
      </w:r>
      <w:r w:rsidR="009F6C0E" w:rsidRPr="7F52AB9A">
        <w:rPr>
          <w:rFonts w:ascii="Times New Roman" w:hAnsi="Times New Roman"/>
          <w:noProof/>
          <w:sz w:val="24"/>
        </w:rPr>
        <w:t xml:space="preserve"> </w:t>
      </w:r>
      <w:r w:rsidR="009F6C0E" w:rsidRPr="7F52AB9A">
        <w:rPr>
          <w:rFonts w:ascii="Times New Roman" w:hAnsi="Times New Roman"/>
          <w:b/>
          <w:bCs/>
          <w:noProof/>
          <w:sz w:val="24"/>
        </w:rPr>
        <w:t xml:space="preserve">more than </w:t>
      </w:r>
      <w:r w:rsidRPr="7F52AB9A">
        <w:rPr>
          <w:rFonts w:ascii="Times New Roman" w:hAnsi="Times New Roman"/>
          <w:b/>
          <w:bCs/>
          <w:noProof/>
          <w:sz w:val="24"/>
        </w:rPr>
        <w:t>d</w:t>
      </w:r>
      <w:r w:rsidR="009F6C0E" w:rsidRPr="7F52AB9A">
        <w:rPr>
          <w:rFonts w:ascii="Times New Roman" w:hAnsi="Times New Roman"/>
          <w:b/>
          <w:bCs/>
          <w:noProof/>
          <w:sz w:val="24"/>
        </w:rPr>
        <w:t>oubled, from 3.5% in 2004 to 8.3% in 2012</w:t>
      </w:r>
      <w:r w:rsidR="009F6C0E" w:rsidRPr="7F52AB9A">
        <w:rPr>
          <w:rFonts w:ascii="Times New Roman" w:hAnsi="Times New Roman"/>
          <w:noProof/>
          <w:sz w:val="24"/>
        </w:rPr>
        <w:t xml:space="preserve">. </w:t>
      </w:r>
      <w:r w:rsidR="00C3776B" w:rsidRPr="7F52AB9A">
        <w:rPr>
          <w:rFonts w:ascii="Times New Roman" w:hAnsi="Times New Roman"/>
          <w:noProof/>
          <w:sz w:val="24"/>
        </w:rPr>
        <w:t>Several other s</w:t>
      </w:r>
      <w:r w:rsidR="00B812BA" w:rsidRPr="7F52AB9A">
        <w:rPr>
          <w:rFonts w:ascii="Times New Roman" w:hAnsi="Times New Roman"/>
          <w:noProof/>
          <w:sz w:val="24"/>
        </w:rPr>
        <w:t>tudies</w:t>
      </w:r>
      <w:r w:rsidR="009F6C0E" w:rsidRPr="7F52AB9A">
        <w:rPr>
          <w:rFonts w:ascii="Times New Roman" w:hAnsi="Times New Roman"/>
          <w:noProof/>
          <w:sz w:val="24"/>
        </w:rPr>
        <w:t xml:space="preserve"> carried</w:t>
      </w:r>
      <w:r w:rsidR="006A6660" w:rsidRPr="7F52AB9A">
        <w:rPr>
          <w:rFonts w:ascii="Times New Roman" w:hAnsi="Times New Roman"/>
          <w:noProof/>
          <w:sz w:val="24"/>
        </w:rPr>
        <w:t xml:space="preserve"> out</w:t>
      </w:r>
      <w:r w:rsidR="009F6C0E" w:rsidRPr="7F52AB9A">
        <w:rPr>
          <w:rStyle w:val="FootnoteReference"/>
          <w:rFonts w:ascii="Times New Roman" w:hAnsi="Times New Roman"/>
          <w:noProof/>
          <w:sz w:val="24"/>
        </w:rPr>
        <w:footnoteReference w:id="48"/>
      </w:r>
      <w:r w:rsidR="00C3776B" w:rsidRPr="7F52AB9A">
        <w:rPr>
          <w:rFonts w:ascii="Times New Roman" w:hAnsi="Times New Roman"/>
          <w:noProof/>
          <w:sz w:val="24"/>
          <w:vertAlign w:val="superscript"/>
        </w:rPr>
        <w:t>,</w:t>
      </w:r>
      <w:r w:rsidR="00C3776B" w:rsidRPr="7F52AB9A">
        <w:rPr>
          <w:rStyle w:val="FootnoteReference"/>
          <w:rFonts w:ascii="Times New Roman" w:hAnsi="Times New Roman"/>
          <w:noProof/>
          <w:sz w:val="24"/>
        </w:rPr>
        <w:footnoteReference w:id="49"/>
      </w:r>
      <w:r w:rsidR="00C3776B" w:rsidRPr="7F52AB9A">
        <w:rPr>
          <w:rFonts w:ascii="Times New Roman" w:hAnsi="Times New Roman"/>
          <w:noProof/>
          <w:sz w:val="24"/>
          <w:vertAlign w:val="superscript"/>
        </w:rPr>
        <w:t>,</w:t>
      </w:r>
      <w:r w:rsidR="00256B10" w:rsidRPr="7F52AB9A">
        <w:rPr>
          <w:rStyle w:val="FootnoteReference"/>
          <w:rFonts w:ascii="Times New Roman" w:hAnsi="Times New Roman"/>
          <w:noProof/>
          <w:sz w:val="24"/>
        </w:rPr>
        <w:footnoteReference w:id="50"/>
      </w:r>
      <w:r w:rsidR="00256B10" w:rsidRPr="7F52AB9A">
        <w:rPr>
          <w:rFonts w:ascii="Times New Roman" w:hAnsi="Times New Roman"/>
          <w:noProof/>
          <w:color w:val="222222"/>
          <w:sz w:val="24"/>
          <w:shd w:val="clear" w:color="auto" w:fill="FFFFFF"/>
        </w:rPr>
        <w:t xml:space="preserve"> </w:t>
      </w:r>
      <w:r w:rsidR="009F6C0E" w:rsidRPr="7F52AB9A">
        <w:rPr>
          <w:rFonts w:ascii="Times New Roman" w:hAnsi="Times New Roman"/>
          <w:noProof/>
          <w:sz w:val="24"/>
        </w:rPr>
        <w:t xml:space="preserve">present evidence that the </w:t>
      </w:r>
      <w:r w:rsidR="009F6C0E" w:rsidRPr="7F52AB9A">
        <w:rPr>
          <w:rFonts w:ascii="Times New Roman" w:hAnsi="Times New Roman"/>
          <w:b/>
          <w:bCs/>
          <w:noProof/>
          <w:sz w:val="24"/>
        </w:rPr>
        <w:t>lifespan of some goods is becoming shorter</w:t>
      </w:r>
      <w:r w:rsidR="00F70F3E" w:rsidRPr="7F52AB9A">
        <w:rPr>
          <w:rFonts w:ascii="Times New Roman" w:hAnsi="Times New Roman"/>
          <w:b/>
          <w:bCs/>
          <w:noProof/>
          <w:sz w:val="24"/>
        </w:rPr>
        <w:t>, with technical failure</w:t>
      </w:r>
      <w:r w:rsidR="009560DB" w:rsidRPr="7F52AB9A">
        <w:rPr>
          <w:rFonts w:ascii="Times New Roman" w:hAnsi="Times New Roman"/>
          <w:b/>
          <w:bCs/>
          <w:noProof/>
          <w:sz w:val="24"/>
        </w:rPr>
        <w:t>s</w:t>
      </w:r>
      <w:r w:rsidR="00F70F3E" w:rsidRPr="7F52AB9A">
        <w:rPr>
          <w:rFonts w:ascii="Times New Roman" w:hAnsi="Times New Roman"/>
          <w:b/>
          <w:bCs/>
          <w:noProof/>
          <w:sz w:val="24"/>
        </w:rPr>
        <w:t xml:space="preserve"> being the main reason for product replacement</w:t>
      </w:r>
      <w:r w:rsidR="009F6C0E" w:rsidRPr="7F52AB9A">
        <w:rPr>
          <w:rFonts w:ascii="Times New Roman" w:hAnsi="Times New Roman"/>
          <w:noProof/>
          <w:sz w:val="24"/>
        </w:rPr>
        <w:t xml:space="preserve">. </w:t>
      </w:r>
    </w:p>
    <w:p w:rsidR="00923E12" w:rsidRPr="009B5734" w:rsidRDefault="009F6C0E" w:rsidP="00D81E34">
      <w:pPr>
        <w:pStyle w:val="BTNumbList"/>
        <w:rPr>
          <w:rFonts w:ascii="Times New Roman" w:hAnsi="Times New Roman"/>
          <w:noProof/>
          <w:sz w:val="24"/>
        </w:rPr>
      </w:pPr>
      <w:r w:rsidRPr="009B5734">
        <w:rPr>
          <w:rFonts w:ascii="Times New Roman" w:hAnsi="Times New Roman"/>
          <w:noProof/>
          <w:sz w:val="24"/>
        </w:rPr>
        <w:t xml:space="preserve">Interestingly, while issues related to </w:t>
      </w:r>
      <w:r w:rsidR="00EA19AF" w:rsidRPr="009B5734">
        <w:rPr>
          <w:rFonts w:ascii="Times New Roman" w:hAnsi="Times New Roman"/>
          <w:noProof/>
          <w:sz w:val="24"/>
        </w:rPr>
        <w:t xml:space="preserve">the </w:t>
      </w:r>
      <w:r w:rsidRPr="009B5734">
        <w:rPr>
          <w:rFonts w:ascii="Times New Roman" w:hAnsi="Times New Roman"/>
          <w:noProof/>
          <w:sz w:val="24"/>
        </w:rPr>
        <w:t>failure of goods may vary depending on the characteristics of the goods, interim findings of the</w:t>
      </w:r>
      <w:r w:rsidR="006D300C" w:rsidRPr="009B5734">
        <w:rPr>
          <w:rFonts w:ascii="Times New Roman" w:hAnsi="Times New Roman"/>
          <w:noProof/>
          <w:sz w:val="24"/>
        </w:rPr>
        <w:t xml:space="preserve"> above mentioned EU funded</w:t>
      </w:r>
      <w:r w:rsidRPr="009B5734">
        <w:rPr>
          <w:rFonts w:ascii="Times New Roman" w:hAnsi="Times New Roman"/>
          <w:noProof/>
          <w:sz w:val="24"/>
        </w:rPr>
        <w:t xml:space="preserve"> project conclude that “a </w:t>
      </w:r>
      <w:r w:rsidRPr="009B5734">
        <w:rPr>
          <w:rFonts w:ascii="Times New Roman" w:hAnsi="Times New Roman"/>
          <w:b/>
          <w:noProof/>
          <w:sz w:val="24"/>
        </w:rPr>
        <w:t>limited number of problem types account for four out of five failures, most of which refer to a specific part of a product</w:t>
      </w:r>
      <w:r w:rsidRPr="009B5734">
        <w:rPr>
          <w:rFonts w:ascii="Times New Roman" w:hAnsi="Times New Roman"/>
          <w:noProof/>
          <w:sz w:val="24"/>
        </w:rPr>
        <w:t>, many of which appear to be shared across product categories (e.g. batteries, printed circuit boards and LCD screens)</w:t>
      </w:r>
      <w:r w:rsidR="00D064BB" w:rsidRPr="009B5734">
        <w:rPr>
          <w:rFonts w:ascii="Times New Roman" w:hAnsi="Times New Roman"/>
          <w:noProof/>
          <w:sz w:val="24"/>
        </w:rPr>
        <w:t>”</w:t>
      </w:r>
      <w:r w:rsidRPr="009B5734">
        <w:rPr>
          <w:rFonts w:ascii="Times New Roman" w:hAnsi="Times New Roman"/>
          <w:noProof/>
          <w:sz w:val="24"/>
          <w:vertAlign w:val="superscript"/>
        </w:rPr>
        <w:footnoteReference w:id="51"/>
      </w:r>
      <w:r w:rsidRPr="009B5734">
        <w:rPr>
          <w:rFonts w:ascii="Times New Roman" w:hAnsi="Times New Roman"/>
          <w:noProof/>
          <w:sz w:val="24"/>
        </w:rPr>
        <w:t xml:space="preserve">. </w:t>
      </w:r>
    </w:p>
    <w:p w:rsidR="00BD2A3E" w:rsidRPr="00BD2A3E" w:rsidRDefault="00923E12" w:rsidP="004A5541">
      <w:pPr>
        <w:pStyle w:val="BTNumbList"/>
        <w:rPr>
          <w:rFonts w:ascii="Times New Roman" w:hAnsi="Times New Roman"/>
          <w:noProof/>
          <w:sz w:val="24"/>
        </w:rPr>
      </w:pPr>
      <w:r w:rsidRPr="7F52AB9A">
        <w:rPr>
          <w:rFonts w:ascii="Times New Roman" w:hAnsi="Times New Roman"/>
          <w:noProof/>
          <w:sz w:val="24"/>
        </w:rPr>
        <w:t xml:space="preserve">Another study shows that in </w:t>
      </w:r>
      <w:r w:rsidR="00D81E34" w:rsidRPr="7F52AB9A">
        <w:rPr>
          <w:rFonts w:ascii="Times New Roman" w:hAnsi="Times New Roman"/>
          <w:noProof/>
          <w:sz w:val="24"/>
        </w:rPr>
        <w:t xml:space="preserve">the case of smartphones and tablets, </w:t>
      </w:r>
      <w:r w:rsidR="00D81E34" w:rsidRPr="7F52AB9A">
        <w:rPr>
          <w:rFonts w:ascii="Times New Roman" w:hAnsi="Times New Roman"/>
          <w:b/>
          <w:bCs/>
          <w:noProof/>
          <w:sz w:val="24"/>
        </w:rPr>
        <w:t xml:space="preserve">a large proportion of the devices </w:t>
      </w:r>
      <w:r w:rsidR="00343F47" w:rsidRPr="7F52AB9A">
        <w:rPr>
          <w:rFonts w:ascii="Times New Roman" w:hAnsi="Times New Roman"/>
          <w:b/>
          <w:bCs/>
          <w:noProof/>
          <w:sz w:val="24"/>
        </w:rPr>
        <w:t>are</w:t>
      </w:r>
      <w:r w:rsidR="00D81E34" w:rsidRPr="7F52AB9A">
        <w:rPr>
          <w:rFonts w:ascii="Times New Roman" w:hAnsi="Times New Roman"/>
          <w:b/>
          <w:bCs/>
          <w:noProof/>
          <w:sz w:val="24"/>
        </w:rPr>
        <w:t xml:space="preserve"> being replaced after two years mostly because</w:t>
      </w:r>
      <w:r w:rsidRPr="7F52AB9A">
        <w:rPr>
          <w:rFonts w:ascii="Times New Roman" w:hAnsi="Times New Roman"/>
          <w:b/>
          <w:bCs/>
          <w:noProof/>
          <w:sz w:val="24"/>
        </w:rPr>
        <w:t xml:space="preserve"> of a few but frequent problems</w:t>
      </w:r>
      <w:r w:rsidR="00D81E34" w:rsidRPr="7F52AB9A">
        <w:rPr>
          <w:rFonts w:ascii="Times New Roman" w:hAnsi="Times New Roman"/>
          <w:noProof/>
          <w:sz w:val="24"/>
        </w:rPr>
        <w:t>: (1) the battery had stopped working and could not be replaced by the user; (2) the screen had cracked and could not be replaced by the user; or (3) the manufacturer was no longer willing or able to support the software</w:t>
      </w:r>
      <w:r w:rsidR="00D81E34" w:rsidRPr="7F52AB9A">
        <w:rPr>
          <w:rStyle w:val="FootnoteReference"/>
          <w:rFonts w:ascii="Times New Roman" w:hAnsi="Times New Roman"/>
          <w:noProof/>
          <w:sz w:val="24"/>
        </w:rPr>
        <w:footnoteReference w:id="52"/>
      </w:r>
      <w:r w:rsidR="00D81E34" w:rsidRPr="7F52AB9A">
        <w:rPr>
          <w:rFonts w:ascii="Times New Roman" w:hAnsi="Times New Roman"/>
          <w:noProof/>
          <w:sz w:val="24"/>
        </w:rPr>
        <w:t>.</w:t>
      </w:r>
      <w:r w:rsidR="003226CB" w:rsidRPr="7F52AB9A">
        <w:rPr>
          <w:rFonts w:ascii="Times New Roman" w:hAnsi="Times New Roman"/>
          <w:noProof/>
          <w:sz w:val="24"/>
        </w:rPr>
        <w:t xml:space="preserve"> </w:t>
      </w:r>
      <w:r w:rsidR="006C3151" w:rsidRPr="7F52AB9A">
        <w:rPr>
          <w:rFonts w:ascii="Times New Roman" w:hAnsi="Times New Roman"/>
          <w:noProof/>
          <w:sz w:val="24"/>
        </w:rPr>
        <w:t xml:space="preserve">Recently, </w:t>
      </w:r>
      <w:r w:rsidR="009560DB" w:rsidRPr="7F52AB9A">
        <w:rPr>
          <w:rFonts w:ascii="Times New Roman" w:hAnsi="Times New Roman"/>
          <w:noProof/>
          <w:sz w:val="24"/>
        </w:rPr>
        <w:t>national</w:t>
      </w:r>
      <w:r w:rsidR="006C3151" w:rsidRPr="7F52AB9A">
        <w:rPr>
          <w:rFonts w:ascii="Times New Roman" w:hAnsi="Times New Roman"/>
          <w:noProof/>
          <w:sz w:val="24"/>
        </w:rPr>
        <w:t xml:space="preserve"> consumer organisations have </w:t>
      </w:r>
      <w:r w:rsidR="003F62A1" w:rsidRPr="7F52AB9A">
        <w:rPr>
          <w:rFonts w:ascii="Times New Roman" w:hAnsi="Times New Roman"/>
          <w:noProof/>
          <w:sz w:val="24"/>
        </w:rPr>
        <w:t xml:space="preserve">also </w:t>
      </w:r>
      <w:r w:rsidR="006C3151" w:rsidRPr="7F52AB9A">
        <w:rPr>
          <w:rFonts w:ascii="Times New Roman" w:hAnsi="Times New Roman"/>
          <w:noProof/>
          <w:sz w:val="24"/>
        </w:rPr>
        <w:t xml:space="preserve">received more than 25 000 complaints concerning </w:t>
      </w:r>
      <w:r w:rsidR="00446554" w:rsidRPr="7F52AB9A">
        <w:rPr>
          <w:rFonts w:ascii="Times New Roman" w:hAnsi="Times New Roman"/>
          <w:noProof/>
          <w:sz w:val="24"/>
        </w:rPr>
        <w:t>two</w:t>
      </w:r>
      <w:r w:rsidR="006C3151" w:rsidRPr="7F52AB9A">
        <w:rPr>
          <w:rFonts w:ascii="Times New Roman" w:hAnsi="Times New Roman"/>
          <w:noProof/>
          <w:sz w:val="24"/>
        </w:rPr>
        <w:t xml:space="preserve"> </w:t>
      </w:r>
      <w:r w:rsidRPr="7F52AB9A">
        <w:rPr>
          <w:rFonts w:ascii="Times New Roman" w:hAnsi="Times New Roman"/>
          <w:noProof/>
          <w:sz w:val="24"/>
        </w:rPr>
        <w:t>component</w:t>
      </w:r>
      <w:r w:rsidR="00446554" w:rsidRPr="7F52AB9A">
        <w:rPr>
          <w:rFonts w:ascii="Times New Roman" w:hAnsi="Times New Roman"/>
          <w:noProof/>
          <w:sz w:val="24"/>
        </w:rPr>
        <w:t>s</w:t>
      </w:r>
      <w:r w:rsidRPr="7F52AB9A">
        <w:rPr>
          <w:rFonts w:ascii="Times New Roman" w:hAnsi="Times New Roman"/>
          <w:noProof/>
          <w:sz w:val="24"/>
        </w:rPr>
        <w:t xml:space="preserve"> of a </w:t>
      </w:r>
      <w:r w:rsidR="006C3151" w:rsidRPr="7F52AB9A">
        <w:rPr>
          <w:rFonts w:ascii="Times New Roman" w:hAnsi="Times New Roman"/>
          <w:noProof/>
          <w:sz w:val="24"/>
        </w:rPr>
        <w:t>gaming console</w:t>
      </w:r>
      <w:r w:rsidR="003B7968" w:rsidRPr="7F52AB9A">
        <w:rPr>
          <w:rFonts w:ascii="Times New Roman" w:hAnsi="Times New Roman"/>
          <w:noProof/>
          <w:sz w:val="24"/>
        </w:rPr>
        <w:t xml:space="preserve"> </w:t>
      </w:r>
      <w:r w:rsidR="00446554" w:rsidRPr="7F52AB9A">
        <w:rPr>
          <w:rFonts w:ascii="Times New Roman" w:hAnsi="Times New Roman"/>
          <w:noProof/>
          <w:sz w:val="24"/>
        </w:rPr>
        <w:t xml:space="preserve">(i.e. its two controllers) </w:t>
      </w:r>
      <w:r w:rsidR="003B7968" w:rsidRPr="7F52AB9A">
        <w:rPr>
          <w:rFonts w:ascii="Times New Roman" w:hAnsi="Times New Roman"/>
          <w:noProof/>
          <w:sz w:val="24"/>
        </w:rPr>
        <w:t xml:space="preserve">which was </w:t>
      </w:r>
      <w:r w:rsidR="003B7968" w:rsidRPr="7F52AB9A">
        <w:rPr>
          <w:rFonts w:ascii="Times New Roman" w:hAnsi="Times New Roman"/>
          <w:b/>
          <w:bCs/>
          <w:noProof/>
          <w:sz w:val="24"/>
        </w:rPr>
        <w:t>failing prematurely and made difficult to repair or replace</w:t>
      </w:r>
      <w:r w:rsidR="003B7968" w:rsidRPr="7F52AB9A">
        <w:rPr>
          <w:rFonts w:ascii="Times New Roman" w:hAnsi="Times New Roman"/>
          <w:noProof/>
          <w:sz w:val="24"/>
        </w:rPr>
        <w:t>, rendering the console obsolete (well before the lifespan of 7 to 10 years advertised by its manufacturer)</w:t>
      </w:r>
      <w:r w:rsidR="009117F5" w:rsidRPr="7F52AB9A">
        <w:rPr>
          <w:rFonts w:ascii="Times New Roman" w:hAnsi="Times New Roman"/>
          <w:noProof/>
          <w:sz w:val="24"/>
        </w:rPr>
        <w:t xml:space="preserve"> and </w:t>
      </w:r>
      <w:r w:rsidR="009117F5" w:rsidRPr="7F52AB9A">
        <w:rPr>
          <w:rFonts w:ascii="Times New Roman" w:hAnsi="Times New Roman"/>
          <w:b/>
          <w:bCs/>
          <w:noProof/>
          <w:sz w:val="24"/>
        </w:rPr>
        <w:t>in spite of the manufacturer being aware of the problem</w:t>
      </w:r>
      <w:r w:rsidR="006C3151" w:rsidRPr="7F52AB9A">
        <w:rPr>
          <w:rStyle w:val="FootnoteReference"/>
          <w:rFonts w:ascii="Times New Roman" w:hAnsi="Times New Roman"/>
          <w:noProof/>
          <w:sz w:val="24"/>
        </w:rPr>
        <w:footnoteReference w:id="53"/>
      </w:r>
      <w:r w:rsidR="006C3151" w:rsidRPr="7F52AB9A">
        <w:rPr>
          <w:rFonts w:ascii="Times New Roman" w:hAnsi="Times New Roman"/>
          <w:noProof/>
          <w:sz w:val="24"/>
        </w:rPr>
        <w:t xml:space="preserve">. </w:t>
      </w:r>
    </w:p>
    <w:p w:rsidR="00812613" w:rsidRPr="009B5734" w:rsidRDefault="00EA6843" w:rsidP="009F6C0E">
      <w:pPr>
        <w:pStyle w:val="BTNumbList"/>
        <w:rPr>
          <w:rFonts w:ascii="Times New Roman" w:hAnsi="Times New Roman"/>
          <w:noProof/>
          <w:sz w:val="24"/>
        </w:rPr>
      </w:pPr>
      <w:r w:rsidRPr="009B5734">
        <w:rPr>
          <w:rFonts w:ascii="Times New Roman" w:hAnsi="Times New Roman"/>
          <w:b/>
          <w:noProof/>
          <w:sz w:val="24"/>
        </w:rPr>
        <w:t>Early o</w:t>
      </w:r>
      <w:r w:rsidR="00C1457D" w:rsidRPr="009B5734">
        <w:rPr>
          <w:rFonts w:ascii="Times New Roman" w:hAnsi="Times New Roman"/>
          <w:b/>
          <w:noProof/>
          <w:sz w:val="24"/>
        </w:rPr>
        <w:t>bsolescence can</w:t>
      </w:r>
      <w:r w:rsidR="00185541" w:rsidRPr="009B5734">
        <w:rPr>
          <w:rFonts w:ascii="Times New Roman" w:hAnsi="Times New Roman"/>
          <w:b/>
          <w:noProof/>
          <w:sz w:val="24"/>
        </w:rPr>
        <w:t xml:space="preserve"> thus</w:t>
      </w:r>
      <w:r w:rsidR="00C1457D" w:rsidRPr="009B5734">
        <w:rPr>
          <w:rFonts w:ascii="Times New Roman" w:hAnsi="Times New Roman"/>
          <w:b/>
          <w:noProof/>
          <w:sz w:val="24"/>
        </w:rPr>
        <w:t xml:space="preserve"> </w:t>
      </w:r>
      <w:r w:rsidR="00185541" w:rsidRPr="009B5734">
        <w:rPr>
          <w:rFonts w:ascii="Times New Roman" w:hAnsi="Times New Roman"/>
          <w:b/>
          <w:noProof/>
          <w:sz w:val="24"/>
        </w:rPr>
        <w:t xml:space="preserve">also </w:t>
      </w:r>
      <w:r w:rsidR="00C1457D" w:rsidRPr="009B5734">
        <w:rPr>
          <w:rFonts w:ascii="Times New Roman" w:hAnsi="Times New Roman"/>
          <w:b/>
          <w:noProof/>
          <w:sz w:val="24"/>
        </w:rPr>
        <w:t>be linked to a limited but frequent set of practices</w:t>
      </w:r>
      <w:r w:rsidR="00C1457D" w:rsidRPr="009B5734">
        <w:rPr>
          <w:rFonts w:ascii="Times New Roman" w:hAnsi="Times New Roman"/>
          <w:noProof/>
          <w:sz w:val="24"/>
        </w:rPr>
        <w:t xml:space="preserve">, such as whether a component </w:t>
      </w:r>
      <w:r w:rsidR="00CC0E4B" w:rsidRPr="009B5734">
        <w:rPr>
          <w:rFonts w:ascii="Times New Roman" w:hAnsi="Times New Roman"/>
          <w:noProof/>
          <w:sz w:val="24"/>
        </w:rPr>
        <w:t xml:space="preserve">that is broken </w:t>
      </w:r>
      <w:r w:rsidR="00C1457D" w:rsidRPr="009B5734">
        <w:rPr>
          <w:rFonts w:ascii="Times New Roman" w:hAnsi="Times New Roman"/>
          <w:noProof/>
          <w:sz w:val="24"/>
        </w:rPr>
        <w:t xml:space="preserve">can be replaced by consumers </w:t>
      </w:r>
      <w:r w:rsidR="00CC0E4B" w:rsidRPr="009B5734">
        <w:rPr>
          <w:rFonts w:ascii="Times New Roman" w:hAnsi="Times New Roman"/>
          <w:noProof/>
          <w:sz w:val="24"/>
        </w:rPr>
        <w:t>and/</w:t>
      </w:r>
      <w:r w:rsidR="00C1457D" w:rsidRPr="009B5734">
        <w:rPr>
          <w:rFonts w:ascii="Times New Roman" w:hAnsi="Times New Roman"/>
          <w:noProof/>
          <w:sz w:val="24"/>
        </w:rPr>
        <w:t>or whether t</w:t>
      </w:r>
      <w:r w:rsidR="00CC0E4B" w:rsidRPr="009B5734">
        <w:rPr>
          <w:rFonts w:ascii="Times New Roman" w:hAnsi="Times New Roman"/>
          <w:noProof/>
          <w:sz w:val="24"/>
        </w:rPr>
        <w:t>hey are</w:t>
      </w:r>
      <w:r w:rsidR="00C1457D" w:rsidRPr="009B5734">
        <w:rPr>
          <w:rFonts w:ascii="Times New Roman" w:hAnsi="Times New Roman"/>
          <w:noProof/>
          <w:sz w:val="24"/>
        </w:rPr>
        <w:t xml:space="preserve"> prevented/hampered in doing so by the trader</w:t>
      </w:r>
      <w:r w:rsidR="00CC0E4B" w:rsidRPr="009B5734">
        <w:rPr>
          <w:rFonts w:ascii="Times New Roman" w:hAnsi="Times New Roman"/>
          <w:noProof/>
          <w:sz w:val="24"/>
        </w:rPr>
        <w:t xml:space="preserve">, </w:t>
      </w:r>
      <w:r w:rsidR="00C1457D" w:rsidRPr="009B5734">
        <w:rPr>
          <w:rFonts w:ascii="Times New Roman" w:hAnsi="Times New Roman"/>
          <w:noProof/>
          <w:sz w:val="24"/>
        </w:rPr>
        <w:t>whether traders a</w:t>
      </w:r>
      <w:r w:rsidR="00CC0E4B" w:rsidRPr="009B5734">
        <w:rPr>
          <w:rFonts w:ascii="Times New Roman" w:hAnsi="Times New Roman"/>
          <w:noProof/>
          <w:sz w:val="24"/>
        </w:rPr>
        <w:t>r</w:t>
      </w:r>
      <w:r w:rsidR="00C1457D" w:rsidRPr="009B5734">
        <w:rPr>
          <w:rFonts w:ascii="Times New Roman" w:hAnsi="Times New Roman"/>
          <w:noProof/>
          <w:sz w:val="24"/>
        </w:rPr>
        <w:t>e taking sufficient and quick remedial actions when they become aware of a frequent default in one of their products</w:t>
      </w:r>
      <w:r w:rsidR="00CC0E4B" w:rsidRPr="009B5734">
        <w:rPr>
          <w:rFonts w:ascii="Times New Roman" w:hAnsi="Times New Roman"/>
          <w:noProof/>
          <w:sz w:val="24"/>
        </w:rPr>
        <w:t xml:space="preserve"> etc</w:t>
      </w:r>
      <w:r w:rsidR="00F70F3E" w:rsidRPr="009B5734" w:rsidDel="00812613">
        <w:rPr>
          <w:rFonts w:ascii="Times New Roman" w:hAnsi="Times New Roman"/>
          <w:noProof/>
          <w:sz w:val="24"/>
        </w:rPr>
        <w:t>.</w:t>
      </w:r>
      <w:r w:rsidR="00C1457D" w:rsidRPr="009B5734" w:rsidDel="00812613">
        <w:rPr>
          <w:rFonts w:ascii="Times New Roman" w:hAnsi="Times New Roman"/>
          <w:noProof/>
          <w:sz w:val="24"/>
        </w:rPr>
        <w:t xml:space="preserve"> </w:t>
      </w:r>
    </w:p>
    <w:p w:rsidR="0011520C" w:rsidRPr="009B5734" w:rsidRDefault="00EA6843" w:rsidP="009F6C0E">
      <w:pPr>
        <w:pStyle w:val="BTNumbList"/>
        <w:rPr>
          <w:rFonts w:ascii="Times New Roman" w:hAnsi="Times New Roman"/>
          <w:noProof/>
          <w:sz w:val="24"/>
        </w:rPr>
      </w:pPr>
      <w:r w:rsidRPr="6B053803">
        <w:rPr>
          <w:rFonts w:ascii="Times New Roman" w:hAnsi="Times New Roman"/>
          <w:noProof/>
          <w:sz w:val="24"/>
        </w:rPr>
        <w:t xml:space="preserve">On top of these cases of early obsolescence, there have also been a number high-profile cases of </w:t>
      </w:r>
      <w:r w:rsidRPr="005D24D2">
        <w:rPr>
          <w:rFonts w:ascii="Times New Roman" w:hAnsi="Times New Roman"/>
          <w:b/>
          <w:bCs/>
          <w:noProof/>
          <w:sz w:val="24"/>
        </w:rPr>
        <w:t>planned obsolescence</w:t>
      </w:r>
      <w:r w:rsidRPr="6B053803">
        <w:rPr>
          <w:rFonts w:ascii="Times New Roman" w:hAnsi="Times New Roman"/>
          <w:noProof/>
          <w:sz w:val="24"/>
        </w:rPr>
        <w:t>, such as software updates having an impact on the performance of phones and accelerating their replacement, although consumers were not informed thereof</w:t>
      </w:r>
      <w:r w:rsidRPr="6B053803">
        <w:rPr>
          <w:rStyle w:val="FootnoteReference"/>
          <w:rFonts w:ascii="Times New Roman" w:hAnsi="Times New Roman"/>
          <w:noProof/>
          <w:sz w:val="24"/>
        </w:rPr>
        <w:footnoteReference w:id="54"/>
      </w:r>
      <w:r w:rsidR="00D064BB" w:rsidRPr="6B053803">
        <w:rPr>
          <w:rFonts w:ascii="Times New Roman" w:hAnsi="Times New Roman"/>
          <w:noProof/>
          <w:sz w:val="24"/>
        </w:rPr>
        <w:t>.</w:t>
      </w:r>
      <w:r w:rsidR="00593170" w:rsidRPr="009B5734">
        <w:rPr>
          <w:rFonts w:ascii="Times New Roman" w:hAnsi="Times New Roman"/>
          <w:noProof/>
          <w:sz w:val="24"/>
        </w:rPr>
        <w:t>It is important</w:t>
      </w:r>
      <w:r w:rsidR="00343F47" w:rsidRPr="009B5734">
        <w:rPr>
          <w:rFonts w:ascii="Times New Roman" w:hAnsi="Times New Roman"/>
          <w:noProof/>
          <w:sz w:val="24"/>
        </w:rPr>
        <w:t xml:space="preserve"> to note</w:t>
      </w:r>
      <w:r w:rsidR="002C00D2" w:rsidRPr="009B5734">
        <w:rPr>
          <w:rFonts w:ascii="Times New Roman" w:hAnsi="Times New Roman"/>
          <w:noProof/>
          <w:sz w:val="24"/>
        </w:rPr>
        <w:t>,</w:t>
      </w:r>
      <w:r w:rsidR="00593170" w:rsidRPr="009B5734">
        <w:rPr>
          <w:rFonts w:ascii="Times New Roman" w:hAnsi="Times New Roman"/>
          <w:noProof/>
          <w:sz w:val="24"/>
        </w:rPr>
        <w:t xml:space="preserve"> however</w:t>
      </w:r>
      <w:r w:rsidR="002C00D2" w:rsidRPr="009B5734">
        <w:rPr>
          <w:rFonts w:ascii="Times New Roman" w:hAnsi="Times New Roman"/>
          <w:noProof/>
          <w:sz w:val="24"/>
        </w:rPr>
        <w:t>,</w:t>
      </w:r>
      <w:r w:rsidR="00593170" w:rsidRPr="009B5734">
        <w:rPr>
          <w:rFonts w:ascii="Times New Roman" w:hAnsi="Times New Roman"/>
          <w:noProof/>
          <w:sz w:val="24"/>
        </w:rPr>
        <w:t xml:space="preserve"> </w:t>
      </w:r>
      <w:r w:rsidR="004A7CB3" w:rsidRPr="009B5734">
        <w:rPr>
          <w:rFonts w:ascii="Times New Roman" w:hAnsi="Times New Roman"/>
          <w:noProof/>
          <w:sz w:val="24"/>
        </w:rPr>
        <w:t>that</w:t>
      </w:r>
      <w:r w:rsidR="00593170" w:rsidRPr="009B5734">
        <w:rPr>
          <w:rFonts w:ascii="Times New Roman" w:hAnsi="Times New Roman"/>
          <w:noProof/>
          <w:sz w:val="24"/>
        </w:rPr>
        <w:t xml:space="preserve"> </w:t>
      </w:r>
      <w:r w:rsidR="00343F47" w:rsidRPr="009B5734">
        <w:rPr>
          <w:rFonts w:ascii="Times New Roman" w:hAnsi="Times New Roman"/>
          <w:noProof/>
          <w:sz w:val="24"/>
        </w:rPr>
        <w:t xml:space="preserve">a number of </w:t>
      </w:r>
      <w:r w:rsidR="00593170" w:rsidRPr="009B5734">
        <w:rPr>
          <w:rFonts w:ascii="Times New Roman" w:hAnsi="Times New Roman"/>
          <w:noProof/>
          <w:sz w:val="24"/>
        </w:rPr>
        <w:t>manufacturers/retailers</w:t>
      </w:r>
      <w:r w:rsidR="004A7CB3" w:rsidRPr="009B5734">
        <w:rPr>
          <w:rFonts w:ascii="Times New Roman" w:hAnsi="Times New Roman"/>
          <w:noProof/>
          <w:sz w:val="24"/>
        </w:rPr>
        <w:t xml:space="preserve"> argue that </w:t>
      </w:r>
      <w:r w:rsidR="002D0AF5" w:rsidRPr="009B5734">
        <w:rPr>
          <w:rFonts w:ascii="Times New Roman" w:hAnsi="Times New Roman"/>
          <w:noProof/>
          <w:sz w:val="24"/>
        </w:rPr>
        <w:t>planned</w:t>
      </w:r>
      <w:r w:rsidR="004A7CB3" w:rsidRPr="009B5734">
        <w:rPr>
          <w:rFonts w:ascii="Times New Roman" w:hAnsi="Times New Roman"/>
          <w:noProof/>
          <w:sz w:val="24"/>
        </w:rPr>
        <w:t xml:space="preserve"> obsolescence does not exist </w:t>
      </w:r>
      <w:r w:rsidR="00343F47" w:rsidRPr="009B5734">
        <w:rPr>
          <w:rFonts w:ascii="Times New Roman" w:hAnsi="Times New Roman"/>
          <w:noProof/>
          <w:sz w:val="24"/>
        </w:rPr>
        <w:t xml:space="preserve">as a practice </w:t>
      </w:r>
      <w:r w:rsidR="004A7CB3" w:rsidRPr="009B5734">
        <w:rPr>
          <w:rFonts w:ascii="Times New Roman" w:hAnsi="Times New Roman"/>
          <w:noProof/>
          <w:sz w:val="24"/>
        </w:rPr>
        <w:t>and that shorter lifespans are impacted by consumer behaviour such as poor maintenance and increased use</w:t>
      </w:r>
      <w:r w:rsidR="00593170" w:rsidRPr="009B5734">
        <w:rPr>
          <w:rFonts w:ascii="Times New Roman" w:hAnsi="Times New Roman"/>
          <w:noProof/>
          <w:sz w:val="24"/>
        </w:rPr>
        <w:t xml:space="preserve">. </w:t>
      </w:r>
    </w:p>
    <w:p w:rsidR="0011520C" w:rsidRPr="009B5734" w:rsidRDefault="0011520C" w:rsidP="009F6C0E">
      <w:pPr>
        <w:pStyle w:val="BTNumbList"/>
        <w:rPr>
          <w:rFonts w:ascii="Times New Roman" w:hAnsi="Times New Roman"/>
          <w:noProof/>
          <w:sz w:val="24"/>
        </w:rPr>
      </w:pPr>
    </w:p>
    <w:p w:rsidR="009F6C0E" w:rsidRPr="009B5734" w:rsidRDefault="00A00208" w:rsidP="00A00208">
      <w:pPr>
        <w:pStyle w:val="Heading4"/>
        <w:rPr>
          <w:noProof/>
        </w:rPr>
      </w:pPr>
      <w:bookmarkStart w:id="58" w:name="_Consumers_are_faced_1"/>
      <w:bookmarkStart w:id="59" w:name="_Toc58148999"/>
      <w:bookmarkStart w:id="60" w:name="_Toc58222377"/>
      <w:bookmarkStart w:id="61" w:name="_Toc58603174"/>
      <w:bookmarkStart w:id="62" w:name="_Toc58604034"/>
      <w:bookmarkStart w:id="63" w:name="_Toc58605351"/>
      <w:bookmarkStart w:id="64" w:name="_Toc60733995"/>
      <w:bookmarkEnd w:id="58"/>
      <w:r w:rsidRPr="00A00208">
        <w:t>2.2.2.</w:t>
      </w:r>
      <w:r w:rsidRPr="00A00208">
        <w:tab/>
      </w:r>
      <w:r w:rsidR="00CA57E7" w:rsidRPr="009B5734">
        <w:rPr>
          <w:noProof/>
        </w:rPr>
        <w:t>Consumers are faced with</w:t>
      </w:r>
      <w:r w:rsidR="00D60C0B" w:rsidRPr="009B5734">
        <w:rPr>
          <w:noProof/>
        </w:rPr>
        <w:t xml:space="preserve"> the practice of making</w:t>
      </w:r>
      <w:r w:rsidR="00CA57E7" w:rsidRPr="009B5734">
        <w:rPr>
          <w:noProof/>
        </w:rPr>
        <w:t xml:space="preserve"> unclear or not well-substantiated </w:t>
      </w:r>
      <w:r w:rsidR="002750F6" w:rsidRPr="009B5734">
        <w:rPr>
          <w:noProof/>
        </w:rPr>
        <w:t>environmental</w:t>
      </w:r>
      <w:r w:rsidR="00CA57E7" w:rsidRPr="009B5734">
        <w:rPr>
          <w:noProof/>
        </w:rPr>
        <w:t xml:space="preserve"> claims </w:t>
      </w:r>
      <w:r w:rsidR="00B85AE8" w:rsidRPr="009B5734">
        <w:rPr>
          <w:noProof/>
        </w:rPr>
        <w:t>(‘greenwashing’)</w:t>
      </w:r>
      <w:bookmarkEnd w:id="59"/>
      <w:bookmarkEnd w:id="60"/>
      <w:bookmarkEnd w:id="61"/>
      <w:bookmarkEnd w:id="62"/>
      <w:bookmarkEnd w:id="63"/>
      <w:bookmarkEnd w:id="64"/>
      <w:r w:rsidR="009F6C0E" w:rsidRPr="009B5734">
        <w:rPr>
          <w:noProof/>
        </w:rPr>
        <w:t xml:space="preserve"> </w:t>
      </w:r>
      <w:r w:rsidR="00532982" w:rsidRPr="009B5734">
        <w:rPr>
          <w:noProof/>
        </w:rPr>
        <w:t>(Sub-problem 2.2)</w:t>
      </w:r>
    </w:p>
    <w:p w:rsidR="00BC6184" w:rsidRPr="004931D3" w:rsidRDefault="00500068" w:rsidP="004931D3">
      <w:pPr>
        <w:pStyle w:val="BTNumbList"/>
        <w:spacing w:line="240" w:lineRule="auto"/>
        <w:rPr>
          <w:rFonts w:ascii="Times New Roman" w:hAnsi="Times New Roman"/>
          <w:noProof/>
          <w:sz w:val="24"/>
        </w:rPr>
      </w:pPr>
      <w:r w:rsidRPr="7F52AB9A">
        <w:rPr>
          <w:rFonts w:ascii="Times New Roman" w:hAnsi="Times New Roman"/>
          <w:b/>
          <w:bCs/>
          <w:noProof/>
          <w:sz w:val="24"/>
        </w:rPr>
        <w:t>Environmental (“green”) claims are</w:t>
      </w:r>
      <w:r w:rsidR="00B04F17" w:rsidRPr="7F52AB9A">
        <w:rPr>
          <w:rFonts w:ascii="Times New Roman" w:hAnsi="Times New Roman"/>
          <w:b/>
          <w:bCs/>
          <w:noProof/>
          <w:sz w:val="24"/>
        </w:rPr>
        <w:t xml:space="preserve"> defined as:</w:t>
      </w:r>
      <w:r w:rsidRPr="7F52AB9A">
        <w:rPr>
          <w:rFonts w:ascii="Times New Roman" w:hAnsi="Times New Roman"/>
          <w:b/>
          <w:bCs/>
          <w:noProof/>
          <w:sz w:val="24"/>
        </w:rPr>
        <w:t xml:space="preserve"> </w:t>
      </w:r>
      <w:r w:rsidR="00B04F17" w:rsidRPr="7F52AB9A">
        <w:rPr>
          <w:rFonts w:ascii="Times New Roman" w:hAnsi="Times New Roman"/>
          <w:noProof/>
          <w:color w:val="000000"/>
          <w:sz w:val="24"/>
        </w:rPr>
        <w:t>the practice of suggesting or otherwise creating the impression (in a commercial communication, marketing or advertising) that a good or a service has a positive or no impact on the environment or is less damaging to the environment than competing goods or services</w:t>
      </w:r>
      <w:r w:rsidRPr="7F52AB9A">
        <w:rPr>
          <w:rFonts w:ascii="Times New Roman" w:hAnsi="Times New Roman"/>
          <w:noProof/>
          <w:sz w:val="24"/>
        </w:rPr>
        <w:t>.</w:t>
      </w:r>
      <w:r w:rsidR="00532982" w:rsidRPr="7F52AB9A">
        <w:rPr>
          <w:rStyle w:val="FootnoteReference"/>
          <w:rFonts w:ascii="Times New Roman" w:hAnsi="Times New Roman"/>
          <w:noProof/>
          <w:sz w:val="24"/>
        </w:rPr>
        <w:footnoteReference w:id="55"/>
      </w:r>
      <w:r w:rsidRPr="7F52AB9A">
        <w:rPr>
          <w:rFonts w:ascii="Times New Roman" w:hAnsi="Times New Roman"/>
          <w:noProof/>
          <w:sz w:val="24"/>
        </w:rPr>
        <w:t xml:space="preserve"> Green claims can be </w:t>
      </w:r>
      <w:r w:rsidR="00DE33BB" w:rsidRPr="7F52AB9A">
        <w:rPr>
          <w:rFonts w:ascii="Times New Roman" w:hAnsi="Times New Roman"/>
          <w:noProof/>
          <w:sz w:val="24"/>
        </w:rPr>
        <w:t>explicit</w:t>
      </w:r>
      <w:r w:rsidRPr="7F52AB9A">
        <w:rPr>
          <w:rFonts w:ascii="Times New Roman" w:hAnsi="Times New Roman"/>
          <w:noProof/>
          <w:sz w:val="24"/>
        </w:rPr>
        <w:t xml:space="preserve"> (for instance</w:t>
      </w:r>
      <w:r w:rsidR="002C00D2" w:rsidRPr="7F52AB9A">
        <w:rPr>
          <w:rFonts w:ascii="Times New Roman" w:hAnsi="Times New Roman"/>
          <w:noProof/>
          <w:sz w:val="24"/>
        </w:rPr>
        <w:t>,</w:t>
      </w:r>
      <w:r w:rsidRPr="7F52AB9A">
        <w:rPr>
          <w:rFonts w:ascii="Times New Roman" w:hAnsi="Times New Roman"/>
          <w:noProof/>
          <w:sz w:val="24"/>
        </w:rPr>
        <w:t xml:space="preserve"> highlight the savings in greenhouse gas emissions due to a change of packaging), general (statements such as “green” product, “good for the environment” etc</w:t>
      </w:r>
      <w:r w:rsidR="002C00D2" w:rsidRPr="7F52AB9A">
        <w:rPr>
          <w:rFonts w:ascii="Times New Roman" w:hAnsi="Times New Roman"/>
          <w:noProof/>
          <w:sz w:val="24"/>
        </w:rPr>
        <w:t>.</w:t>
      </w:r>
      <w:r w:rsidRPr="7F52AB9A">
        <w:rPr>
          <w:rFonts w:ascii="Times New Roman" w:hAnsi="Times New Roman"/>
          <w:noProof/>
          <w:sz w:val="24"/>
        </w:rPr>
        <w:t xml:space="preserve">) </w:t>
      </w:r>
      <w:r w:rsidR="004F0A9E" w:rsidRPr="7F52AB9A">
        <w:rPr>
          <w:rFonts w:ascii="Times New Roman" w:hAnsi="Times New Roman"/>
          <w:noProof/>
          <w:sz w:val="24"/>
        </w:rPr>
        <w:t xml:space="preserve">or </w:t>
      </w:r>
      <w:r w:rsidRPr="7F52AB9A">
        <w:rPr>
          <w:rFonts w:ascii="Times New Roman" w:hAnsi="Times New Roman"/>
          <w:noProof/>
          <w:sz w:val="24"/>
        </w:rPr>
        <w:t>even implicit (e.g. use of the colour green</w:t>
      </w:r>
      <w:r w:rsidR="00CB749A" w:rsidRPr="7F52AB9A">
        <w:rPr>
          <w:rFonts w:ascii="Times New Roman" w:hAnsi="Times New Roman"/>
          <w:noProof/>
          <w:sz w:val="24"/>
        </w:rPr>
        <w:t>, certain images</w:t>
      </w:r>
      <w:r w:rsidRPr="7F52AB9A">
        <w:rPr>
          <w:rFonts w:ascii="Times New Roman" w:hAnsi="Times New Roman"/>
          <w:noProof/>
          <w:sz w:val="24"/>
        </w:rPr>
        <w:t xml:space="preserve"> etc</w:t>
      </w:r>
      <w:r w:rsidR="002C00D2" w:rsidRPr="7F52AB9A">
        <w:rPr>
          <w:rFonts w:ascii="Times New Roman" w:hAnsi="Times New Roman"/>
          <w:noProof/>
          <w:sz w:val="24"/>
        </w:rPr>
        <w:t>.</w:t>
      </w:r>
      <w:r w:rsidRPr="7F52AB9A">
        <w:rPr>
          <w:rFonts w:ascii="Times New Roman" w:hAnsi="Times New Roman"/>
          <w:noProof/>
          <w:sz w:val="24"/>
        </w:rPr>
        <w:t xml:space="preserve">). </w:t>
      </w:r>
      <w:r w:rsidR="00134C48" w:rsidRPr="7F52AB9A">
        <w:rPr>
          <w:rFonts w:ascii="Times New Roman" w:hAnsi="Times New Roman"/>
          <w:noProof/>
          <w:sz w:val="24"/>
        </w:rPr>
        <w:t>Whether a green claim can be said to have been made</w:t>
      </w:r>
      <w:r w:rsidR="00EF2519" w:rsidRPr="7F52AB9A">
        <w:rPr>
          <w:rFonts w:ascii="Times New Roman" w:hAnsi="Times New Roman"/>
          <w:noProof/>
          <w:sz w:val="24"/>
        </w:rPr>
        <w:t xml:space="preserve"> would</w:t>
      </w:r>
      <w:r w:rsidR="00134C48" w:rsidRPr="7F52AB9A">
        <w:rPr>
          <w:rFonts w:ascii="Times New Roman" w:hAnsi="Times New Roman"/>
          <w:noProof/>
          <w:sz w:val="24"/>
        </w:rPr>
        <w:t xml:space="preserve"> therefore </w:t>
      </w:r>
      <w:r w:rsidR="00EF2519" w:rsidRPr="7F52AB9A">
        <w:rPr>
          <w:rFonts w:ascii="Times New Roman" w:hAnsi="Times New Roman"/>
          <w:noProof/>
          <w:sz w:val="24"/>
        </w:rPr>
        <w:t xml:space="preserve">often </w:t>
      </w:r>
      <w:r w:rsidR="00134C48" w:rsidRPr="7F52AB9A">
        <w:rPr>
          <w:rFonts w:ascii="Times New Roman" w:hAnsi="Times New Roman"/>
          <w:noProof/>
          <w:sz w:val="24"/>
        </w:rPr>
        <w:t>require a concrete assessment on a case</w:t>
      </w:r>
      <w:r w:rsidR="00D064BB" w:rsidRPr="7F52AB9A">
        <w:rPr>
          <w:rFonts w:ascii="Times New Roman" w:hAnsi="Times New Roman"/>
          <w:noProof/>
          <w:sz w:val="24"/>
        </w:rPr>
        <w:t>-</w:t>
      </w:r>
      <w:r w:rsidR="00134C48" w:rsidRPr="7F52AB9A">
        <w:rPr>
          <w:rFonts w:ascii="Times New Roman" w:hAnsi="Times New Roman"/>
          <w:noProof/>
          <w:sz w:val="24"/>
        </w:rPr>
        <w:t>by</w:t>
      </w:r>
      <w:r w:rsidR="00D064BB" w:rsidRPr="7F52AB9A">
        <w:rPr>
          <w:rFonts w:ascii="Times New Roman" w:hAnsi="Times New Roman"/>
          <w:noProof/>
          <w:sz w:val="24"/>
        </w:rPr>
        <w:t>-</w:t>
      </w:r>
      <w:r w:rsidR="00134C48" w:rsidRPr="7F52AB9A">
        <w:rPr>
          <w:rFonts w:ascii="Times New Roman" w:hAnsi="Times New Roman"/>
          <w:noProof/>
          <w:sz w:val="24"/>
        </w:rPr>
        <w:t xml:space="preserve">case basis. </w:t>
      </w:r>
      <w:r w:rsidR="00393B67" w:rsidRPr="7F52AB9A">
        <w:rPr>
          <w:rFonts w:ascii="Times New Roman" w:hAnsi="Times New Roman"/>
          <w:noProof/>
          <w:sz w:val="24"/>
        </w:rPr>
        <w:t>A green claim can be made using a label</w:t>
      </w:r>
      <w:r w:rsidR="00D52EFD" w:rsidRPr="7F52AB9A">
        <w:rPr>
          <w:rFonts w:ascii="Times New Roman" w:hAnsi="Times New Roman"/>
          <w:noProof/>
          <w:sz w:val="24"/>
        </w:rPr>
        <w:t xml:space="preserve"> or otherwise. Therefore, the options considered to combat certain types of misleading green claims, whether in this initiative or in the </w:t>
      </w:r>
      <w:r w:rsidR="00DC4EA0" w:rsidRPr="00164A6B">
        <w:rPr>
          <w:rFonts w:ascii="Times New Roman" w:hAnsi="Times New Roman"/>
          <w:noProof/>
          <w:sz w:val="24"/>
        </w:rPr>
        <w:t>forthcoming</w:t>
      </w:r>
      <w:r w:rsidR="00DC4EA0">
        <w:rPr>
          <w:rFonts w:ascii="Times New Roman" w:hAnsi="Times New Roman"/>
          <w:noProof/>
          <w:sz w:val="24"/>
        </w:rPr>
        <w:t xml:space="preserve"> </w:t>
      </w:r>
      <w:r w:rsidR="00D52EFD" w:rsidRPr="7F52AB9A">
        <w:rPr>
          <w:rFonts w:ascii="Times New Roman" w:hAnsi="Times New Roman"/>
          <w:noProof/>
          <w:sz w:val="24"/>
        </w:rPr>
        <w:t xml:space="preserve">complementary Green Claims Initiative, </w:t>
      </w:r>
      <w:r w:rsidR="00134C48" w:rsidRPr="7F52AB9A">
        <w:rPr>
          <w:rFonts w:ascii="Times New Roman" w:hAnsi="Times New Roman"/>
          <w:noProof/>
          <w:sz w:val="24"/>
        </w:rPr>
        <w:t xml:space="preserve">would </w:t>
      </w:r>
      <w:r w:rsidR="00D52EFD" w:rsidRPr="7F52AB9A">
        <w:rPr>
          <w:rFonts w:ascii="Times New Roman" w:hAnsi="Times New Roman"/>
          <w:noProof/>
          <w:sz w:val="24"/>
        </w:rPr>
        <w:t xml:space="preserve">apply to labels insofar as those labels make a green claim of the type in question. </w:t>
      </w:r>
      <w:r w:rsidR="005E35B3" w:rsidRPr="7F52AB9A">
        <w:rPr>
          <w:rFonts w:ascii="Times New Roman" w:hAnsi="Times New Roman"/>
          <w:noProof/>
          <w:sz w:val="24"/>
        </w:rPr>
        <w:t>A further specific problem relating to</w:t>
      </w:r>
      <w:r w:rsidR="00D52EFD" w:rsidRPr="7F52AB9A">
        <w:rPr>
          <w:rFonts w:ascii="Times New Roman" w:hAnsi="Times New Roman"/>
          <w:noProof/>
          <w:sz w:val="24"/>
        </w:rPr>
        <w:t xml:space="preserve"> sustainability labels will be addressed</w:t>
      </w:r>
      <w:r w:rsidR="005E35B3" w:rsidRPr="7F52AB9A">
        <w:rPr>
          <w:rFonts w:ascii="Times New Roman" w:hAnsi="Times New Roman"/>
          <w:noProof/>
          <w:sz w:val="24"/>
        </w:rPr>
        <w:t xml:space="preserve"> in </w:t>
      </w:r>
      <w:hyperlink w:anchor="_Consumers_are_faced" w:history="1">
        <w:r w:rsidR="005E35B3" w:rsidRPr="7F52AB9A">
          <w:rPr>
            <w:rStyle w:val="Hyperlink"/>
            <w:rFonts w:ascii="Times New Roman" w:hAnsi="Times New Roman"/>
            <w:noProof/>
            <w:sz w:val="24"/>
          </w:rPr>
          <w:t>section 2.2.</w:t>
        </w:r>
        <w:r w:rsidR="00EE7C4A" w:rsidRPr="7F52AB9A">
          <w:rPr>
            <w:rStyle w:val="Hyperlink"/>
            <w:rFonts w:ascii="Times New Roman" w:hAnsi="Times New Roman"/>
            <w:noProof/>
            <w:sz w:val="24"/>
          </w:rPr>
          <w:t>3</w:t>
        </w:r>
      </w:hyperlink>
      <w:r w:rsidR="005E35B3" w:rsidRPr="7F52AB9A">
        <w:rPr>
          <w:rFonts w:ascii="Times New Roman" w:hAnsi="Times New Roman"/>
          <w:noProof/>
          <w:sz w:val="24"/>
        </w:rPr>
        <w:t xml:space="preserve"> below.</w:t>
      </w:r>
      <w:r w:rsidR="00795637" w:rsidRPr="7F52AB9A">
        <w:rPr>
          <w:rFonts w:ascii="Times New Roman" w:hAnsi="Times New Roman"/>
          <w:noProof/>
          <w:sz w:val="24"/>
        </w:rPr>
        <w:t xml:space="preserve"> </w:t>
      </w:r>
      <w:r w:rsidR="00BC6184" w:rsidRPr="7F52AB9A">
        <w:rPr>
          <w:rFonts w:ascii="Times New Roman" w:hAnsi="Times New Roman"/>
          <w:noProof/>
          <w:sz w:val="24"/>
        </w:rPr>
        <w:t xml:space="preserve">A recent </w:t>
      </w:r>
      <w:r w:rsidR="00981027" w:rsidRPr="7F52AB9A">
        <w:rPr>
          <w:rFonts w:ascii="Times New Roman" w:hAnsi="Times New Roman"/>
          <w:noProof/>
          <w:sz w:val="24"/>
        </w:rPr>
        <w:t xml:space="preserve">Commission </w:t>
      </w:r>
      <w:r w:rsidR="0099367A" w:rsidRPr="7F52AB9A">
        <w:rPr>
          <w:rFonts w:ascii="Times New Roman" w:hAnsi="Times New Roman"/>
          <w:noProof/>
          <w:sz w:val="24"/>
        </w:rPr>
        <w:t>study on environmental claims</w:t>
      </w:r>
      <w:r w:rsidR="00BC6184" w:rsidRPr="7F52AB9A">
        <w:rPr>
          <w:rFonts w:ascii="Times New Roman" w:hAnsi="Times New Roman"/>
          <w:noProof/>
          <w:sz w:val="24"/>
        </w:rPr>
        <w:t xml:space="preserve"> found that 80% of webshops, webpages and advertisements surveyed contained green claims</w:t>
      </w:r>
      <w:r w:rsidR="00D064BB" w:rsidRPr="7F52AB9A">
        <w:rPr>
          <w:rStyle w:val="FootnoteReference"/>
          <w:rFonts w:ascii="Times New Roman" w:hAnsi="Times New Roman"/>
          <w:noProof/>
          <w:sz w:val="24"/>
        </w:rPr>
        <w:footnoteReference w:id="56"/>
      </w:r>
      <w:r w:rsidR="00BC6184" w:rsidRPr="7F52AB9A">
        <w:rPr>
          <w:rFonts w:ascii="Times New Roman" w:hAnsi="Times New Roman"/>
          <w:noProof/>
          <w:sz w:val="24"/>
        </w:rPr>
        <w:t>. 45% of the total were implicit claims (imagery and colours su</w:t>
      </w:r>
      <w:r w:rsidR="002E1BF2" w:rsidRPr="7F52AB9A">
        <w:rPr>
          <w:rFonts w:ascii="Times New Roman" w:hAnsi="Times New Roman"/>
          <w:noProof/>
          <w:sz w:val="24"/>
        </w:rPr>
        <w:t xml:space="preserve">ggesting environmental benefit), </w:t>
      </w:r>
      <w:r w:rsidR="00BC6184" w:rsidRPr="7F52AB9A">
        <w:rPr>
          <w:rFonts w:ascii="Times New Roman" w:hAnsi="Times New Roman"/>
          <w:noProof/>
          <w:sz w:val="24"/>
        </w:rPr>
        <w:t>35% were explicit claims (logos, labels and textual claims)</w:t>
      </w:r>
      <w:r w:rsidR="002E1BF2" w:rsidRPr="7F52AB9A">
        <w:rPr>
          <w:rFonts w:ascii="Times New Roman" w:hAnsi="Times New Roman"/>
          <w:noProof/>
          <w:sz w:val="24"/>
        </w:rPr>
        <w:t xml:space="preserve"> and 21% were vague, general claims</w:t>
      </w:r>
      <w:r w:rsidR="00BC6184" w:rsidRPr="7F52AB9A">
        <w:rPr>
          <w:rFonts w:ascii="Times New Roman" w:hAnsi="Times New Roman"/>
          <w:noProof/>
          <w:sz w:val="24"/>
        </w:rPr>
        <w:t>. Such a high prevalence was also identified in the mystery shopping carried out for this I</w:t>
      </w:r>
      <w:r w:rsidR="0096347B" w:rsidRPr="7F52AB9A">
        <w:rPr>
          <w:rFonts w:ascii="Times New Roman" w:hAnsi="Times New Roman"/>
          <w:noProof/>
          <w:sz w:val="24"/>
        </w:rPr>
        <w:t xml:space="preserve">mpact </w:t>
      </w:r>
      <w:r w:rsidR="00BC6184" w:rsidRPr="7F52AB9A">
        <w:rPr>
          <w:rFonts w:ascii="Times New Roman" w:hAnsi="Times New Roman"/>
          <w:noProof/>
          <w:sz w:val="24"/>
        </w:rPr>
        <w:t>A</w:t>
      </w:r>
      <w:r w:rsidR="0096347B" w:rsidRPr="7F52AB9A">
        <w:rPr>
          <w:rFonts w:ascii="Times New Roman" w:hAnsi="Times New Roman"/>
          <w:noProof/>
          <w:sz w:val="24"/>
        </w:rPr>
        <w:t>ssessment</w:t>
      </w:r>
      <w:r w:rsidR="009216C5" w:rsidRPr="7F52AB9A">
        <w:rPr>
          <w:rStyle w:val="FootnoteReference"/>
          <w:rFonts w:ascii="Times New Roman" w:hAnsi="Times New Roman"/>
          <w:noProof/>
          <w:sz w:val="24"/>
        </w:rPr>
        <w:footnoteReference w:id="57"/>
      </w:r>
      <w:r w:rsidR="009216C5" w:rsidRPr="7F52AB9A">
        <w:rPr>
          <w:rFonts w:ascii="Times New Roman" w:hAnsi="Times New Roman"/>
          <w:noProof/>
          <w:sz w:val="24"/>
        </w:rPr>
        <w:t>.</w:t>
      </w:r>
      <w:r w:rsidR="009216C5" w:rsidRPr="7F52AB9A" w:rsidDel="00C17FAD">
        <w:rPr>
          <w:rFonts w:ascii="Times New Roman" w:hAnsi="Times New Roman"/>
          <w:noProof/>
          <w:sz w:val="24"/>
        </w:rPr>
        <w:t xml:space="preserve"> </w:t>
      </w:r>
    </w:p>
    <w:p w:rsidR="00413F0A" w:rsidRPr="009B5734" w:rsidRDefault="00413F0A" w:rsidP="00413F0A">
      <w:pPr>
        <w:pStyle w:val="BTNumbList"/>
        <w:spacing w:line="240" w:lineRule="auto"/>
        <w:rPr>
          <w:rFonts w:ascii="Times New Roman" w:hAnsi="Times New Roman"/>
          <w:noProof/>
          <w:sz w:val="24"/>
        </w:rPr>
      </w:pPr>
      <w:r w:rsidRPr="7F52AB9A">
        <w:rPr>
          <w:rFonts w:ascii="Times New Roman" w:hAnsi="Times New Roman"/>
          <w:noProof/>
          <w:sz w:val="24"/>
        </w:rPr>
        <w:t xml:space="preserve">The aforementioned </w:t>
      </w:r>
      <w:r w:rsidR="0099367A" w:rsidRPr="7F52AB9A">
        <w:rPr>
          <w:rFonts w:ascii="Times New Roman" w:hAnsi="Times New Roman"/>
          <w:noProof/>
          <w:sz w:val="24"/>
        </w:rPr>
        <w:t>study assessed 150 environmental claims and found</w:t>
      </w:r>
      <w:r w:rsidRPr="7F52AB9A">
        <w:rPr>
          <w:rFonts w:ascii="Times New Roman" w:hAnsi="Times New Roman"/>
          <w:noProof/>
          <w:sz w:val="24"/>
        </w:rPr>
        <w:t xml:space="preserve"> that </w:t>
      </w:r>
      <w:r w:rsidRPr="7F52AB9A">
        <w:rPr>
          <w:rFonts w:ascii="Times New Roman" w:hAnsi="Times New Roman"/>
          <w:b/>
          <w:bCs/>
          <w:noProof/>
          <w:sz w:val="24"/>
        </w:rPr>
        <w:t xml:space="preserve">a considerable share (53.3%) of </w:t>
      </w:r>
      <w:r w:rsidR="0099367A" w:rsidRPr="7F52AB9A">
        <w:rPr>
          <w:rFonts w:ascii="Times New Roman" w:hAnsi="Times New Roman"/>
          <w:b/>
          <w:bCs/>
          <w:noProof/>
          <w:sz w:val="24"/>
        </w:rPr>
        <w:t>them</w:t>
      </w:r>
      <w:r w:rsidRPr="7F52AB9A">
        <w:rPr>
          <w:rFonts w:ascii="Times New Roman" w:hAnsi="Times New Roman"/>
          <w:b/>
          <w:bCs/>
          <w:noProof/>
          <w:sz w:val="24"/>
        </w:rPr>
        <w:t xml:space="preserve"> provide vague, misleading or unfounded information on products’ environmental characteristics</w:t>
      </w:r>
      <w:r w:rsidRPr="7F52AB9A">
        <w:rPr>
          <w:rFonts w:ascii="Times New Roman" w:hAnsi="Times New Roman"/>
          <w:noProof/>
          <w:sz w:val="24"/>
        </w:rPr>
        <w:t xml:space="preserve"> across the EU and in a wide range of product groups (both in advertisement as well as on the product). These results have also been confirmed by the outcome of a recent “sweep”</w:t>
      </w:r>
      <w:r w:rsidRPr="7F52AB9A">
        <w:rPr>
          <w:rStyle w:val="FootnoteReference"/>
          <w:rFonts w:ascii="Times New Roman" w:hAnsi="Times New Roman"/>
          <w:noProof/>
          <w:sz w:val="24"/>
        </w:rPr>
        <w:footnoteReference w:id="58"/>
      </w:r>
      <w:r w:rsidRPr="7F52AB9A">
        <w:rPr>
          <w:rFonts w:ascii="Times New Roman" w:hAnsi="Times New Roman"/>
          <w:noProof/>
          <w:sz w:val="24"/>
        </w:rPr>
        <w:t xml:space="preserve"> carried out by the Consumer Protection Cooperation authorities</w:t>
      </w:r>
      <w:r w:rsidRPr="7F52AB9A">
        <w:rPr>
          <w:rStyle w:val="FootnoteReference"/>
          <w:rFonts w:ascii="Times New Roman" w:hAnsi="Times New Roman"/>
          <w:noProof/>
          <w:sz w:val="24"/>
        </w:rPr>
        <w:footnoteReference w:id="59"/>
      </w:r>
      <w:r w:rsidRPr="7F52AB9A">
        <w:rPr>
          <w:rFonts w:ascii="Times New Roman" w:hAnsi="Times New Roman"/>
          <w:noProof/>
          <w:sz w:val="24"/>
        </w:rPr>
        <w:t xml:space="preserve">. Out of the 344 sustainability claims assessed throughout November 2020, authorities had at least a </w:t>
      </w:r>
      <w:r w:rsidRPr="7F52AB9A">
        <w:rPr>
          <w:rFonts w:ascii="Times New Roman" w:hAnsi="Times New Roman"/>
          <w:b/>
          <w:bCs/>
          <w:noProof/>
          <w:sz w:val="24"/>
        </w:rPr>
        <w:t>reasonable doubt that the claim may be false or deceptive in almost half of the cases</w:t>
      </w:r>
      <w:r w:rsidR="00154473" w:rsidRPr="7F52AB9A">
        <w:rPr>
          <w:rFonts w:ascii="Times New Roman" w:hAnsi="Times New Roman"/>
          <w:b/>
          <w:bCs/>
          <w:noProof/>
          <w:sz w:val="24"/>
        </w:rPr>
        <w:t xml:space="preserve"> (42%), and therefore that these could potentially amount to</w:t>
      </w:r>
      <w:r w:rsidRPr="7F52AB9A">
        <w:rPr>
          <w:rFonts w:ascii="Times New Roman" w:hAnsi="Times New Roman"/>
          <w:noProof/>
          <w:sz w:val="24"/>
        </w:rPr>
        <w:t xml:space="preserve"> </w:t>
      </w:r>
      <w:r w:rsidRPr="7F52AB9A">
        <w:rPr>
          <w:rFonts w:ascii="Times New Roman" w:hAnsi="Times New Roman"/>
          <w:b/>
          <w:bCs/>
          <w:noProof/>
          <w:sz w:val="24"/>
        </w:rPr>
        <w:t>an unfair commercial practice under the UCPD</w:t>
      </w:r>
      <w:r w:rsidRPr="7F52AB9A">
        <w:rPr>
          <w:rFonts w:ascii="Times New Roman" w:hAnsi="Times New Roman"/>
          <w:noProof/>
          <w:sz w:val="24"/>
        </w:rPr>
        <w:t xml:space="preserve">. CPC authorities considered that in </w:t>
      </w:r>
      <w:r w:rsidR="00154473" w:rsidRPr="7F52AB9A">
        <w:rPr>
          <w:rFonts w:ascii="Times New Roman" w:hAnsi="Times New Roman"/>
          <w:noProof/>
          <w:sz w:val="24"/>
        </w:rPr>
        <w:t>more than</w:t>
      </w:r>
      <w:r w:rsidRPr="7F52AB9A">
        <w:rPr>
          <w:rFonts w:ascii="Times New Roman" w:hAnsi="Times New Roman"/>
          <w:noProof/>
          <w:sz w:val="24"/>
        </w:rPr>
        <w:t xml:space="preserve"> half of the cases</w:t>
      </w:r>
      <w:r w:rsidR="00154473" w:rsidRPr="7F52AB9A">
        <w:rPr>
          <w:rFonts w:ascii="Times New Roman" w:hAnsi="Times New Roman"/>
          <w:noProof/>
          <w:sz w:val="24"/>
        </w:rPr>
        <w:t xml:space="preserve"> (57.5%),</w:t>
      </w:r>
      <w:r w:rsidRPr="7F52AB9A">
        <w:rPr>
          <w:rFonts w:ascii="Times New Roman" w:hAnsi="Times New Roman"/>
          <w:noProof/>
          <w:sz w:val="24"/>
        </w:rPr>
        <w:t xml:space="preserve"> the trader </w:t>
      </w:r>
      <w:r w:rsidR="00154473" w:rsidRPr="7F52AB9A">
        <w:rPr>
          <w:rFonts w:ascii="Times New Roman" w:hAnsi="Times New Roman"/>
          <w:noProof/>
          <w:sz w:val="24"/>
        </w:rPr>
        <w:t xml:space="preserve">did not </w:t>
      </w:r>
      <w:r w:rsidRPr="7F52AB9A">
        <w:rPr>
          <w:rFonts w:ascii="Times New Roman" w:hAnsi="Times New Roman"/>
          <w:noProof/>
          <w:sz w:val="24"/>
        </w:rPr>
        <w:t>provide sufficient elements allowing for a judgement about the claim’s accuracy</w:t>
      </w:r>
      <w:r w:rsidR="00154473" w:rsidRPr="7F52AB9A">
        <w:rPr>
          <w:rFonts w:ascii="Times New Roman" w:hAnsi="Times New Roman"/>
          <w:noProof/>
          <w:sz w:val="24"/>
        </w:rPr>
        <w:t>.</w:t>
      </w:r>
      <w:r w:rsidRPr="7F52AB9A">
        <w:rPr>
          <w:rFonts w:ascii="Times New Roman" w:hAnsi="Times New Roman"/>
          <w:noProof/>
          <w:sz w:val="24"/>
        </w:rPr>
        <w:t xml:space="preserve"> In many cases, authorities had difficulties identifying whether the claim covered the whole product or only one of its components (50%), whether it referred to the company or only certain products (36%) and which stage of the product’s lifecycle it covered (75%). </w:t>
      </w:r>
      <w:r w:rsidRPr="7F52AB9A">
        <w:rPr>
          <w:rFonts w:ascii="Times New Roman" w:hAnsi="Times New Roman"/>
          <w:b/>
          <w:bCs/>
          <w:noProof/>
          <w:sz w:val="24"/>
        </w:rPr>
        <w:t>37% of the claims included vague statements</w:t>
      </w:r>
      <w:r w:rsidRPr="7F52AB9A">
        <w:rPr>
          <w:rFonts w:ascii="Times New Roman" w:hAnsi="Times New Roman"/>
          <w:noProof/>
          <w:sz w:val="24"/>
        </w:rPr>
        <w:t xml:space="preserve"> (such as “green”, “nature’s friend”) </w:t>
      </w:r>
      <w:r w:rsidRPr="7F52AB9A">
        <w:rPr>
          <w:rFonts w:ascii="Times New Roman" w:hAnsi="Times New Roman"/>
          <w:b/>
          <w:bCs/>
          <w:noProof/>
          <w:sz w:val="24"/>
        </w:rPr>
        <w:t>likely to deceive consumers</w:t>
      </w:r>
      <w:r w:rsidRPr="7F52AB9A">
        <w:rPr>
          <w:rFonts w:ascii="Times New Roman" w:hAnsi="Times New Roman"/>
          <w:noProof/>
          <w:sz w:val="24"/>
        </w:rPr>
        <w:t xml:space="preserve">. </w:t>
      </w:r>
    </w:p>
    <w:p w:rsidR="0071286B" w:rsidRPr="009B5734" w:rsidDel="00BC6184" w:rsidRDefault="0071286B" w:rsidP="009F6C0E">
      <w:pPr>
        <w:pStyle w:val="BTNumbList"/>
        <w:spacing w:line="240" w:lineRule="auto"/>
        <w:rPr>
          <w:rFonts w:ascii="Times New Roman" w:hAnsi="Times New Roman"/>
          <w:noProof/>
          <w:sz w:val="24"/>
        </w:rPr>
      </w:pPr>
      <w:r w:rsidRPr="009B5734">
        <w:rPr>
          <w:rFonts w:ascii="Times New Roman" w:hAnsi="Times New Roman"/>
          <w:noProof/>
          <w:sz w:val="24"/>
        </w:rPr>
        <w:t xml:space="preserve">Most </w:t>
      </w:r>
      <w:r w:rsidR="002750F6" w:rsidRPr="009B5734">
        <w:rPr>
          <w:rFonts w:ascii="Times New Roman" w:hAnsi="Times New Roman"/>
          <w:noProof/>
          <w:sz w:val="24"/>
        </w:rPr>
        <w:t>stakeholders</w:t>
      </w:r>
      <w:r w:rsidRPr="009B5734">
        <w:rPr>
          <w:rFonts w:ascii="Times New Roman" w:hAnsi="Times New Roman"/>
          <w:noProof/>
          <w:sz w:val="24"/>
        </w:rPr>
        <w:t xml:space="preserve"> consulted for this I</w:t>
      </w:r>
      <w:r w:rsidR="0096347B" w:rsidRPr="009B5734">
        <w:rPr>
          <w:rFonts w:ascii="Times New Roman" w:hAnsi="Times New Roman"/>
          <w:noProof/>
          <w:sz w:val="24"/>
        </w:rPr>
        <w:t xml:space="preserve">mpact </w:t>
      </w:r>
      <w:r w:rsidRPr="009B5734">
        <w:rPr>
          <w:rFonts w:ascii="Times New Roman" w:hAnsi="Times New Roman"/>
          <w:noProof/>
          <w:sz w:val="24"/>
        </w:rPr>
        <w:t>A</w:t>
      </w:r>
      <w:r w:rsidR="0096347B" w:rsidRPr="009B5734">
        <w:rPr>
          <w:rFonts w:ascii="Times New Roman" w:hAnsi="Times New Roman"/>
          <w:noProof/>
          <w:sz w:val="24"/>
        </w:rPr>
        <w:t>ssessment</w:t>
      </w:r>
      <w:r w:rsidRPr="009B5734">
        <w:rPr>
          <w:rFonts w:ascii="Times New Roman" w:hAnsi="Times New Roman"/>
          <w:noProof/>
          <w:sz w:val="24"/>
        </w:rPr>
        <w:t xml:space="preserve"> agreed that greenwashing is a problem, with the noticeable exception of industry representatives. </w:t>
      </w:r>
      <w:r w:rsidR="00BC6184" w:rsidRPr="009B5734">
        <w:rPr>
          <w:rFonts w:ascii="Times New Roman" w:hAnsi="Times New Roman"/>
          <w:noProof/>
          <w:sz w:val="24"/>
        </w:rPr>
        <w:t>The results of the stakeholder consultations on the potential future use of the Product Environmental Footprint (PEF) and Organisation Environmental Footprint (OEF) methods</w:t>
      </w:r>
      <w:r w:rsidR="00BC6184" w:rsidRPr="009B5734">
        <w:rPr>
          <w:rStyle w:val="FootnoteReference"/>
          <w:rFonts w:ascii="Times New Roman" w:hAnsi="Times New Roman"/>
          <w:noProof/>
          <w:sz w:val="24"/>
        </w:rPr>
        <w:footnoteReference w:id="60"/>
      </w:r>
      <w:r w:rsidR="00BC6184" w:rsidRPr="009B5734">
        <w:rPr>
          <w:rFonts w:ascii="Times New Roman" w:hAnsi="Times New Roman"/>
          <w:noProof/>
          <w:sz w:val="24"/>
        </w:rPr>
        <w:t xml:space="preserve"> show that 56%</w:t>
      </w:r>
      <w:r w:rsidR="002C00D2" w:rsidRPr="009B5734">
        <w:rPr>
          <w:rFonts w:ascii="Times New Roman" w:hAnsi="Times New Roman"/>
          <w:noProof/>
          <w:sz w:val="24"/>
        </w:rPr>
        <w:t xml:space="preserve"> of</w:t>
      </w:r>
      <w:r w:rsidR="00BC6184" w:rsidRPr="009B5734">
        <w:rPr>
          <w:rFonts w:ascii="Times New Roman" w:hAnsi="Times New Roman"/>
          <w:noProof/>
          <w:sz w:val="24"/>
        </w:rPr>
        <w:t xml:space="preserve"> respondents </w:t>
      </w:r>
      <w:r w:rsidR="0096347B" w:rsidRPr="009B5734">
        <w:rPr>
          <w:rFonts w:ascii="Times New Roman" w:hAnsi="Times New Roman"/>
          <w:noProof/>
          <w:sz w:val="24"/>
        </w:rPr>
        <w:t>have</w:t>
      </w:r>
      <w:r w:rsidR="00BC6184" w:rsidRPr="009B5734">
        <w:rPr>
          <w:rFonts w:ascii="Times New Roman" w:hAnsi="Times New Roman"/>
          <w:noProof/>
          <w:sz w:val="24"/>
        </w:rPr>
        <w:t xml:space="preserve"> already encountered misleading </w:t>
      </w:r>
      <w:r w:rsidR="0096347B" w:rsidRPr="009B5734">
        <w:rPr>
          <w:rFonts w:ascii="Times New Roman" w:hAnsi="Times New Roman"/>
          <w:noProof/>
          <w:sz w:val="24"/>
        </w:rPr>
        <w:t xml:space="preserve">green </w:t>
      </w:r>
      <w:r w:rsidR="00BC6184" w:rsidRPr="009B5734">
        <w:rPr>
          <w:rFonts w:ascii="Times New Roman" w:hAnsi="Times New Roman"/>
          <w:noProof/>
          <w:sz w:val="24"/>
        </w:rPr>
        <w:t xml:space="preserve">claims.  </w:t>
      </w:r>
    </w:p>
    <w:p w:rsidR="00AB2655" w:rsidRPr="009B5734" w:rsidRDefault="00AB2655" w:rsidP="003D42C7">
      <w:pPr>
        <w:pStyle w:val="BTNumbList"/>
        <w:spacing w:line="240" w:lineRule="auto"/>
        <w:rPr>
          <w:rFonts w:ascii="Times New Roman" w:hAnsi="Times New Roman"/>
          <w:noProof/>
          <w:sz w:val="24"/>
        </w:rPr>
      </w:pPr>
    </w:p>
    <w:p w:rsidR="009F6C0E" w:rsidRPr="009B5734" w:rsidRDefault="00A00208" w:rsidP="00A00208">
      <w:pPr>
        <w:pStyle w:val="Heading4"/>
        <w:rPr>
          <w:noProof/>
        </w:rPr>
      </w:pPr>
      <w:bookmarkStart w:id="65" w:name="_Consumers_are_faced"/>
      <w:bookmarkStart w:id="66" w:name="_Toc58149000"/>
      <w:bookmarkStart w:id="67" w:name="_Toc58222378"/>
      <w:bookmarkStart w:id="68" w:name="_Toc58603175"/>
      <w:bookmarkStart w:id="69" w:name="_Toc58604035"/>
      <w:bookmarkStart w:id="70" w:name="_Toc58605352"/>
      <w:bookmarkStart w:id="71" w:name="_Toc60733996"/>
      <w:bookmarkEnd w:id="65"/>
      <w:r w:rsidRPr="00A00208">
        <w:t>2.2.3.</w:t>
      </w:r>
      <w:r w:rsidRPr="00A00208">
        <w:tab/>
      </w:r>
      <w:r w:rsidR="00D60C0B" w:rsidRPr="009B5734">
        <w:rPr>
          <w:noProof/>
        </w:rPr>
        <w:t xml:space="preserve">Consumers are faced with the use of sustainability labels and digital information tools that are not always </w:t>
      </w:r>
      <w:bookmarkEnd w:id="66"/>
      <w:bookmarkEnd w:id="67"/>
      <w:bookmarkEnd w:id="68"/>
      <w:bookmarkEnd w:id="69"/>
      <w:bookmarkEnd w:id="70"/>
      <w:bookmarkEnd w:id="71"/>
      <w:r w:rsidR="00D60C0B" w:rsidRPr="009B5734">
        <w:rPr>
          <w:noProof/>
        </w:rPr>
        <w:t>transparent and credible</w:t>
      </w:r>
      <w:r w:rsidR="008F36F3" w:rsidRPr="009B5734">
        <w:rPr>
          <w:noProof/>
        </w:rPr>
        <w:t xml:space="preserve"> </w:t>
      </w:r>
      <w:r w:rsidR="00D11CF3" w:rsidRPr="009B5734">
        <w:rPr>
          <w:noProof/>
        </w:rPr>
        <w:t>(Sub-problem 2.3)</w:t>
      </w:r>
    </w:p>
    <w:p w:rsidR="00A3164D" w:rsidRPr="009B5734" w:rsidRDefault="00141347">
      <w:pPr>
        <w:pStyle w:val="BTNumbList"/>
        <w:tabs>
          <w:tab w:val="num" w:pos="567"/>
        </w:tabs>
        <w:rPr>
          <w:rFonts w:ascii="Times New Roman" w:hAnsi="Times New Roman"/>
          <w:noProof/>
          <w:sz w:val="24"/>
        </w:rPr>
      </w:pPr>
      <w:r w:rsidRPr="009B5734">
        <w:rPr>
          <w:rFonts w:ascii="Times New Roman" w:hAnsi="Times New Roman"/>
          <w:b/>
          <w:noProof/>
          <w:sz w:val="24"/>
        </w:rPr>
        <w:t>S</w:t>
      </w:r>
      <w:r w:rsidR="009D1835" w:rsidRPr="009B5734">
        <w:rPr>
          <w:rFonts w:ascii="Times New Roman" w:hAnsi="Times New Roman"/>
          <w:b/>
          <w:noProof/>
          <w:sz w:val="24"/>
        </w:rPr>
        <w:t>ustainability labels</w:t>
      </w:r>
      <w:r w:rsidR="00E4074D" w:rsidRPr="009B5734">
        <w:rPr>
          <w:rFonts w:ascii="Times New Roman" w:hAnsi="Times New Roman"/>
          <w:b/>
          <w:noProof/>
          <w:sz w:val="24"/>
        </w:rPr>
        <w:t xml:space="preserve"> </w:t>
      </w:r>
      <w:r w:rsidR="009D1835" w:rsidRPr="009B5734">
        <w:rPr>
          <w:rFonts w:ascii="Times New Roman" w:hAnsi="Times New Roman"/>
          <w:noProof/>
          <w:sz w:val="24"/>
        </w:rPr>
        <w:t xml:space="preserve">are </w:t>
      </w:r>
      <w:r w:rsidR="00E4074D" w:rsidRPr="009B5734">
        <w:rPr>
          <w:rFonts w:ascii="Times New Roman" w:hAnsi="Times New Roman"/>
          <w:noProof/>
          <w:sz w:val="24"/>
        </w:rPr>
        <w:t>considered in this Impact Assessment as any voluntary “trust mark, quality mark or equivalent”</w:t>
      </w:r>
      <w:r w:rsidR="00E4074D" w:rsidRPr="009B5734">
        <w:rPr>
          <w:rStyle w:val="FootnoteReference"/>
          <w:rFonts w:ascii="Times New Roman" w:hAnsi="Times New Roman"/>
          <w:noProof/>
          <w:sz w:val="24"/>
        </w:rPr>
        <w:footnoteReference w:id="61"/>
      </w:r>
      <w:r w:rsidR="00E4074D" w:rsidRPr="009B5734">
        <w:rPr>
          <w:rFonts w:ascii="Times New Roman" w:hAnsi="Times New Roman"/>
          <w:noProof/>
          <w:sz w:val="24"/>
        </w:rPr>
        <w:t xml:space="preserve"> </w:t>
      </w:r>
      <w:r w:rsidR="009D1835" w:rsidRPr="009B5734">
        <w:rPr>
          <w:rFonts w:ascii="Times New Roman" w:hAnsi="Times New Roman"/>
          <w:noProof/>
          <w:sz w:val="24"/>
        </w:rPr>
        <w:t>that aim</w:t>
      </w:r>
      <w:r w:rsidR="005E35B3" w:rsidRPr="009B5734">
        <w:rPr>
          <w:rFonts w:ascii="Times New Roman" w:hAnsi="Times New Roman"/>
          <w:noProof/>
          <w:sz w:val="24"/>
        </w:rPr>
        <w:t>s</w:t>
      </w:r>
      <w:r w:rsidR="009D1835" w:rsidRPr="009B5734">
        <w:rPr>
          <w:rFonts w:ascii="Times New Roman" w:hAnsi="Times New Roman"/>
          <w:noProof/>
          <w:sz w:val="24"/>
        </w:rPr>
        <w:t xml:space="preserve"> to set apart and promote a product, a process or a business with reference to </w:t>
      </w:r>
      <w:r w:rsidR="00E4074D" w:rsidRPr="009B5734">
        <w:rPr>
          <w:rFonts w:ascii="Times New Roman" w:hAnsi="Times New Roman"/>
          <w:noProof/>
          <w:sz w:val="24"/>
        </w:rPr>
        <w:t xml:space="preserve">environmental, </w:t>
      </w:r>
      <w:r w:rsidR="009D1835" w:rsidRPr="009B5734">
        <w:rPr>
          <w:rFonts w:ascii="Times New Roman" w:hAnsi="Times New Roman"/>
          <w:noProof/>
          <w:sz w:val="24"/>
        </w:rPr>
        <w:t>social</w:t>
      </w:r>
      <w:r w:rsidR="00E4074D" w:rsidRPr="009B5734">
        <w:rPr>
          <w:rFonts w:ascii="Times New Roman" w:hAnsi="Times New Roman"/>
          <w:noProof/>
          <w:sz w:val="24"/>
        </w:rPr>
        <w:t xml:space="preserve"> or ethical aspects. </w:t>
      </w:r>
      <w:r w:rsidR="00A3164D" w:rsidRPr="009B5734">
        <w:rPr>
          <w:rFonts w:ascii="Times New Roman" w:hAnsi="Times New Roman"/>
          <w:noProof/>
          <w:sz w:val="24"/>
        </w:rPr>
        <w:t>These labels</w:t>
      </w:r>
      <w:r w:rsidR="005E7E03" w:rsidRPr="009B5734">
        <w:rPr>
          <w:rFonts w:ascii="Times New Roman" w:hAnsi="Times New Roman"/>
          <w:noProof/>
          <w:sz w:val="24"/>
        </w:rPr>
        <w:t xml:space="preserve"> </w:t>
      </w:r>
      <w:r w:rsidR="00A3164D" w:rsidRPr="009B5734">
        <w:rPr>
          <w:rFonts w:ascii="Times New Roman" w:hAnsi="Times New Roman"/>
          <w:noProof/>
          <w:sz w:val="24"/>
        </w:rPr>
        <w:t>are developed by a wide array of bodies, organisations, legal or private entities (including public bodies, industry associations, for</w:t>
      </w:r>
      <w:r w:rsidR="00BD0EE3" w:rsidRPr="009B5734">
        <w:rPr>
          <w:rFonts w:ascii="Times New Roman" w:hAnsi="Times New Roman"/>
          <w:noProof/>
          <w:sz w:val="24"/>
        </w:rPr>
        <w:t>-</w:t>
      </w:r>
      <w:r w:rsidR="00A3164D" w:rsidRPr="009B5734">
        <w:rPr>
          <w:rFonts w:ascii="Times New Roman" w:hAnsi="Times New Roman"/>
          <w:noProof/>
          <w:sz w:val="24"/>
        </w:rPr>
        <w:t xml:space="preserve">profit as well as non-profit organisations, individually or in partnership). </w:t>
      </w:r>
      <w:r w:rsidRPr="009B5734">
        <w:rPr>
          <w:rFonts w:ascii="Times New Roman" w:hAnsi="Times New Roman"/>
          <w:noProof/>
          <w:sz w:val="24"/>
        </w:rPr>
        <w:t xml:space="preserve">They can usually be </w:t>
      </w:r>
      <w:r w:rsidR="00977BF8" w:rsidRPr="009B5734">
        <w:rPr>
          <w:rFonts w:ascii="Times New Roman" w:hAnsi="Times New Roman"/>
          <w:noProof/>
          <w:sz w:val="24"/>
        </w:rPr>
        <w:t>found</w:t>
      </w:r>
      <w:r w:rsidRPr="009B5734">
        <w:rPr>
          <w:rFonts w:ascii="Times New Roman" w:hAnsi="Times New Roman"/>
          <w:noProof/>
          <w:sz w:val="24"/>
        </w:rPr>
        <w:t xml:space="preserve"> directly on products and in communication materials. </w:t>
      </w:r>
      <w:r w:rsidR="005E35B3" w:rsidRPr="009B5734">
        <w:rPr>
          <w:rFonts w:ascii="Times New Roman" w:hAnsi="Times New Roman"/>
          <w:b/>
          <w:noProof/>
          <w:sz w:val="24"/>
        </w:rPr>
        <w:t>Ecolabels</w:t>
      </w:r>
      <w:r w:rsidR="005E35B3" w:rsidRPr="009B5734">
        <w:rPr>
          <w:rFonts w:ascii="Times New Roman" w:hAnsi="Times New Roman"/>
          <w:noProof/>
          <w:sz w:val="24"/>
        </w:rPr>
        <w:t xml:space="preserve"> are those sustainability labels which aim to set apart and promote a product, a process or a business with reference to environmental aspects in particular.</w:t>
      </w:r>
    </w:p>
    <w:p w:rsidR="00A3164D" w:rsidRPr="009B5734" w:rsidRDefault="000E4035">
      <w:pPr>
        <w:pStyle w:val="BTNumbList"/>
        <w:tabs>
          <w:tab w:val="num" w:pos="567"/>
        </w:tabs>
        <w:rPr>
          <w:rFonts w:ascii="Times New Roman" w:hAnsi="Times New Roman"/>
          <w:noProof/>
          <w:sz w:val="24"/>
        </w:rPr>
      </w:pPr>
      <w:r w:rsidRPr="009B5734">
        <w:rPr>
          <w:rFonts w:ascii="Times New Roman" w:hAnsi="Times New Roman"/>
          <w:b/>
          <w:noProof/>
          <w:sz w:val="24"/>
        </w:rPr>
        <w:t>Digital</w:t>
      </w:r>
      <w:r w:rsidR="009F6C0E" w:rsidRPr="009B5734">
        <w:rPr>
          <w:rFonts w:ascii="Times New Roman" w:hAnsi="Times New Roman"/>
          <w:b/>
          <w:noProof/>
          <w:sz w:val="24"/>
        </w:rPr>
        <w:t xml:space="preserve"> information tools</w:t>
      </w:r>
      <w:r w:rsidR="002E0A04" w:rsidRPr="009B5734">
        <w:rPr>
          <w:rFonts w:ascii="Times New Roman" w:hAnsi="Times New Roman"/>
          <w:noProof/>
          <w:sz w:val="24"/>
        </w:rPr>
        <w:t>, in the context of this Impact Assessment,</w:t>
      </w:r>
      <w:r w:rsidR="009F6C0E" w:rsidRPr="009B5734">
        <w:rPr>
          <w:rFonts w:ascii="Times New Roman" w:hAnsi="Times New Roman"/>
          <w:noProof/>
          <w:sz w:val="24"/>
        </w:rPr>
        <w:t xml:space="preserve"> </w:t>
      </w:r>
      <w:r w:rsidR="00A3164D" w:rsidRPr="009B5734">
        <w:rPr>
          <w:rFonts w:ascii="Times New Roman" w:hAnsi="Times New Roman"/>
          <w:noProof/>
          <w:sz w:val="24"/>
        </w:rPr>
        <w:t xml:space="preserve">are </w:t>
      </w:r>
      <w:r w:rsidR="00C929E2" w:rsidRPr="009B5734">
        <w:rPr>
          <w:rFonts w:ascii="Times New Roman" w:hAnsi="Times New Roman"/>
          <w:noProof/>
          <w:sz w:val="24"/>
          <w:lang w:eastAsia="es-ES_tradnl"/>
        </w:rPr>
        <w:t xml:space="preserve">software </w:t>
      </w:r>
      <w:r w:rsidR="009B1FF6" w:rsidRPr="009B5734">
        <w:rPr>
          <w:rFonts w:ascii="Times New Roman" w:hAnsi="Times New Roman"/>
          <w:noProof/>
          <w:sz w:val="24"/>
          <w:lang w:eastAsia="es-ES_tradnl"/>
        </w:rPr>
        <w:t>tools which have as their primary purpose to provide information to consumers on the sustainability of products with respect to environmental, social or ethical aspects</w:t>
      </w:r>
      <w:r w:rsidR="00C929E2" w:rsidRPr="009B5734">
        <w:rPr>
          <w:rFonts w:ascii="Times New Roman" w:hAnsi="Times New Roman"/>
          <w:noProof/>
          <w:sz w:val="24"/>
          <w:lang w:eastAsia="es-ES_tradnl"/>
        </w:rPr>
        <w:t>.</w:t>
      </w:r>
      <w:r w:rsidR="00A3164D" w:rsidRPr="009B5734">
        <w:rPr>
          <w:rFonts w:ascii="Times New Roman" w:hAnsi="Times New Roman"/>
          <w:noProof/>
          <w:sz w:val="24"/>
        </w:rPr>
        <w:t xml:space="preserve"> </w:t>
      </w:r>
      <w:r w:rsidR="009F6C0E" w:rsidRPr="009B5734">
        <w:rPr>
          <w:rFonts w:ascii="Times New Roman" w:hAnsi="Times New Roman"/>
          <w:noProof/>
          <w:sz w:val="24"/>
        </w:rPr>
        <w:t xml:space="preserve"> </w:t>
      </w:r>
    </w:p>
    <w:p w:rsidR="00CE2B2D" w:rsidRPr="009B5734" w:rsidRDefault="00A3164D">
      <w:pPr>
        <w:pStyle w:val="BTNumbList"/>
        <w:tabs>
          <w:tab w:val="num" w:pos="567"/>
        </w:tabs>
        <w:rPr>
          <w:rFonts w:ascii="Times New Roman" w:hAnsi="Times New Roman"/>
          <w:noProof/>
          <w:sz w:val="24"/>
        </w:rPr>
      </w:pPr>
      <w:r w:rsidRPr="009B5734">
        <w:rPr>
          <w:rFonts w:ascii="Times New Roman" w:hAnsi="Times New Roman"/>
          <w:noProof/>
          <w:sz w:val="24"/>
        </w:rPr>
        <w:t>Both sustainab</w:t>
      </w:r>
      <w:r w:rsidR="00133E9B" w:rsidRPr="009B5734">
        <w:rPr>
          <w:rFonts w:ascii="Times New Roman" w:hAnsi="Times New Roman"/>
          <w:noProof/>
          <w:sz w:val="24"/>
        </w:rPr>
        <w:t>ility</w:t>
      </w:r>
      <w:r w:rsidRPr="009B5734">
        <w:rPr>
          <w:rFonts w:ascii="Times New Roman" w:hAnsi="Times New Roman"/>
          <w:noProof/>
          <w:sz w:val="24"/>
        </w:rPr>
        <w:t xml:space="preserve"> labels and </w:t>
      </w:r>
      <w:r w:rsidR="009B1FF6" w:rsidRPr="009B5734">
        <w:rPr>
          <w:rFonts w:ascii="Times New Roman" w:hAnsi="Times New Roman"/>
          <w:noProof/>
          <w:sz w:val="24"/>
        </w:rPr>
        <w:t xml:space="preserve">digital information tools </w:t>
      </w:r>
      <w:r w:rsidR="009F6C0E" w:rsidRPr="009B5734">
        <w:rPr>
          <w:rFonts w:ascii="Times New Roman" w:hAnsi="Times New Roman"/>
          <w:noProof/>
          <w:sz w:val="24"/>
        </w:rPr>
        <w:t>are</w:t>
      </w:r>
      <w:r w:rsidR="00AF415C" w:rsidRPr="009B5734">
        <w:rPr>
          <w:rFonts w:ascii="Times New Roman" w:hAnsi="Times New Roman"/>
          <w:noProof/>
          <w:sz w:val="24"/>
        </w:rPr>
        <w:t xml:space="preserve"> </w:t>
      </w:r>
      <w:r w:rsidR="009F6C0E" w:rsidRPr="009B5734">
        <w:rPr>
          <w:rFonts w:ascii="Times New Roman" w:hAnsi="Times New Roman"/>
          <w:noProof/>
          <w:sz w:val="24"/>
        </w:rPr>
        <w:t>used</w:t>
      </w:r>
      <w:r w:rsidR="0062499B" w:rsidRPr="009B5734">
        <w:rPr>
          <w:rFonts w:ascii="Times New Roman" w:hAnsi="Times New Roman"/>
          <w:noProof/>
          <w:sz w:val="24"/>
        </w:rPr>
        <w:t xml:space="preserve"> </w:t>
      </w:r>
      <w:r w:rsidR="009F6C0E" w:rsidRPr="009B5734">
        <w:rPr>
          <w:rFonts w:ascii="Times New Roman" w:hAnsi="Times New Roman"/>
          <w:noProof/>
          <w:sz w:val="24"/>
        </w:rPr>
        <w:t xml:space="preserve">to promote </w:t>
      </w:r>
      <w:r w:rsidR="00C929E2" w:rsidRPr="009B5734">
        <w:rPr>
          <w:rFonts w:ascii="Times New Roman" w:hAnsi="Times New Roman"/>
          <w:noProof/>
          <w:sz w:val="24"/>
        </w:rPr>
        <w:t xml:space="preserve">products to </w:t>
      </w:r>
      <w:r w:rsidR="009F6C0E" w:rsidRPr="009B5734">
        <w:rPr>
          <w:rFonts w:ascii="Times New Roman" w:hAnsi="Times New Roman"/>
          <w:noProof/>
          <w:sz w:val="24"/>
        </w:rPr>
        <w:t xml:space="preserve">consumers </w:t>
      </w:r>
      <w:r w:rsidR="00133E9B" w:rsidRPr="009B5734">
        <w:rPr>
          <w:rFonts w:ascii="Times New Roman" w:hAnsi="Times New Roman"/>
          <w:noProof/>
          <w:sz w:val="24"/>
        </w:rPr>
        <w:t xml:space="preserve">which </w:t>
      </w:r>
      <w:r w:rsidR="009F6C0E" w:rsidRPr="009B5734">
        <w:rPr>
          <w:rFonts w:ascii="Times New Roman" w:hAnsi="Times New Roman"/>
          <w:noProof/>
          <w:sz w:val="24"/>
        </w:rPr>
        <w:t>are more sustainable</w:t>
      </w:r>
      <w:r w:rsidR="00325929" w:rsidRPr="009B5734">
        <w:rPr>
          <w:rFonts w:ascii="Times New Roman" w:hAnsi="Times New Roman"/>
          <w:noProof/>
          <w:sz w:val="24"/>
        </w:rPr>
        <w:t>,</w:t>
      </w:r>
      <w:r w:rsidR="009F6C0E" w:rsidRPr="009B5734">
        <w:rPr>
          <w:rFonts w:ascii="Times New Roman" w:hAnsi="Times New Roman"/>
          <w:noProof/>
          <w:sz w:val="24"/>
        </w:rPr>
        <w:t xml:space="preserve"> by providing information on their performance with respect to environmental </w:t>
      </w:r>
      <w:r w:rsidR="00325929" w:rsidRPr="009B5734">
        <w:rPr>
          <w:rFonts w:ascii="Times New Roman" w:hAnsi="Times New Roman"/>
          <w:noProof/>
          <w:sz w:val="24"/>
        </w:rPr>
        <w:t xml:space="preserve">as well as </w:t>
      </w:r>
      <w:r w:rsidR="009F6C0E" w:rsidRPr="009B5734">
        <w:rPr>
          <w:rFonts w:ascii="Times New Roman" w:hAnsi="Times New Roman"/>
          <w:noProof/>
          <w:sz w:val="24"/>
        </w:rPr>
        <w:t>social and ethical aspects</w:t>
      </w:r>
      <w:r w:rsidR="009F6C0E" w:rsidRPr="009B5734">
        <w:rPr>
          <w:rStyle w:val="FootnoteReference"/>
          <w:rFonts w:ascii="Times New Roman" w:hAnsi="Times New Roman"/>
          <w:noProof/>
          <w:sz w:val="24"/>
        </w:rPr>
        <w:footnoteReference w:id="62"/>
      </w:r>
      <w:r w:rsidR="009F6C0E" w:rsidRPr="009B5734">
        <w:rPr>
          <w:rFonts w:ascii="Times New Roman" w:hAnsi="Times New Roman"/>
          <w:noProof/>
          <w:sz w:val="24"/>
        </w:rPr>
        <w:t xml:space="preserve">.  </w:t>
      </w:r>
    </w:p>
    <w:p w:rsidR="00A3164D" w:rsidRPr="009B5734" w:rsidRDefault="0092385B" w:rsidP="00F30775">
      <w:pPr>
        <w:pStyle w:val="BTNumbList"/>
        <w:tabs>
          <w:tab w:val="num" w:pos="567"/>
        </w:tabs>
        <w:rPr>
          <w:rFonts w:ascii="Times New Roman" w:hAnsi="Times New Roman"/>
          <w:noProof/>
          <w:sz w:val="24"/>
        </w:rPr>
      </w:pPr>
      <w:r w:rsidRPr="7F52AB9A">
        <w:rPr>
          <w:rFonts w:ascii="Times New Roman" w:hAnsi="Times New Roman"/>
          <w:noProof/>
          <w:sz w:val="24"/>
        </w:rPr>
        <w:t>N</w:t>
      </w:r>
      <w:r w:rsidR="00CE2B2D" w:rsidRPr="7F52AB9A">
        <w:rPr>
          <w:rFonts w:ascii="Times New Roman" w:hAnsi="Times New Roman"/>
          <w:noProof/>
          <w:sz w:val="24"/>
        </w:rPr>
        <w:t xml:space="preserve">umerous </w:t>
      </w:r>
      <w:r w:rsidR="001779DE" w:rsidRPr="7F52AB9A">
        <w:rPr>
          <w:rFonts w:ascii="Times New Roman" w:hAnsi="Times New Roman"/>
          <w:noProof/>
          <w:sz w:val="24"/>
        </w:rPr>
        <w:t xml:space="preserve">voluntary </w:t>
      </w:r>
      <w:r w:rsidR="00CE2B2D" w:rsidRPr="7F52AB9A">
        <w:rPr>
          <w:rFonts w:ascii="Times New Roman" w:hAnsi="Times New Roman"/>
          <w:noProof/>
          <w:sz w:val="24"/>
        </w:rPr>
        <w:t>labels</w:t>
      </w:r>
      <w:r w:rsidR="00413566" w:rsidRPr="7F52AB9A">
        <w:rPr>
          <w:rFonts w:ascii="Times New Roman" w:hAnsi="Times New Roman"/>
          <w:noProof/>
          <w:sz w:val="24"/>
        </w:rPr>
        <w:t xml:space="preserve"> </w:t>
      </w:r>
      <w:r w:rsidR="00A3164D" w:rsidRPr="7F52AB9A">
        <w:rPr>
          <w:rFonts w:ascii="Times New Roman" w:hAnsi="Times New Roman"/>
          <w:noProof/>
          <w:sz w:val="24"/>
        </w:rPr>
        <w:t xml:space="preserve">have as a stated objective to guide </w:t>
      </w:r>
      <w:r w:rsidR="00CE2B2D" w:rsidRPr="7F52AB9A">
        <w:rPr>
          <w:rFonts w:ascii="Times New Roman" w:hAnsi="Times New Roman"/>
          <w:noProof/>
          <w:sz w:val="24"/>
        </w:rPr>
        <w:t>consumers towards more sustainable choices.</w:t>
      </w:r>
      <w:r w:rsidR="00F30775" w:rsidRPr="7F52AB9A">
        <w:rPr>
          <w:rFonts w:ascii="Times New Roman" w:hAnsi="Times New Roman"/>
          <w:noProof/>
          <w:sz w:val="24"/>
        </w:rPr>
        <w:t xml:space="preserve"> There were around 230 ecolabels active in Europe in 2020 of which 48% cover some social attributes</w:t>
      </w:r>
      <w:r w:rsidR="00F30775" w:rsidRPr="7F52AB9A">
        <w:rPr>
          <w:rStyle w:val="FootnoteReference"/>
          <w:rFonts w:ascii="Times New Roman" w:hAnsi="Times New Roman"/>
          <w:noProof/>
          <w:sz w:val="24"/>
        </w:rPr>
        <w:footnoteReference w:id="63"/>
      </w:r>
      <w:r w:rsidR="00F30775" w:rsidRPr="7F52AB9A">
        <w:rPr>
          <w:rFonts w:ascii="Times New Roman" w:hAnsi="Times New Roman"/>
          <w:noProof/>
          <w:sz w:val="24"/>
        </w:rPr>
        <w:t>. 901 labelling schemes have been identified across Europe in the food area</w:t>
      </w:r>
      <w:r w:rsidR="00F30775" w:rsidRPr="7F52AB9A">
        <w:rPr>
          <w:rStyle w:val="FootnoteReference"/>
          <w:rFonts w:ascii="Times New Roman" w:hAnsi="Times New Roman"/>
          <w:noProof/>
          <w:sz w:val="24"/>
        </w:rPr>
        <w:footnoteReference w:id="64"/>
      </w:r>
      <w:r w:rsidR="00F30775" w:rsidRPr="7F52AB9A">
        <w:rPr>
          <w:rFonts w:ascii="Times New Roman" w:hAnsi="Times New Roman"/>
          <w:noProof/>
          <w:sz w:val="24"/>
        </w:rPr>
        <w:t>, and there have been 100 private green energy labels mapped in the EU.</w:t>
      </w:r>
      <w:r w:rsidR="00981027" w:rsidRPr="7F52AB9A">
        <w:rPr>
          <w:rStyle w:val="FootnoteReference"/>
          <w:rFonts w:ascii="Times New Roman" w:hAnsi="Times New Roman"/>
          <w:noProof/>
          <w:sz w:val="24"/>
        </w:rPr>
        <w:footnoteReference w:id="65"/>
      </w:r>
      <w:r w:rsidR="00F30775" w:rsidRPr="7F52AB9A">
        <w:rPr>
          <w:rFonts w:ascii="Times New Roman" w:hAnsi="Times New Roman"/>
          <w:noProof/>
          <w:sz w:val="24"/>
        </w:rPr>
        <w:t xml:space="preserve"> </w:t>
      </w:r>
      <w:r w:rsidR="00CE2B2D" w:rsidRPr="7F52AB9A">
        <w:rPr>
          <w:rFonts w:ascii="Times New Roman" w:hAnsi="Times New Roman"/>
          <w:noProof/>
          <w:sz w:val="24"/>
        </w:rPr>
        <w:t xml:space="preserve"> However</w:t>
      </w:r>
      <w:r w:rsidR="00BD0EE3" w:rsidRPr="7F52AB9A">
        <w:rPr>
          <w:rFonts w:ascii="Times New Roman" w:hAnsi="Times New Roman"/>
          <w:noProof/>
          <w:sz w:val="24"/>
        </w:rPr>
        <w:t>,</w:t>
      </w:r>
      <w:r w:rsidR="00CE2B2D" w:rsidRPr="7F52AB9A">
        <w:rPr>
          <w:rFonts w:ascii="Times New Roman" w:hAnsi="Times New Roman"/>
          <w:noProof/>
          <w:sz w:val="24"/>
        </w:rPr>
        <w:t xml:space="preserve"> </w:t>
      </w:r>
      <w:r w:rsidR="00CE2B2D" w:rsidRPr="7F52AB9A">
        <w:rPr>
          <w:rFonts w:ascii="Times New Roman" w:hAnsi="Times New Roman"/>
          <w:b/>
          <w:bCs/>
          <w:noProof/>
          <w:sz w:val="24"/>
        </w:rPr>
        <w:t>many labels</w:t>
      </w:r>
      <w:r w:rsidR="00CE2B2D" w:rsidRPr="7F52AB9A">
        <w:rPr>
          <w:rFonts w:ascii="Times New Roman" w:hAnsi="Times New Roman"/>
          <w:noProof/>
          <w:sz w:val="24"/>
        </w:rPr>
        <w:t xml:space="preserve"> </w:t>
      </w:r>
      <w:r w:rsidR="00CE2B2D" w:rsidRPr="7F52AB9A">
        <w:rPr>
          <w:rFonts w:ascii="Times New Roman" w:hAnsi="Times New Roman"/>
          <w:b/>
          <w:bCs/>
          <w:noProof/>
          <w:sz w:val="24"/>
        </w:rPr>
        <w:t>are</w:t>
      </w:r>
      <w:r w:rsidR="00054CA3" w:rsidRPr="7F52AB9A">
        <w:rPr>
          <w:rFonts w:ascii="Times New Roman" w:hAnsi="Times New Roman"/>
          <w:b/>
          <w:bCs/>
          <w:noProof/>
          <w:sz w:val="24"/>
        </w:rPr>
        <w:t xml:space="preserve"> </w:t>
      </w:r>
      <w:r w:rsidR="00CE2B2D" w:rsidRPr="7F52AB9A">
        <w:rPr>
          <w:rFonts w:ascii="Times New Roman" w:hAnsi="Times New Roman"/>
          <w:b/>
          <w:bCs/>
          <w:noProof/>
          <w:sz w:val="24"/>
        </w:rPr>
        <w:t xml:space="preserve">subject to different levels of </w:t>
      </w:r>
      <w:r w:rsidR="00131286" w:rsidRPr="7F52AB9A">
        <w:rPr>
          <w:rFonts w:ascii="Times New Roman" w:hAnsi="Times New Roman"/>
          <w:b/>
          <w:bCs/>
          <w:noProof/>
          <w:sz w:val="24"/>
        </w:rPr>
        <w:t>robustness, supervision</w:t>
      </w:r>
      <w:r w:rsidR="00CE2B2D" w:rsidRPr="7F52AB9A">
        <w:rPr>
          <w:rFonts w:ascii="Times New Roman" w:hAnsi="Times New Roman"/>
          <w:b/>
          <w:bCs/>
          <w:noProof/>
          <w:sz w:val="24"/>
        </w:rPr>
        <w:t xml:space="preserve"> and transparency</w:t>
      </w:r>
      <w:r w:rsidR="00CE2B2D" w:rsidRPr="7F52AB9A">
        <w:rPr>
          <w:rStyle w:val="FootnoteReference"/>
          <w:rFonts w:ascii="Times New Roman" w:hAnsi="Times New Roman"/>
          <w:noProof/>
          <w:sz w:val="24"/>
        </w:rPr>
        <w:footnoteReference w:id="66"/>
      </w:r>
      <w:r w:rsidR="0011520C" w:rsidRPr="7F52AB9A">
        <w:rPr>
          <w:rFonts w:ascii="Times New Roman" w:hAnsi="Times New Roman"/>
          <w:noProof/>
          <w:sz w:val="24"/>
        </w:rPr>
        <w:t xml:space="preserve"> </w:t>
      </w:r>
      <w:r w:rsidR="00CE2B2D" w:rsidRPr="7F52AB9A">
        <w:rPr>
          <w:rFonts w:ascii="Times New Roman" w:hAnsi="Times New Roman"/>
          <w:noProof/>
          <w:sz w:val="24"/>
        </w:rPr>
        <w:t xml:space="preserve">, </w:t>
      </w:r>
      <w:r w:rsidR="00674AB5" w:rsidRPr="7F52AB9A">
        <w:rPr>
          <w:rFonts w:ascii="Times New Roman" w:hAnsi="Times New Roman"/>
          <w:noProof/>
          <w:sz w:val="24"/>
        </w:rPr>
        <w:t>which</w:t>
      </w:r>
      <w:r w:rsidR="00FC52DB" w:rsidRPr="7F52AB9A">
        <w:rPr>
          <w:rFonts w:ascii="Times New Roman" w:hAnsi="Times New Roman"/>
          <w:noProof/>
          <w:sz w:val="24"/>
        </w:rPr>
        <w:t xml:space="preserve"> </w:t>
      </w:r>
      <w:r w:rsidR="00A446EA" w:rsidRPr="7F52AB9A">
        <w:rPr>
          <w:rFonts w:ascii="Times New Roman" w:hAnsi="Times New Roman"/>
          <w:noProof/>
          <w:sz w:val="24"/>
        </w:rPr>
        <w:t>may</w:t>
      </w:r>
      <w:r w:rsidR="00CE2B2D" w:rsidRPr="7F52AB9A">
        <w:rPr>
          <w:rFonts w:ascii="Times New Roman" w:hAnsi="Times New Roman"/>
          <w:noProof/>
          <w:sz w:val="24"/>
        </w:rPr>
        <w:t xml:space="preserve"> </w:t>
      </w:r>
      <w:r w:rsidR="001779DE" w:rsidRPr="7F52AB9A">
        <w:rPr>
          <w:rFonts w:ascii="Times New Roman" w:hAnsi="Times New Roman"/>
          <w:noProof/>
          <w:sz w:val="24"/>
        </w:rPr>
        <w:t xml:space="preserve">raise </w:t>
      </w:r>
      <w:r w:rsidR="00CE2B2D" w:rsidRPr="7F52AB9A">
        <w:rPr>
          <w:rFonts w:ascii="Times New Roman" w:hAnsi="Times New Roman"/>
          <w:noProof/>
          <w:sz w:val="24"/>
        </w:rPr>
        <w:t>question</w:t>
      </w:r>
      <w:r w:rsidR="001779DE" w:rsidRPr="7F52AB9A">
        <w:rPr>
          <w:rFonts w:ascii="Times New Roman" w:hAnsi="Times New Roman"/>
          <w:noProof/>
          <w:sz w:val="24"/>
        </w:rPr>
        <w:t>s about</w:t>
      </w:r>
      <w:r w:rsidR="00CE2B2D" w:rsidRPr="7F52AB9A">
        <w:rPr>
          <w:rFonts w:ascii="Times New Roman" w:hAnsi="Times New Roman"/>
          <w:noProof/>
          <w:sz w:val="24"/>
        </w:rPr>
        <w:t xml:space="preserve"> </w:t>
      </w:r>
      <w:r w:rsidR="00674AB5" w:rsidRPr="7F52AB9A">
        <w:rPr>
          <w:rFonts w:ascii="Times New Roman" w:hAnsi="Times New Roman"/>
          <w:noProof/>
          <w:sz w:val="24"/>
        </w:rPr>
        <w:t xml:space="preserve">their </w:t>
      </w:r>
      <w:r w:rsidR="00CE2B2D" w:rsidRPr="7F52AB9A">
        <w:rPr>
          <w:rFonts w:ascii="Times New Roman" w:hAnsi="Times New Roman"/>
          <w:noProof/>
          <w:sz w:val="24"/>
        </w:rPr>
        <w:t xml:space="preserve">reliability. </w:t>
      </w:r>
      <w:r w:rsidR="00852597" w:rsidRPr="7F52AB9A">
        <w:rPr>
          <w:rFonts w:ascii="Times New Roman" w:hAnsi="Times New Roman"/>
          <w:b/>
          <w:bCs/>
          <w:noProof/>
          <w:sz w:val="24"/>
        </w:rPr>
        <w:t>Sustainability</w:t>
      </w:r>
      <w:r w:rsidR="00D009A4" w:rsidRPr="7F52AB9A">
        <w:rPr>
          <w:rFonts w:ascii="Times New Roman" w:hAnsi="Times New Roman"/>
          <w:b/>
          <w:bCs/>
          <w:noProof/>
          <w:sz w:val="24"/>
        </w:rPr>
        <w:t xml:space="preserve"> </w:t>
      </w:r>
      <w:r w:rsidR="00B42C9A" w:rsidRPr="7F52AB9A">
        <w:rPr>
          <w:rFonts w:ascii="Times New Roman" w:hAnsi="Times New Roman"/>
          <w:b/>
          <w:bCs/>
          <w:noProof/>
          <w:sz w:val="24"/>
        </w:rPr>
        <w:t>l</w:t>
      </w:r>
      <w:r w:rsidR="007F03FF" w:rsidRPr="7F52AB9A">
        <w:rPr>
          <w:rFonts w:ascii="Times New Roman" w:hAnsi="Times New Roman"/>
          <w:b/>
          <w:bCs/>
          <w:noProof/>
          <w:sz w:val="24"/>
        </w:rPr>
        <w:t xml:space="preserve">abels </w:t>
      </w:r>
      <w:r w:rsidR="00D009A4" w:rsidRPr="7F52AB9A">
        <w:rPr>
          <w:rFonts w:ascii="Times New Roman" w:hAnsi="Times New Roman"/>
          <w:b/>
          <w:bCs/>
          <w:noProof/>
          <w:sz w:val="24"/>
        </w:rPr>
        <w:t xml:space="preserve">can be distinguished </w:t>
      </w:r>
      <w:r w:rsidR="00C93A94" w:rsidRPr="7F52AB9A">
        <w:rPr>
          <w:rFonts w:ascii="Times New Roman" w:hAnsi="Times New Roman"/>
          <w:b/>
          <w:bCs/>
          <w:noProof/>
          <w:sz w:val="24"/>
        </w:rPr>
        <w:t>according to their governance model</w:t>
      </w:r>
      <w:r w:rsidR="00C93A94" w:rsidRPr="7F52AB9A">
        <w:rPr>
          <w:rFonts w:ascii="Times New Roman" w:hAnsi="Times New Roman"/>
          <w:noProof/>
          <w:sz w:val="24"/>
        </w:rPr>
        <w:t xml:space="preserve">: those </w:t>
      </w:r>
      <w:r w:rsidR="007F03FF" w:rsidRPr="7F52AB9A">
        <w:rPr>
          <w:rFonts w:ascii="Times New Roman" w:hAnsi="Times New Roman"/>
          <w:noProof/>
          <w:sz w:val="24"/>
        </w:rPr>
        <w:t xml:space="preserve">that are run by </w:t>
      </w:r>
      <w:r w:rsidR="004C1C1E" w:rsidRPr="7F52AB9A">
        <w:rPr>
          <w:rFonts w:ascii="Times New Roman" w:hAnsi="Times New Roman"/>
          <w:noProof/>
          <w:sz w:val="24"/>
        </w:rPr>
        <w:t xml:space="preserve">third party </w:t>
      </w:r>
      <w:r w:rsidR="007F03FF" w:rsidRPr="7F52AB9A">
        <w:rPr>
          <w:rFonts w:ascii="Times New Roman" w:hAnsi="Times New Roman"/>
          <w:noProof/>
          <w:sz w:val="24"/>
        </w:rPr>
        <w:t xml:space="preserve">certification schemes, </w:t>
      </w:r>
      <w:r w:rsidR="00B42C9A" w:rsidRPr="7F52AB9A">
        <w:rPr>
          <w:rFonts w:ascii="Times New Roman" w:hAnsi="Times New Roman"/>
          <w:noProof/>
          <w:sz w:val="24"/>
        </w:rPr>
        <w:t>whose</w:t>
      </w:r>
      <w:r w:rsidR="007F03FF" w:rsidRPr="7F52AB9A">
        <w:rPr>
          <w:rFonts w:ascii="Times New Roman" w:hAnsi="Times New Roman"/>
          <w:noProof/>
          <w:sz w:val="24"/>
        </w:rPr>
        <w:t xml:space="preserve"> role </w:t>
      </w:r>
      <w:r w:rsidR="00D735A9" w:rsidRPr="7F52AB9A">
        <w:rPr>
          <w:rFonts w:ascii="Times New Roman" w:hAnsi="Times New Roman"/>
          <w:noProof/>
          <w:sz w:val="24"/>
        </w:rPr>
        <w:t>is</w:t>
      </w:r>
      <w:r w:rsidR="007F03FF" w:rsidRPr="7F52AB9A">
        <w:rPr>
          <w:rFonts w:ascii="Times New Roman" w:hAnsi="Times New Roman"/>
          <w:noProof/>
          <w:sz w:val="24"/>
        </w:rPr>
        <w:t xml:space="preserve"> to ensure that companies wishing to use the labels will abide by a set of specific criteria</w:t>
      </w:r>
      <w:r w:rsidR="002857ED" w:rsidRPr="7F52AB9A">
        <w:rPr>
          <w:rFonts w:ascii="Times New Roman" w:hAnsi="Times New Roman"/>
          <w:noProof/>
          <w:sz w:val="24"/>
        </w:rPr>
        <w:t xml:space="preserve"> (these </w:t>
      </w:r>
      <w:r w:rsidR="004C1C1E" w:rsidRPr="7F52AB9A">
        <w:rPr>
          <w:rFonts w:ascii="Times New Roman" w:hAnsi="Times New Roman"/>
          <w:noProof/>
          <w:sz w:val="24"/>
        </w:rPr>
        <w:t xml:space="preserve">certification schemes </w:t>
      </w:r>
      <w:r w:rsidR="002857ED" w:rsidRPr="7F52AB9A">
        <w:rPr>
          <w:rFonts w:ascii="Times New Roman" w:hAnsi="Times New Roman"/>
          <w:noProof/>
          <w:sz w:val="24"/>
        </w:rPr>
        <w:t>can be publi</w:t>
      </w:r>
      <w:r w:rsidR="004C1C1E" w:rsidRPr="7F52AB9A">
        <w:rPr>
          <w:rFonts w:ascii="Times New Roman" w:hAnsi="Times New Roman"/>
          <w:noProof/>
          <w:sz w:val="24"/>
        </w:rPr>
        <w:t xml:space="preserve">c, </w:t>
      </w:r>
      <w:r w:rsidR="002857ED" w:rsidRPr="7F52AB9A">
        <w:rPr>
          <w:rFonts w:ascii="Times New Roman" w:hAnsi="Times New Roman"/>
          <w:noProof/>
          <w:sz w:val="24"/>
        </w:rPr>
        <w:t>private</w:t>
      </w:r>
      <w:r w:rsidR="004C1C1E" w:rsidRPr="7F52AB9A">
        <w:rPr>
          <w:rFonts w:ascii="Times New Roman" w:hAnsi="Times New Roman"/>
          <w:noProof/>
          <w:sz w:val="24"/>
        </w:rPr>
        <w:t>, or non-profit)</w:t>
      </w:r>
      <w:r w:rsidR="00B42C9A" w:rsidRPr="7F52AB9A">
        <w:rPr>
          <w:rFonts w:ascii="Times New Roman" w:hAnsi="Times New Roman"/>
          <w:noProof/>
          <w:sz w:val="24"/>
        </w:rPr>
        <w:t>;</w:t>
      </w:r>
      <w:r w:rsidR="00C713BA" w:rsidRPr="7F52AB9A">
        <w:rPr>
          <w:rFonts w:ascii="Times New Roman" w:hAnsi="Times New Roman"/>
          <w:noProof/>
          <w:sz w:val="24"/>
        </w:rPr>
        <w:t xml:space="preserve"> </w:t>
      </w:r>
      <w:r w:rsidR="00C93A94" w:rsidRPr="7F52AB9A">
        <w:rPr>
          <w:rFonts w:ascii="Times New Roman" w:hAnsi="Times New Roman"/>
          <w:noProof/>
          <w:sz w:val="24"/>
        </w:rPr>
        <w:t>and those</w:t>
      </w:r>
      <w:r w:rsidR="00C713BA" w:rsidRPr="7F52AB9A">
        <w:rPr>
          <w:rFonts w:ascii="Times New Roman" w:hAnsi="Times New Roman"/>
          <w:noProof/>
          <w:sz w:val="24"/>
        </w:rPr>
        <w:t xml:space="preserve"> based on “self-declarations” not verified by any third party</w:t>
      </w:r>
      <w:r w:rsidR="00C713BA" w:rsidRPr="009B5734">
        <w:rPr>
          <w:rStyle w:val="FootnoteReference"/>
          <w:rFonts w:ascii="Times New Roman" w:hAnsi="Times New Roman"/>
          <w:noProof/>
        </w:rPr>
        <w:footnoteReference w:id="67"/>
      </w:r>
      <w:r w:rsidR="00C713BA" w:rsidRPr="009B5734">
        <w:rPr>
          <w:rFonts w:ascii="Times New Roman" w:hAnsi="Times New Roman"/>
          <w:noProof/>
        </w:rPr>
        <w:t>.</w:t>
      </w:r>
      <w:r w:rsidR="005F4156" w:rsidRPr="009B5734">
        <w:rPr>
          <w:rFonts w:ascii="Times New Roman" w:hAnsi="Times New Roman"/>
          <w:noProof/>
        </w:rPr>
        <w:t xml:space="preserve"> </w:t>
      </w:r>
      <w:r w:rsidR="005F4156" w:rsidRPr="7F52AB9A">
        <w:rPr>
          <w:rFonts w:ascii="Times New Roman" w:hAnsi="Times New Roman"/>
          <w:noProof/>
          <w:sz w:val="24"/>
        </w:rPr>
        <w:t xml:space="preserve">Consumers appear </w:t>
      </w:r>
      <w:r w:rsidR="00C929E2" w:rsidRPr="7F52AB9A">
        <w:rPr>
          <w:rFonts w:ascii="Times New Roman" w:hAnsi="Times New Roman"/>
          <w:noProof/>
          <w:sz w:val="24"/>
        </w:rPr>
        <w:t xml:space="preserve">not </w:t>
      </w:r>
      <w:r w:rsidR="005F4156" w:rsidRPr="7F52AB9A">
        <w:rPr>
          <w:rFonts w:ascii="Times New Roman" w:hAnsi="Times New Roman"/>
          <w:noProof/>
          <w:sz w:val="24"/>
        </w:rPr>
        <w:t>to be aware of</w:t>
      </w:r>
      <w:r w:rsidR="00981027" w:rsidRPr="7F52AB9A">
        <w:rPr>
          <w:rFonts w:ascii="Times New Roman" w:hAnsi="Times New Roman"/>
          <w:noProof/>
          <w:sz w:val="24"/>
        </w:rPr>
        <w:t xml:space="preserve"> such distinction</w:t>
      </w:r>
      <w:r w:rsidR="00981027" w:rsidRPr="009B5734">
        <w:rPr>
          <w:rFonts w:ascii="Times New Roman" w:hAnsi="Times New Roman"/>
          <w:noProof/>
        </w:rPr>
        <w:t>.</w:t>
      </w:r>
      <w:r w:rsidR="00981027" w:rsidRPr="009B5734">
        <w:rPr>
          <w:rStyle w:val="FootnoteReference"/>
          <w:rFonts w:ascii="Times New Roman" w:hAnsi="Times New Roman"/>
          <w:noProof/>
        </w:rPr>
        <w:footnoteReference w:id="68"/>
      </w:r>
    </w:p>
    <w:p w:rsidR="00247D2A" w:rsidRPr="009B5734" w:rsidRDefault="00C93A94">
      <w:pPr>
        <w:pStyle w:val="BTNumbList"/>
        <w:tabs>
          <w:tab w:val="num" w:pos="567"/>
        </w:tabs>
        <w:rPr>
          <w:rFonts w:ascii="Times New Roman" w:hAnsi="Times New Roman"/>
          <w:noProof/>
          <w:sz w:val="24"/>
        </w:rPr>
      </w:pPr>
      <w:r w:rsidRPr="009B5734">
        <w:rPr>
          <w:rFonts w:ascii="Times New Roman" w:hAnsi="Times New Roman"/>
          <w:noProof/>
          <w:sz w:val="24"/>
        </w:rPr>
        <w:t>This proliferation of labels combined with their varied governance model</w:t>
      </w:r>
      <w:r w:rsidR="00D11CF3" w:rsidRPr="009B5734">
        <w:rPr>
          <w:rFonts w:ascii="Times New Roman" w:hAnsi="Times New Roman"/>
          <w:noProof/>
          <w:sz w:val="24"/>
        </w:rPr>
        <w:t>s</w:t>
      </w:r>
      <w:r w:rsidR="00CE2B2D" w:rsidRPr="009B5734">
        <w:rPr>
          <w:rFonts w:ascii="Times New Roman" w:hAnsi="Times New Roman"/>
          <w:noProof/>
          <w:sz w:val="24"/>
        </w:rPr>
        <w:t xml:space="preserve"> impl</w:t>
      </w:r>
      <w:r w:rsidR="00A8669C" w:rsidRPr="009B5734">
        <w:rPr>
          <w:rFonts w:ascii="Times New Roman" w:hAnsi="Times New Roman"/>
          <w:noProof/>
          <w:sz w:val="24"/>
        </w:rPr>
        <w:t>ies</w:t>
      </w:r>
      <w:r w:rsidR="00CE2B2D" w:rsidRPr="009B5734">
        <w:rPr>
          <w:rFonts w:ascii="Times New Roman" w:hAnsi="Times New Roman"/>
          <w:noProof/>
          <w:sz w:val="24"/>
        </w:rPr>
        <w:t xml:space="preserve"> that producers and retailers can apply a variety of strategies in opt</w:t>
      </w:r>
      <w:r w:rsidR="00592B79" w:rsidRPr="009B5734">
        <w:rPr>
          <w:rFonts w:ascii="Times New Roman" w:hAnsi="Times New Roman"/>
          <w:noProof/>
          <w:sz w:val="24"/>
        </w:rPr>
        <w:t xml:space="preserve">ing for </w:t>
      </w:r>
      <w:r w:rsidR="00861D42" w:rsidRPr="009B5734">
        <w:rPr>
          <w:rFonts w:ascii="Times New Roman" w:hAnsi="Times New Roman"/>
          <w:noProof/>
          <w:sz w:val="24"/>
        </w:rPr>
        <w:t>a specific</w:t>
      </w:r>
      <w:r w:rsidR="00592B79" w:rsidRPr="009B5734">
        <w:rPr>
          <w:rFonts w:ascii="Times New Roman" w:hAnsi="Times New Roman"/>
          <w:noProof/>
          <w:sz w:val="24"/>
        </w:rPr>
        <w:t xml:space="preserve"> sustainability label</w:t>
      </w:r>
      <w:r w:rsidRPr="009B5734">
        <w:rPr>
          <w:rFonts w:ascii="Times New Roman" w:hAnsi="Times New Roman"/>
          <w:noProof/>
          <w:sz w:val="24"/>
        </w:rPr>
        <w:t xml:space="preserve">. Very often, </w:t>
      </w:r>
      <w:r w:rsidR="006A4695" w:rsidRPr="009B5734">
        <w:rPr>
          <w:rFonts w:ascii="Times New Roman" w:hAnsi="Times New Roman"/>
          <w:noProof/>
          <w:sz w:val="24"/>
        </w:rPr>
        <w:t>this</w:t>
      </w:r>
      <w:r w:rsidR="005B5FDC" w:rsidRPr="009B5734">
        <w:rPr>
          <w:rFonts w:ascii="Times New Roman" w:hAnsi="Times New Roman"/>
          <w:noProof/>
          <w:sz w:val="24"/>
        </w:rPr>
        <w:t xml:space="preserve"> also</w:t>
      </w:r>
      <w:r w:rsidR="006A4695" w:rsidRPr="009B5734">
        <w:rPr>
          <w:rFonts w:ascii="Times New Roman" w:hAnsi="Times New Roman"/>
          <w:noProof/>
          <w:sz w:val="24"/>
        </w:rPr>
        <w:t xml:space="preserve"> translates into companies displaying various labels to vouch for the sustainability of their products</w:t>
      </w:r>
      <w:r w:rsidR="00AA4672" w:rsidRPr="009B5734">
        <w:rPr>
          <w:rFonts w:ascii="Times New Roman" w:hAnsi="Times New Roman"/>
          <w:noProof/>
          <w:sz w:val="24"/>
        </w:rPr>
        <w:t xml:space="preserve">. </w:t>
      </w:r>
      <w:r w:rsidR="008F36F3" w:rsidRPr="009B5734">
        <w:rPr>
          <w:rFonts w:ascii="Times New Roman" w:hAnsi="Times New Roman"/>
          <w:noProof/>
          <w:sz w:val="24"/>
          <w:lang w:eastAsia="es-ES_tradnl"/>
        </w:rPr>
        <w:t>Interestingly, during the consultation</w:t>
      </w:r>
      <w:r w:rsidR="00A8669C" w:rsidRPr="009B5734">
        <w:rPr>
          <w:rFonts w:ascii="Times New Roman" w:hAnsi="Times New Roman"/>
          <w:noProof/>
          <w:sz w:val="24"/>
          <w:lang w:eastAsia="es-ES_tradnl"/>
        </w:rPr>
        <w:t xml:space="preserve"> conducted for this Impact Assessment</w:t>
      </w:r>
      <w:r w:rsidR="008F36F3" w:rsidRPr="009B5734">
        <w:rPr>
          <w:rFonts w:ascii="Times New Roman" w:hAnsi="Times New Roman"/>
          <w:noProof/>
          <w:sz w:val="24"/>
          <w:lang w:eastAsia="es-ES_tradnl"/>
        </w:rPr>
        <w:t xml:space="preserve">, </w:t>
      </w:r>
      <w:r w:rsidR="008F36F3" w:rsidRPr="009B5734">
        <w:rPr>
          <w:rFonts w:ascii="Times New Roman" w:hAnsi="Times New Roman"/>
          <w:b/>
          <w:noProof/>
          <w:sz w:val="24"/>
          <w:lang w:eastAsia="es-ES_tradnl"/>
        </w:rPr>
        <w:t>industry representatives were more likely to identify the proliferation of sustainability labels as a problem</w:t>
      </w:r>
      <w:r w:rsidR="008F36F3" w:rsidRPr="009B5734">
        <w:rPr>
          <w:rFonts w:ascii="Times New Roman" w:hAnsi="Times New Roman"/>
          <w:noProof/>
          <w:sz w:val="24"/>
          <w:lang w:eastAsia="es-ES_tradnl"/>
        </w:rPr>
        <w:t xml:space="preserve"> compared to consumers and their representatives.</w:t>
      </w:r>
      <w:r w:rsidR="008F36F3" w:rsidRPr="009B5734">
        <w:rPr>
          <w:rFonts w:ascii="Times New Roman" w:hAnsi="Times New Roman"/>
          <w:noProof/>
          <w:sz w:val="24"/>
        </w:rPr>
        <w:t xml:space="preserve"> </w:t>
      </w:r>
    </w:p>
    <w:p w:rsidR="00141347" w:rsidRPr="009B5734" w:rsidRDefault="00141347" w:rsidP="00D7738F">
      <w:pPr>
        <w:pStyle w:val="BTNumbList"/>
        <w:tabs>
          <w:tab w:val="num" w:pos="567"/>
        </w:tabs>
        <w:rPr>
          <w:rFonts w:ascii="Times New Roman" w:hAnsi="Times New Roman"/>
          <w:noProof/>
          <w:sz w:val="24"/>
        </w:rPr>
      </w:pPr>
      <w:r w:rsidRPr="009B5734">
        <w:rPr>
          <w:rFonts w:ascii="Times New Roman" w:hAnsi="Times New Roman"/>
          <w:noProof/>
          <w:sz w:val="24"/>
        </w:rPr>
        <w:t xml:space="preserve">The </w:t>
      </w:r>
      <w:r w:rsidR="008F36F3" w:rsidRPr="009B5734">
        <w:rPr>
          <w:rFonts w:ascii="Times New Roman" w:hAnsi="Times New Roman"/>
          <w:noProof/>
          <w:sz w:val="24"/>
        </w:rPr>
        <w:t>analysis</w:t>
      </w:r>
      <w:r w:rsidRPr="009B5734">
        <w:rPr>
          <w:rFonts w:ascii="Times New Roman" w:hAnsi="Times New Roman"/>
          <w:noProof/>
          <w:sz w:val="24"/>
        </w:rPr>
        <w:t xml:space="preserve"> carried out in preparation </w:t>
      </w:r>
      <w:r w:rsidR="00BD0EE3" w:rsidRPr="009B5734">
        <w:rPr>
          <w:rFonts w:ascii="Times New Roman" w:hAnsi="Times New Roman"/>
          <w:noProof/>
          <w:sz w:val="24"/>
        </w:rPr>
        <w:t>for</w:t>
      </w:r>
      <w:r w:rsidRPr="009B5734">
        <w:rPr>
          <w:rFonts w:ascii="Times New Roman" w:hAnsi="Times New Roman"/>
          <w:noProof/>
          <w:sz w:val="24"/>
        </w:rPr>
        <w:t xml:space="preserve"> this I</w:t>
      </w:r>
      <w:r w:rsidR="00A8669C" w:rsidRPr="009B5734">
        <w:rPr>
          <w:rFonts w:ascii="Times New Roman" w:hAnsi="Times New Roman"/>
          <w:noProof/>
          <w:sz w:val="24"/>
        </w:rPr>
        <w:t xml:space="preserve">mpact </w:t>
      </w:r>
      <w:r w:rsidRPr="009B5734">
        <w:rPr>
          <w:rFonts w:ascii="Times New Roman" w:hAnsi="Times New Roman"/>
          <w:noProof/>
          <w:sz w:val="24"/>
        </w:rPr>
        <w:t>A</w:t>
      </w:r>
      <w:r w:rsidR="00A8669C" w:rsidRPr="009B5734">
        <w:rPr>
          <w:rFonts w:ascii="Times New Roman" w:hAnsi="Times New Roman"/>
          <w:noProof/>
          <w:sz w:val="24"/>
        </w:rPr>
        <w:t>ssessment</w:t>
      </w:r>
      <w:r w:rsidRPr="009B5734">
        <w:rPr>
          <w:rFonts w:ascii="Times New Roman" w:hAnsi="Times New Roman"/>
          <w:noProof/>
          <w:sz w:val="24"/>
        </w:rPr>
        <w:t xml:space="preserve"> </w:t>
      </w:r>
      <w:r w:rsidR="008F36F3" w:rsidRPr="009B5734">
        <w:rPr>
          <w:rFonts w:ascii="Times New Roman" w:hAnsi="Times New Roman"/>
          <w:noProof/>
          <w:sz w:val="24"/>
        </w:rPr>
        <w:t>show</w:t>
      </w:r>
      <w:r w:rsidRPr="009B5734">
        <w:rPr>
          <w:rFonts w:ascii="Times New Roman" w:hAnsi="Times New Roman"/>
          <w:noProof/>
          <w:sz w:val="24"/>
        </w:rPr>
        <w:t>s</w:t>
      </w:r>
      <w:r w:rsidR="00AA4672" w:rsidRPr="009B5734">
        <w:rPr>
          <w:rFonts w:ascii="Times New Roman" w:hAnsi="Times New Roman"/>
          <w:noProof/>
          <w:sz w:val="24"/>
        </w:rPr>
        <w:t xml:space="preserve"> </w:t>
      </w:r>
      <w:r w:rsidR="00AA4672" w:rsidRPr="009B5734">
        <w:rPr>
          <w:rFonts w:ascii="Times New Roman" w:hAnsi="Times New Roman"/>
          <w:b/>
          <w:noProof/>
          <w:sz w:val="24"/>
        </w:rPr>
        <w:t>shortcomings as to the transparency of labels</w:t>
      </w:r>
      <w:r w:rsidRPr="009B5734">
        <w:rPr>
          <w:rFonts w:ascii="Times New Roman" w:hAnsi="Times New Roman"/>
          <w:b/>
          <w:noProof/>
          <w:sz w:val="24"/>
        </w:rPr>
        <w:t xml:space="preserve">. </w:t>
      </w:r>
      <w:r w:rsidRPr="009B5734">
        <w:rPr>
          <w:rFonts w:ascii="Times New Roman" w:hAnsi="Times New Roman"/>
          <w:noProof/>
          <w:sz w:val="24"/>
        </w:rPr>
        <w:t xml:space="preserve">For 27% of the labels examined, the standards/criteria which the label is meant to guarantee were not available online. </w:t>
      </w:r>
      <w:r w:rsidR="00D97540" w:rsidRPr="009B5734">
        <w:rPr>
          <w:rFonts w:ascii="Times New Roman" w:hAnsi="Times New Roman"/>
          <w:noProof/>
          <w:sz w:val="24"/>
        </w:rPr>
        <w:t>16% of labels did not disclose the</w:t>
      </w:r>
      <w:r w:rsidR="00765F0B" w:rsidRPr="009B5734">
        <w:rPr>
          <w:rFonts w:ascii="Times New Roman" w:hAnsi="Times New Roman"/>
          <w:noProof/>
          <w:sz w:val="24"/>
        </w:rPr>
        <w:t>i</w:t>
      </w:r>
      <w:r w:rsidR="00D97540" w:rsidRPr="009B5734">
        <w:rPr>
          <w:rFonts w:ascii="Times New Roman" w:hAnsi="Times New Roman"/>
          <w:noProof/>
          <w:sz w:val="24"/>
        </w:rPr>
        <w:t xml:space="preserve">r conformity assessment method. </w:t>
      </w:r>
      <w:r w:rsidRPr="009B5734">
        <w:rPr>
          <w:rFonts w:ascii="Times New Roman" w:hAnsi="Times New Roman"/>
          <w:noProof/>
          <w:sz w:val="24"/>
        </w:rPr>
        <w:t>The type of managing authority and the result of the assessment were also often not disclosed.</w:t>
      </w:r>
      <w:r w:rsidR="001B6D82" w:rsidRPr="009B5734">
        <w:rPr>
          <w:rFonts w:ascii="Times New Roman" w:hAnsi="Times New Roman"/>
          <w:noProof/>
          <w:sz w:val="24"/>
        </w:rPr>
        <w:t xml:space="preserve"> Only 17% </w:t>
      </w:r>
      <w:r w:rsidR="00A8669C" w:rsidRPr="009B5734">
        <w:rPr>
          <w:rFonts w:ascii="Times New Roman" w:hAnsi="Times New Roman"/>
          <w:noProof/>
          <w:sz w:val="24"/>
        </w:rPr>
        <w:t xml:space="preserve">of labels </w:t>
      </w:r>
      <w:r w:rsidR="001B6D82" w:rsidRPr="009B5734">
        <w:rPr>
          <w:rFonts w:ascii="Times New Roman" w:hAnsi="Times New Roman"/>
          <w:noProof/>
          <w:sz w:val="24"/>
        </w:rPr>
        <w:t xml:space="preserve">indicated </w:t>
      </w:r>
      <w:r w:rsidR="00A8669C" w:rsidRPr="009B5734">
        <w:rPr>
          <w:rFonts w:ascii="Times New Roman" w:hAnsi="Times New Roman"/>
          <w:noProof/>
          <w:sz w:val="24"/>
        </w:rPr>
        <w:t>providing for</w:t>
      </w:r>
      <w:r w:rsidR="001B6D82" w:rsidRPr="009B5734">
        <w:rPr>
          <w:rFonts w:ascii="Times New Roman" w:hAnsi="Times New Roman"/>
          <w:noProof/>
          <w:sz w:val="24"/>
        </w:rPr>
        <w:t xml:space="preserve"> a dispute settlement or appeal mechanism</w:t>
      </w:r>
      <w:r w:rsidR="00A8669C" w:rsidRPr="009B5734">
        <w:rPr>
          <w:rFonts w:ascii="Times New Roman" w:hAnsi="Times New Roman"/>
          <w:noProof/>
          <w:sz w:val="24"/>
        </w:rPr>
        <w:t xml:space="preserve"> with regards to the accuracy of the information certified by the label</w:t>
      </w:r>
      <w:r w:rsidR="001B6D82" w:rsidRPr="009B5734">
        <w:rPr>
          <w:rFonts w:ascii="Times New Roman" w:hAnsi="Times New Roman"/>
          <w:noProof/>
          <w:sz w:val="24"/>
        </w:rPr>
        <w:t>.</w:t>
      </w:r>
    </w:p>
    <w:p w:rsidR="00C33CDF" w:rsidRPr="009B5734" w:rsidRDefault="00141347" w:rsidP="00D7738F">
      <w:pPr>
        <w:pStyle w:val="BTNumbList"/>
        <w:tabs>
          <w:tab w:val="num" w:pos="567"/>
        </w:tabs>
        <w:rPr>
          <w:rFonts w:ascii="Times New Roman" w:hAnsi="Times New Roman"/>
          <w:noProof/>
          <w:sz w:val="24"/>
          <w:lang w:eastAsia="es-ES_tradnl"/>
        </w:rPr>
      </w:pPr>
      <w:r w:rsidRPr="009B5734">
        <w:rPr>
          <w:rFonts w:ascii="Times New Roman" w:hAnsi="Times New Roman"/>
          <w:noProof/>
          <w:sz w:val="24"/>
        </w:rPr>
        <w:t>In addition,</w:t>
      </w:r>
      <w:r w:rsidRPr="009B5734">
        <w:rPr>
          <w:rFonts w:ascii="Times New Roman" w:hAnsi="Times New Roman"/>
          <w:b/>
          <w:noProof/>
          <w:sz w:val="24"/>
        </w:rPr>
        <w:t xml:space="preserve"> other </w:t>
      </w:r>
      <w:r w:rsidR="009D26BD" w:rsidRPr="009B5734">
        <w:rPr>
          <w:rFonts w:ascii="Times New Roman" w:hAnsi="Times New Roman"/>
          <w:b/>
          <w:noProof/>
          <w:sz w:val="24"/>
        </w:rPr>
        <w:t>evidence</w:t>
      </w:r>
      <w:r w:rsidRPr="009B5734">
        <w:rPr>
          <w:rFonts w:ascii="Times New Roman" w:hAnsi="Times New Roman"/>
          <w:b/>
          <w:noProof/>
          <w:sz w:val="24"/>
        </w:rPr>
        <w:t xml:space="preserve"> point</w:t>
      </w:r>
      <w:r w:rsidR="009D26BD" w:rsidRPr="009B5734">
        <w:rPr>
          <w:rFonts w:ascii="Times New Roman" w:hAnsi="Times New Roman"/>
          <w:b/>
          <w:noProof/>
          <w:sz w:val="24"/>
        </w:rPr>
        <w:t>s</w:t>
      </w:r>
      <w:r w:rsidRPr="009B5734">
        <w:rPr>
          <w:rFonts w:ascii="Times New Roman" w:hAnsi="Times New Roman"/>
          <w:b/>
          <w:noProof/>
          <w:sz w:val="24"/>
        </w:rPr>
        <w:t xml:space="preserve"> to </w:t>
      </w:r>
      <w:r w:rsidR="00BD0EE3" w:rsidRPr="009B5734">
        <w:rPr>
          <w:rFonts w:ascii="Times New Roman" w:hAnsi="Times New Roman"/>
          <w:b/>
          <w:noProof/>
          <w:sz w:val="24"/>
        </w:rPr>
        <w:t xml:space="preserve">the </w:t>
      </w:r>
      <w:r w:rsidRPr="009B5734">
        <w:rPr>
          <w:rFonts w:ascii="Times New Roman" w:hAnsi="Times New Roman"/>
          <w:b/>
          <w:noProof/>
          <w:sz w:val="24"/>
        </w:rPr>
        <w:t xml:space="preserve">problem of </w:t>
      </w:r>
      <w:r w:rsidR="00AA4672" w:rsidRPr="009B5734">
        <w:rPr>
          <w:rFonts w:ascii="Times New Roman" w:hAnsi="Times New Roman"/>
          <w:b/>
          <w:noProof/>
          <w:sz w:val="24"/>
        </w:rPr>
        <w:t>credibility</w:t>
      </w:r>
      <w:r w:rsidRPr="009B5734">
        <w:rPr>
          <w:rFonts w:ascii="Times New Roman" w:hAnsi="Times New Roman"/>
          <w:b/>
          <w:noProof/>
          <w:sz w:val="24"/>
        </w:rPr>
        <w:t xml:space="preserve"> of labels</w:t>
      </w:r>
      <w:r w:rsidR="00AA4672" w:rsidRPr="009B5734">
        <w:rPr>
          <w:rFonts w:ascii="Times New Roman" w:hAnsi="Times New Roman"/>
          <w:b/>
          <w:noProof/>
          <w:sz w:val="24"/>
        </w:rPr>
        <w:t>.</w:t>
      </w:r>
      <w:r w:rsidR="00463C03" w:rsidRPr="009B5734">
        <w:rPr>
          <w:rFonts w:ascii="Times New Roman" w:hAnsi="Times New Roman"/>
          <w:noProof/>
          <w:sz w:val="24"/>
        </w:rPr>
        <w:t xml:space="preserve"> </w:t>
      </w:r>
      <w:r w:rsidR="009D26BD" w:rsidRPr="009B5734">
        <w:rPr>
          <w:rFonts w:ascii="Times New Roman" w:hAnsi="Times New Roman"/>
          <w:noProof/>
          <w:sz w:val="24"/>
        </w:rPr>
        <w:t>For instance, only 35% of the labels analysed for this I</w:t>
      </w:r>
      <w:r w:rsidR="00A8669C" w:rsidRPr="009B5734">
        <w:rPr>
          <w:rFonts w:ascii="Times New Roman" w:hAnsi="Times New Roman"/>
          <w:noProof/>
          <w:sz w:val="24"/>
        </w:rPr>
        <w:t xml:space="preserve">mpact </w:t>
      </w:r>
      <w:r w:rsidR="009D26BD" w:rsidRPr="009B5734">
        <w:rPr>
          <w:rFonts w:ascii="Times New Roman" w:hAnsi="Times New Roman"/>
          <w:noProof/>
          <w:sz w:val="24"/>
        </w:rPr>
        <w:t>A</w:t>
      </w:r>
      <w:r w:rsidR="00A8669C" w:rsidRPr="009B5734">
        <w:rPr>
          <w:rFonts w:ascii="Times New Roman" w:hAnsi="Times New Roman"/>
          <w:noProof/>
          <w:sz w:val="24"/>
        </w:rPr>
        <w:t>ssessment</w:t>
      </w:r>
      <w:r w:rsidR="009D26BD" w:rsidRPr="009B5734">
        <w:rPr>
          <w:rFonts w:ascii="Times New Roman" w:hAnsi="Times New Roman"/>
          <w:noProof/>
          <w:sz w:val="24"/>
        </w:rPr>
        <w:t xml:space="preserve"> required specific metrics or data to substantiate their compliance with the criteria. A</w:t>
      </w:r>
      <w:r w:rsidR="00526507" w:rsidRPr="009B5734">
        <w:rPr>
          <w:rFonts w:ascii="Times New Roman" w:hAnsi="Times New Roman"/>
          <w:noProof/>
          <w:sz w:val="24"/>
        </w:rPr>
        <w:t xml:space="preserve"> previous </w:t>
      </w:r>
      <w:r w:rsidR="00247D2A" w:rsidRPr="009B5734">
        <w:rPr>
          <w:rFonts w:ascii="Times New Roman" w:hAnsi="Times New Roman"/>
          <w:noProof/>
          <w:sz w:val="24"/>
        </w:rPr>
        <w:t>a</w:t>
      </w:r>
      <w:r w:rsidR="009F6C0E" w:rsidRPr="009B5734">
        <w:rPr>
          <w:rFonts w:ascii="Times New Roman" w:hAnsi="Times New Roman"/>
          <w:noProof/>
          <w:sz w:val="24"/>
        </w:rPr>
        <w:t>nalysis</w:t>
      </w:r>
      <w:r w:rsidR="00247D2A" w:rsidRPr="009B5734">
        <w:rPr>
          <w:rFonts w:ascii="Times New Roman" w:hAnsi="Times New Roman"/>
          <w:noProof/>
          <w:sz w:val="24"/>
        </w:rPr>
        <w:t xml:space="preserve"> show</w:t>
      </w:r>
      <w:r w:rsidR="008F36F3" w:rsidRPr="009B5734">
        <w:rPr>
          <w:rFonts w:ascii="Times New Roman" w:hAnsi="Times New Roman"/>
          <w:noProof/>
          <w:sz w:val="24"/>
        </w:rPr>
        <w:t>ed</w:t>
      </w:r>
      <w:r w:rsidR="00247D2A" w:rsidRPr="009B5734">
        <w:rPr>
          <w:rFonts w:ascii="Times New Roman" w:hAnsi="Times New Roman"/>
          <w:noProof/>
          <w:sz w:val="24"/>
        </w:rPr>
        <w:t xml:space="preserve"> a higher</w:t>
      </w:r>
      <w:r w:rsidR="00526507" w:rsidRPr="009B5734">
        <w:rPr>
          <w:rFonts w:ascii="Times New Roman" w:hAnsi="Times New Roman"/>
          <w:noProof/>
          <w:sz w:val="24"/>
        </w:rPr>
        <w:t xml:space="preserve"> </w:t>
      </w:r>
      <w:r w:rsidR="00247D2A" w:rsidRPr="009B5734">
        <w:rPr>
          <w:rFonts w:ascii="Times New Roman" w:hAnsi="Times New Roman"/>
          <w:noProof/>
          <w:sz w:val="24"/>
        </w:rPr>
        <w:t xml:space="preserve">level of compliance with </w:t>
      </w:r>
      <w:r w:rsidR="0092385B" w:rsidRPr="009B5734">
        <w:rPr>
          <w:rFonts w:ascii="Times New Roman" w:hAnsi="Times New Roman"/>
          <w:noProof/>
          <w:sz w:val="24"/>
        </w:rPr>
        <w:t>a</w:t>
      </w:r>
      <w:r w:rsidR="00247D2A" w:rsidRPr="009B5734">
        <w:rPr>
          <w:rFonts w:ascii="Times New Roman" w:hAnsi="Times New Roman"/>
          <w:noProof/>
          <w:sz w:val="24"/>
        </w:rPr>
        <w:t xml:space="preserve"> set </w:t>
      </w:r>
      <w:r w:rsidR="0092385B" w:rsidRPr="009B5734">
        <w:rPr>
          <w:rFonts w:ascii="Times New Roman" w:hAnsi="Times New Roman"/>
          <w:noProof/>
          <w:sz w:val="24"/>
        </w:rPr>
        <w:t>of</w:t>
      </w:r>
      <w:r w:rsidR="00247D2A" w:rsidRPr="009B5734">
        <w:rPr>
          <w:rFonts w:ascii="Times New Roman" w:hAnsi="Times New Roman"/>
          <w:noProof/>
          <w:sz w:val="24"/>
        </w:rPr>
        <w:t xml:space="preserve"> principles by labels </w:t>
      </w:r>
      <w:r w:rsidR="00445BA0" w:rsidRPr="009B5734">
        <w:rPr>
          <w:rFonts w:ascii="Times New Roman" w:hAnsi="Times New Roman"/>
          <w:noProof/>
          <w:sz w:val="24"/>
        </w:rPr>
        <w:t>relying on a</w:t>
      </w:r>
      <w:r w:rsidR="00247D2A" w:rsidRPr="009B5734">
        <w:rPr>
          <w:rFonts w:ascii="Times New Roman" w:hAnsi="Times New Roman"/>
          <w:noProof/>
          <w:sz w:val="24"/>
        </w:rPr>
        <w:t xml:space="preserve"> certification scheme compared to those based on “self-declaration”</w:t>
      </w:r>
      <w:r w:rsidR="009F6C0E" w:rsidRPr="009B5734">
        <w:rPr>
          <w:rStyle w:val="FootnoteReference"/>
          <w:rFonts w:ascii="Times New Roman" w:hAnsi="Times New Roman"/>
          <w:noProof/>
          <w:sz w:val="24"/>
        </w:rPr>
        <w:footnoteReference w:id="69"/>
      </w:r>
      <w:r w:rsidR="00247D2A" w:rsidRPr="009B5734">
        <w:rPr>
          <w:rFonts w:ascii="Times New Roman" w:hAnsi="Times New Roman"/>
          <w:noProof/>
          <w:sz w:val="24"/>
        </w:rPr>
        <w:t xml:space="preserve">. </w:t>
      </w:r>
      <w:r w:rsidR="00FB55C2" w:rsidRPr="009B5734">
        <w:rPr>
          <w:rFonts w:ascii="Times New Roman" w:hAnsi="Times New Roman"/>
          <w:noProof/>
          <w:sz w:val="24"/>
        </w:rPr>
        <w:t>However</w:t>
      </w:r>
      <w:r w:rsidR="009F6C0E" w:rsidRPr="009B5734">
        <w:rPr>
          <w:rFonts w:ascii="Times New Roman" w:hAnsi="Times New Roman"/>
          <w:noProof/>
          <w:sz w:val="24"/>
        </w:rPr>
        <w:t>, some shortcomings have also been identified in relation to certification schemes</w:t>
      </w:r>
      <w:r w:rsidR="00B85AE8" w:rsidRPr="009B5734">
        <w:rPr>
          <w:rFonts w:ascii="Times New Roman" w:hAnsi="Times New Roman"/>
          <w:noProof/>
          <w:sz w:val="24"/>
        </w:rPr>
        <w:t xml:space="preserve">. </w:t>
      </w:r>
      <w:r w:rsidR="00FB55C2" w:rsidRPr="009B5734">
        <w:rPr>
          <w:rFonts w:ascii="Times New Roman" w:hAnsi="Times New Roman"/>
          <w:noProof/>
          <w:sz w:val="24"/>
        </w:rPr>
        <w:t>Some of those that have been</w:t>
      </w:r>
      <w:r w:rsidR="009F6C0E" w:rsidRPr="009B5734">
        <w:rPr>
          <w:rFonts w:ascii="Times New Roman" w:hAnsi="Times New Roman"/>
          <w:noProof/>
          <w:sz w:val="24"/>
        </w:rPr>
        <w:t xml:space="preserve"> examined have no or limited information on the</w:t>
      </w:r>
      <w:r w:rsidR="00FB55C2" w:rsidRPr="009B5734">
        <w:rPr>
          <w:rFonts w:ascii="Times New Roman" w:hAnsi="Times New Roman"/>
          <w:noProof/>
          <w:sz w:val="24"/>
        </w:rPr>
        <w:t>ir</w:t>
      </w:r>
      <w:r w:rsidR="009F6C0E" w:rsidRPr="009B5734">
        <w:rPr>
          <w:rFonts w:ascii="Times New Roman" w:hAnsi="Times New Roman"/>
          <w:noProof/>
          <w:sz w:val="24"/>
        </w:rPr>
        <w:t xml:space="preserve"> </w:t>
      </w:r>
      <w:r w:rsidR="009F6C0E" w:rsidRPr="009B5734">
        <w:rPr>
          <w:rFonts w:ascii="Times New Roman" w:hAnsi="Times New Roman"/>
          <w:noProof/>
          <w:sz w:val="24"/>
          <w:lang w:eastAsia="es-ES_tradnl"/>
        </w:rPr>
        <w:t>supervisory structure</w:t>
      </w:r>
      <w:r w:rsidR="0092385B" w:rsidRPr="009B5734">
        <w:rPr>
          <w:rFonts w:ascii="Times New Roman" w:hAnsi="Times New Roman"/>
          <w:noProof/>
          <w:sz w:val="24"/>
          <w:lang w:eastAsia="es-ES_tradnl"/>
        </w:rPr>
        <w:t>, on</w:t>
      </w:r>
      <w:r w:rsidR="009F6C0E" w:rsidRPr="009B5734">
        <w:rPr>
          <w:rFonts w:ascii="Times New Roman" w:hAnsi="Times New Roman"/>
          <w:noProof/>
          <w:sz w:val="24"/>
          <w:lang w:eastAsia="es-ES_tradnl"/>
        </w:rPr>
        <w:t xml:space="preserve"> </w:t>
      </w:r>
      <w:r w:rsidR="00FB55C2" w:rsidRPr="009B5734">
        <w:rPr>
          <w:rFonts w:ascii="Times New Roman" w:hAnsi="Times New Roman"/>
          <w:noProof/>
          <w:sz w:val="24"/>
          <w:lang w:eastAsia="es-ES_tradnl"/>
        </w:rPr>
        <w:t xml:space="preserve">how </w:t>
      </w:r>
      <w:r w:rsidR="00CF74E3" w:rsidRPr="009B5734">
        <w:rPr>
          <w:rFonts w:ascii="Times New Roman" w:hAnsi="Times New Roman"/>
          <w:noProof/>
          <w:sz w:val="24"/>
          <w:lang w:eastAsia="es-ES_tradnl"/>
        </w:rPr>
        <w:t>their</w:t>
      </w:r>
      <w:r w:rsidR="009F6C0E" w:rsidRPr="009B5734">
        <w:rPr>
          <w:rFonts w:ascii="Times New Roman" w:hAnsi="Times New Roman"/>
          <w:noProof/>
          <w:sz w:val="24"/>
          <w:lang w:eastAsia="es-ES_tradnl"/>
        </w:rPr>
        <w:t xml:space="preserve"> requirements</w:t>
      </w:r>
      <w:r w:rsidR="00FB55C2" w:rsidRPr="009B5734">
        <w:rPr>
          <w:rFonts w:ascii="Times New Roman" w:hAnsi="Times New Roman"/>
          <w:noProof/>
          <w:sz w:val="24"/>
          <w:lang w:eastAsia="es-ES_tradnl"/>
        </w:rPr>
        <w:t xml:space="preserve"> are developed</w:t>
      </w:r>
      <w:r w:rsidR="009F6C0E" w:rsidRPr="009B5734">
        <w:rPr>
          <w:rFonts w:ascii="Times New Roman" w:hAnsi="Times New Roman"/>
          <w:noProof/>
          <w:sz w:val="24"/>
          <w:lang w:eastAsia="es-ES_tradnl"/>
        </w:rPr>
        <w:t xml:space="preserve"> or </w:t>
      </w:r>
      <w:r w:rsidR="0092385B" w:rsidRPr="009B5734">
        <w:rPr>
          <w:rFonts w:ascii="Times New Roman" w:hAnsi="Times New Roman"/>
          <w:noProof/>
          <w:sz w:val="24"/>
          <w:lang w:eastAsia="es-ES_tradnl"/>
        </w:rPr>
        <w:t xml:space="preserve">on </w:t>
      </w:r>
      <w:r w:rsidR="00FB55C2" w:rsidRPr="009B5734">
        <w:rPr>
          <w:rFonts w:ascii="Times New Roman" w:hAnsi="Times New Roman"/>
          <w:noProof/>
          <w:sz w:val="24"/>
          <w:lang w:eastAsia="es-ES_tradnl"/>
        </w:rPr>
        <w:t xml:space="preserve">how </w:t>
      </w:r>
      <w:r w:rsidR="009F6C0E" w:rsidRPr="009B5734">
        <w:rPr>
          <w:rFonts w:ascii="Times New Roman" w:hAnsi="Times New Roman"/>
          <w:noProof/>
          <w:sz w:val="24"/>
          <w:lang w:eastAsia="es-ES_tradnl"/>
        </w:rPr>
        <w:t>certification and inspection</w:t>
      </w:r>
      <w:r w:rsidR="00CF74E3" w:rsidRPr="009B5734">
        <w:rPr>
          <w:rFonts w:ascii="Times New Roman" w:hAnsi="Times New Roman"/>
          <w:noProof/>
          <w:sz w:val="24"/>
          <w:lang w:eastAsia="es-ES_tradnl"/>
        </w:rPr>
        <w:t>s actually occur</w:t>
      </w:r>
      <w:r w:rsidR="009F6C0E" w:rsidRPr="009B5734">
        <w:rPr>
          <w:rFonts w:ascii="Times New Roman" w:hAnsi="Times New Roman"/>
          <w:noProof/>
          <w:sz w:val="24"/>
          <w:lang w:eastAsia="es-ES_tradnl"/>
        </w:rPr>
        <w:t xml:space="preserve">. </w:t>
      </w:r>
    </w:p>
    <w:p w:rsidR="004E18B1" w:rsidRPr="009B5734" w:rsidRDefault="00504E23" w:rsidP="00245C90">
      <w:pPr>
        <w:pStyle w:val="BTNumbList"/>
        <w:tabs>
          <w:tab w:val="num" w:pos="567"/>
        </w:tabs>
        <w:spacing w:after="240"/>
        <w:rPr>
          <w:rFonts w:ascii="Times New Roman" w:hAnsi="Times New Roman"/>
          <w:noProof/>
          <w:sz w:val="24"/>
          <w:lang w:eastAsia="es-ES_tradnl"/>
        </w:rPr>
      </w:pPr>
      <w:r w:rsidRPr="00111BFE">
        <w:rPr>
          <w:rFonts w:ascii="Times New Roman" w:hAnsi="Times New Roman"/>
          <w:noProof/>
          <w:sz w:val="24"/>
          <w:lang w:eastAsia="es-ES"/>
        </w:rPr>
        <w:t>According to the stakeholder consultations, the “</w:t>
      </w:r>
      <w:r w:rsidRPr="00111BFE">
        <w:rPr>
          <w:rFonts w:ascii="Times New Roman" w:hAnsi="Times New Roman"/>
          <w:b/>
          <w:bCs/>
          <w:noProof/>
          <w:sz w:val="24"/>
          <w:lang w:eastAsia="es-ES"/>
        </w:rPr>
        <w:t xml:space="preserve">proliferation of </w:t>
      </w:r>
      <w:r w:rsidR="0076605C" w:rsidRPr="00111BFE">
        <w:rPr>
          <w:rFonts w:ascii="Times New Roman" w:hAnsi="Times New Roman"/>
          <w:b/>
          <w:bCs/>
          <w:noProof/>
          <w:sz w:val="24"/>
          <w:lang w:eastAsia="es-ES"/>
        </w:rPr>
        <w:t xml:space="preserve">non-transparent </w:t>
      </w:r>
      <w:r w:rsidRPr="00111BFE">
        <w:rPr>
          <w:rFonts w:ascii="Times New Roman" w:hAnsi="Times New Roman"/>
          <w:b/>
          <w:bCs/>
          <w:noProof/>
          <w:sz w:val="24"/>
          <w:lang w:eastAsia="es-ES"/>
        </w:rPr>
        <w:t xml:space="preserve">online information tools that are </w:t>
      </w:r>
      <w:r w:rsidR="004A3AC8" w:rsidRPr="00111BFE">
        <w:rPr>
          <w:rFonts w:ascii="Times New Roman" w:hAnsi="Times New Roman"/>
          <w:b/>
          <w:bCs/>
          <w:noProof/>
          <w:sz w:val="24"/>
          <w:lang w:eastAsia="es-ES"/>
        </w:rPr>
        <w:t>providing information</w:t>
      </w:r>
      <w:r w:rsidR="00157757" w:rsidRPr="00111BFE">
        <w:rPr>
          <w:rFonts w:ascii="Times New Roman" w:hAnsi="Times New Roman"/>
          <w:b/>
          <w:bCs/>
          <w:noProof/>
          <w:sz w:val="24"/>
          <w:lang w:eastAsia="es-ES"/>
        </w:rPr>
        <w:t>/comparisons</w:t>
      </w:r>
      <w:r w:rsidR="004A3AC8" w:rsidRPr="00111BFE">
        <w:rPr>
          <w:rFonts w:ascii="Times New Roman" w:hAnsi="Times New Roman"/>
          <w:b/>
          <w:bCs/>
          <w:noProof/>
          <w:sz w:val="24"/>
          <w:lang w:eastAsia="es-ES"/>
        </w:rPr>
        <w:t xml:space="preserve"> on the sustainability performance of products</w:t>
      </w:r>
      <w:r w:rsidRPr="00111BFE">
        <w:rPr>
          <w:rFonts w:ascii="Times New Roman" w:hAnsi="Times New Roman"/>
          <w:noProof/>
          <w:sz w:val="24"/>
          <w:lang w:eastAsia="es-ES"/>
        </w:rPr>
        <w:t xml:space="preserve">” </w:t>
      </w:r>
      <w:r w:rsidR="009A3ECA" w:rsidRPr="00111BFE">
        <w:rPr>
          <w:rFonts w:ascii="Times New Roman" w:hAnsi="Times New Roman"/>
          <w:noProof/>
          <w:sz w:val="24"/>
          <w:lang w:eastAsia="es-ES"/>
        </w:rPr>
        <w:t>was identified as an obstacle to enhanced consumer participation in the circular economy by 11% of consumers</w:t>
      </w:r>
      <w:r w:rsidR="009A3ECA" w:rsidRPr="00111BFE">
        <w:rPr>
          <w:rStyle w:val="FootnoteReference"/>
          <w:rFonts w:ascii="Times New Roman" w:hAnsi="Times New Roman"/>
          <w:noProof/>
          <w:sz w:val="24"/>
          <w:lang w:eastAsia="es-ES"/>
        </w:rPr>
        <w:footnoteReference w:id="70"/>
      </w:r>
      <w:r w:rsidR="009A3ECA" w:rsidRPr="00111BFE">
        <w:rPr>
          <w:rFonts w:ascii="Times New Roman" w:hAnsi="Times New Roman"/>
          <w:noProof/>
          <w:sz w:val="24"/>
          <w:lang w:eastAsia="es-ES"/>
        </w:rPr>
        <w:t xml:space="preserve">. It therefore </w:t>
      </w:r>
      <w:r w:rsidRPr="00111BFE">
        <w:rPr>
          <w:rFonts w:ascii="Times New Roman" w:hAnsi="Times New Roman"/>
          <w:noProof/>
          <w:sz w:val="24"/>
          <w:lang w:eastAsia="es-ES"/>
        </w:rPr>
        <w:t xml:space="preserve">does not seem to be considered as equally important </w:t>
      </w:r>
      <w:r w:rsidR="009205C3" w:rsidRPr="00111BFE">
        <w:rPr>
          <w:rFonts w:ascii="Times New Roman" w:hAnsi="Times New Roman"/>
          <w:noProof/>
          <w:sz w:val="24"/>
          <w:lang w:eastAsia="es-ES"/>
        </w:rPr>
        <w:t xml:space="preserve">a </w:t>
      </w:r>
      <w:r w:rsidRPr="00111BFE">
        <w:rPr>
          <w:rFonts w:ascii="Times New Roman" w:hAnsi="Times New Roman"/>
          <w:noProof/>
          <w:sz w:val="24"/>
          <w:lang w:eastAsia="es-ES"/>
        </w:rPr>
        <w:t xml:space="preserve">problem as labels. </w:t>
      </w:r>
      <w:r w:rsidR="00B84271" w:rsidRPr="00111BFE">
        <w:rPr>
          <w:rFonts w:ascii="Times New Roman" w:hAnsi="Times New Roman"/>
          <w:noProof/>
          <w:sz w:val="24"/>
          <w:lang w:eastAsia="es-ES"/>
        </w:rPr>
        <w:t>This could</w:t>
      </w:r>
      <w:r w:rsidR="00BD0EE3" w:rsidRPr="00111BFE">
        <w:rPr>
          <w:rFonts w:ascii="Times New Roman" w:hAnsi="Times New Roman"/>
          <w:noProof/>
          <w:sz w:val="24"/>
          <w:lang w:eastAsia="es-ES"/>
        </w:rPr>
        <w:t>,</w:t>
      </w:r>
      <w:r w:rsidR="00B84271" w:rsidRPr="00111BFE">
        <w:rPr>
          <w:rFonts w:ascii="Times New Roman" w:hAnsi="Times New Roman"/>
          <w:noProof/>
          <w:sz w:val="24"/>
          <w:lang w:eastAsia="es-ES"/>
        </w:rPr>
        <w:t xml:space="preserve"> however</w:t>
      </w:r>
      <w:r w:rsidR="00BD0EE3" w:rsidRPr="00111BFE">
        <w:rPr>
          <w:rFonts w:ascii="Times New Roman" w:hAnsi="Times New Roman"/>
          <w:noProof/>
          <w:sz w:val="24"/>
          <w:lang w:eastAsia="es-ES"/>
        </w:rPr>
        <w:t>,</w:t>
      </w:r>
      <w:r w:rsidR="00B84271" w:rsidRPr="00111BFE">
        <w:rPr>
          <w:rFonts w:ascii="Times New Roman" w:hAnsi="Times New Roman"/>
          <w:noProof/>
          <w:sz w:val="24"/>
          <w:lang w:eastAsia="es-ES"/>
        </w:rPr>
        <w:t xml:space="preserve"> change in the future, a</w:t>
      </w:r>
      <w:r w:rsidRPr="00111BFE">
        <w:rPr>
          <w:rFonts w:ascii="Times New Roman" w:hAnsi="Times New Roman"/>
          <w:noProof/>
          <w:sz w:val="24"/>
          <w:lang w:eastAsia="es-ES"/>
        </w:rPr>
        <w:t xml:space="preserve">s such </w:t>
      </w:r>
      <w:r w:rsidR="005F4156" w:rsidRPr="00111BFE">
        <w:rPr>
          <w:rFonts w:ascii="Times New Roman" w:hAnsi="Times New Roman"/>
          <w:noProof/>
          <w:sz w:val="24"/>
          <w:lang w:eastAsia="es-ES"/>
        </w:rPr>
        <w:t xml:space="preserve">digital information </w:t>
      </w:r>
      <w:r w:rsidRPr="00111BFE">
        <w:rPr>
          <w:rFonts w:ascii="Times New Roman" w:hAnsi="Times New Roman"/>
          <w:noProof/>
          <w:sz w:val="24"/>
          <w:lang w:eastAsia="es-ES"/>
        </w:rPr>
        <w:t>tools are likely to become more and more important in influencing consumers’ behaviour</w:t>
      </w:r>
      <w:r w:rsidR="009A3ECA" w:rsidRPr="00111BFE">
        <w:rPr>
          <w:rFonts w:ascii="Times New Roman" w:hAnsi="Times New Roman"/>
          <w:noProof/>
          <w:sz w:val="24"/>
          <w:lang w:eastAsia="es-ES"/>
        </w:rPr>
        <w:t xml:space="preserve"> due to the increased digitalisation of society</w:t>
      </w:r>
      <w:r w:rsidRPr="00111BFE">
        <w:rPr>
          <w:rFonts w:ascii="Times New Roman" w:hAnsi="Times New Roman"/>
          <w:noProof/>
          <w:sz w:val="24"/>
          <w:lang w:eastAsia="es-ES"/>
        </w:rPr>
        <w:t>.</w:t>
      </w:r>
      <w:bookmarkStart w:id="72" w:name="_Toc58149005"/>
      <w:bookmarkStart w:id="73" w:name="_Toc58222383"/>
      <w:bookmarkStart w:id="74" w:name="_Toc58149006"/>
      <w:bookmarkStart w:id="75" w:name="_Toc58604040"/>
      <w:bookmarkEnd w:id="72"/>
      <w:bookmarkEnd w:id="73"/>
    </w:p>
    <w:p w:rsidR="00EF2BE3" w:rsidRPr="009B5734" w:rsidRDefault="00A00208" w:rsidP="00A00208">
      <w:pPr>
        <w:pStyle w:val="Heading2"/>
        <w:rPr>
          <w:noProof/>
        </w:rPr>
      </w:pPr>
      <w:bookmarkStart w:id="76" w:name="_What_are_the_1"/>
      <w:bookmarkStart w:id="77" w:name="_Toc77844225"/>
      <w:bookmarkStart w:id="78" w:name="_Toc86391728"/>
      <w:bookmarkEnd w:id="76"/>
      <w:r w:rsidRPr="00A00208">
        <w:t>2.3.</w:t>
      </w:r>
      <w:r w:rsidRPr="00A00208">
        <w:tab/>
      </w:r>
      <w:r w:rsidR="006B087E" w:rsidRPr="009B5734">
        <w:rPr>
          <w:noProof/>
        </w:rPr>
        <w:t>What are the problem drivers?</w:t>
      </w:r>
      <w:bookmarkEnd w:id="74"/>
      <w:bookmarkEnd w:id="75"/>
      <w:bookmarkEnd w:id="77"/>
      <w:bookmarkEnd w:id="78"/>
    </w:p>
    <w:p w:rsidR="00250928" w:rsidRPr="009B5734" w:rsidRDefault="00250928" w:rsidP="00250928">
      <w:pPr>
        <w:pStyle w:val="Text2"/>
        <w:ind w:left="0" w:firstLine="0"/>
        <w:rPr>
          <w:noProof/>
        </w:rPr>
      </w:pPr>
      <w:r w:rsidRPr="009B5734">
        <w:rPr>
          <w:noProof/>
        </w:rPr>
        <w:t xml:space="preserve">The drivers behind these problems have been identified as </w:t>
      </w:r>
      <w:r w:rsidRPr="009B5734">
        <w:rPr>
          <w:b/>
          <w:noProof/>
        </w:rPr>
        <w:t>market failure</w:t>
      </w:r>
      <w:r w:rsidRPr="009B5734">
        <w:rPr>
          <w:noProof/>
        </w:rPr>
        <w:t xml:space="preserve">, </w:t>
      </w:r>
      <w:r w:rsidR="00BF0D6B" w:rsidRPr="009B5734">
        <w:rPr>
          <w:noProof/>
        </w:rPr>
        <w:t>as well as</w:t>
      </w:r>
      <w:r w:rsidRPr="009B5734">
        <w:rPr>
          <w:noProof/>
        </w:rPr>
        <w:t xml:space="preserve"> an</w:t>
      </w:r>
      <w:r w:rsidRPr="009B5734">
        <w:rPr>
          <w:b/>
          <w:noProof/>
        </w:rPr>
        <w:t xml:space="preserve"> insufficiently adapted regulatory framework</w:t>
      </w:r>
      <w:r w:rsidRPr="009B5734">
        <w:rPr>
          <w:noProof/>
        </w:rPr>
        <w:t>.</w:t>
      </w:r>
      <w:r w:rsidR="00087B0C" w:rsidRPr="009B5734">
        <w:rPr>
          <w:rStyle w:val="FootnoteReference"/>
          <w:noProof/>
        </w:rPr>
        <w:footnoteReference w:id="71"/>
      </w:r>
      <w:r w:rsidRPr="009B5734">
        <w:rPr>
          <w:noProof/>
        </w:rPr>
        <w:t xml:space="preserve"> The impact of these drivers on each of the</w:t>
      </w:r>
      <w:r w:rsidR="0043052B" w:rsidRPr="009B5734">
        <w:rPr>
          <w:noProof/>
        </w:rPr>
        <w:t xml:space="preserve"> problems and</w:t>
      </w:r>
      <w:r w:rsidRPr="009B5734">
        <w:rPr>
          <w:noProof/>
        </w:rPr>
        <w:t xml:space="preserve"> sub-problems identified is presented in Figure 1</w:t>
      </w:r>
      <w:r w:rsidR="008B689D" w:rsidRPr="009B5734">
        <w:rPr>
          <w:noProof/>
        </w:rPr>
        <w:t xml:space="preserve"> below</w:t>
      </w:r>
      <w:r w:rsidRPr="009B5734">
        <w:rPr>
          <w:noProof/>
        </w:rPr>
        <w:t xml:space="preserve">. </w:t>
      </w:r>
      <w:r w:rsidR="002D3064" w:rsidRPr="009B5734">
        <w:rPr>
          <w:noProof/>
        </w:rPr>
        <w:t>It</w:t>
      </w:r>
      <w:r w:rsidRPr="009B5734">
        <w:rPr>
          <w:noProof/>
        </w:rPr>
        <w:t xml:space="preserve"> also outlines the consequences of each of the sub-problems</w:t>
      </w:r>
      <w:r w:rsidR="0043052B" w:rsidRPr="009B5734">
        <w:rPr>
          <w:noProof/>
        </w:rPr>
        <w:t xml:space="preserve"> for consumers, for the market and the environment</w:t>
      </w:r>
      <w:r w:rsidRPr="009B5734">
        <w:rPr>
          <w:noProof/>
        </w:rPr>
        <w:t>, which are presented in more detail in</w:t>
      </w:r>
      <w:r w:rsidR="00E57010" w:rsidRPr="009B5734">
        <w:rPr>
          <w:noProof/>
        </w:rPr>
        <w:t xml:space="preserve"> </w:t>
      </w:r>
      <w:hyperlink w:anchor="_Annex_12:_Consequences_1" w:history="1">
        <w:r w:rsidR="00E57010" w:rsidRPr="009B5734">
          <w:rPr>
            <w:rStyle w:val="Hyperlink"/>
            <w:noProof/>
          </w:rPr>
          <w:t>Annex 12</w:t>
        </w:r>
      </w:hyperlink>
      <w:r w:rsidRPr="009B5734">
        <w:rPr>
          <w:noProof/>
        </w:rPr>
        <w:t xml:space="preserve">, as well as the specific and general objectives of the initiative, which are discussed </w:t>
      </w:r>
      <w:r w:rsidR="0043052B" w:rsidRPr="009B5734">
        <w:rPr>
          <w:noProof/>
        </w:rPr>
        <w:t>further</w:t>
      </w:r>
      <w:r w:rsidRPr="009B5734">
        <w:rPr>
          <w:noProof/>
        </w:rPr>
        <w:t xml:space="preserve"> in </w:t>
      </w:r>
      <w:hyperlink w:anchor="_Objectives:_What_is" w:history="1">
        <w:r w:rsidRPr="009B5734">
          <w:rPr>
            <w:rStyle w:val="Hyperlink"/>
            <w:noProof/>
          </w:rPr>
          <w:t>Section 4</w:t>
        </w:r>
      </w:hyperlink>
      <w:r w:rsidRPr="009B5734">
        <w:rPr>
          <w:noProof/>
        </w:rPr>
        <w:t>.</w:t>
      </w:r>
    </w:p>
    <w:p w:rsidR="00EA0C7D" w:rsidRPr="009B5734" w:rsidRDefault="00EA0C7D" w:rsidP="00250928">
      <w:pPr>
        <w:pStyle w:val="FigureTitle"/>
        <w:rPr>
          <w:noProof/>
          <w:lang w:eastAsia="fr-BE"/>
        </w:rPr>
        <w:sectPr w:rsidR="00EA0C7D" w:rsidRPr="009B5734" w:rsidSect="00DF5BB6">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701" w:header="567" w:footer="340" w:gutter="0"/>
          <w:pgNumType w:start="1"/>
          <w:cols w:space="708"/>
          <w:docGrid w:linePitch="360"/>
        </w:sectPr>
      </w:pPr>
    </w:p>
    <w:p w:rsidR="00806A32" w:rsidRPr="009B5734" w:rsidRDefault="00250928" w:rsidP="00A2373E">
      <w:pPr>
        <w:pStyle w:val="FigureTitle"/>
        <w:rPr>
          <w:noProof/>
          <w:lang w:eastAsia="fr-BE"/>
        </w:rPr>
      </w:pPr>
      <w:r w:rsidRPr="009B5734">
        <w:rPr>
          <w:noProof/>
          <w:lang w:eastAsia="fr-BE"/>
        </w:rPr>
        <w:t>Problem tre</w:t>
      </w:r>
      <w:r w:rsidRPr="009B5734">
        <w:rPr>
          <w:i w:val="0"/>
          <w:noProof/>
          <w:lang w:eastAsia="fr-BE"/>
        </w:rPr>
        <w:t>e</w:t>
      </w:r>
    </w:p>
    <w:p w:rsidR="00806A32" w:rsidRPr="009B5734" w:rsidRDefault="00C50176" w:rsidP="00C50176">
      <w:pPr>
        <w:pStyle w:val="FigureTitle"/>
        <w:numPr>
          <w:ilvl w:val="0"/>
          <w:numId w:val="0"/>
        </w:numPr>
        <w:rPr>
          <w:noProof/>
          <w:lang w:eastAsia="fr-BE"/>
        </w:rPr>
      </w:pPr>
      <w:r w:rsidRPr="009B5734">
        <w:rPr>
          <w:noProof/>
          <w:lang w:eastAsia="en-GB"/>
        </w:rPr>
        <w:drawing>
          <wp:inline distT="0" distB="0" distL="0" distR="0" wp14:anchorId="58941A24" wp14:editId="44BBA96D">
            <wp:extent cx="7470720" cy="52791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514118" cy="5309818"/>
                    </a:xfrm>
                    <a:prstGeom prst="rect">
                      <a:avLst/>
                    </a:prstGeom>
                  </pic:spPr>
                </pic:pic>
              </a:graphicData>
            </a:graphic>
          </wp:inline>
        </w:drawing>
      </w:r>
    </w:p>
    <w:p w:rsidR="00C50176" w:rsidRPr="009B5734" w:rsidRDefault="00C50176" w:rsidP="00F85135">
      <w:pPr>
        <w:pStyle w:val="FigureTitle"/>
        <w:numPr>
          <w:ilvl w:val="0"/>
          <w:numId w:val="0"/>
        </w:numPr>
        <w:ind w:left="567"/>
        <w:rPr>
          <w:noProof/>
        </w:rPr>
        <w:sectPr w:rsidR="00C50176" w:rsidRPr="009B5734" w:rsidSect="00C50176">
          <w:headerReference w:type="even" r:id="rId31"/>
          <w:headerReference w:type="default" r:id="rId32"/>
          <w:footerReference w:type="even" r:id="rId33"/>
          <w:footerReference w:type="default" r:id="rId34"/>
          <w:headerReference w:type="first" r:id="rId35"/>
          <w:footerReference w:type="first" r:id="rId36"/>
          <w:pgSz w:w="16838" w:h="11906" w:orient="landscape"/>
          <w:pgMar w:top="1701" w:right="1418" w:bottom="1418" w:left="1418" w:header="567" w:footer="340" w:gutter="0"/>
          <w:cols w:space="708"/>
          <w:docGrid w:linePitch="360"/>
        </w:sectPr>
      </w:pPr>
      <w:bookmarkStart w:id="79" w:name="_Toc58149007"/>
      <w:bookmarkStart w:id="80" w:name="_Toc58604041"/>
    </w:p>
    <w:p w:rsidR="0043052B" w:rsidRPr="00111BFE" w:rsidRDefault="0043052B" w:rsidP="00111BFE">
      <w:pPr>
        <w:pStyle w:val="BTBullet1Last"/>
        <w:tabs>
          <w:tab w:val="clear" w:pos="1191"/>
        </w:tabs>
        <w:ind w:left="0" w:firstLine="0"/>
        <w:rPr>
          <w:rFonts w:ascii="Times New Roman" w:hAnsi="Times New Roman"/>
          <w:noProof/>
          <w:sz w:val="24"/>
        </w:rPr>
      </w:pPr>
      <w:r w:rsidRPr="7F52AB9A">
        <w:rPr>
          <w:rFonts w:ascii="Times New Roman" w:hAnsi="Times New Roman"/>
          <w:noProof/>
          <w:sz w:val="24"/>
        </w:rPr>
        <w:t>As can be seen from this</w:t>
      </w:r>
      <w:r w:rsidR="00E57010" w:rsidRPr="7F52AB9A">
        <w:rPr>
          <w:rFonts w:ascii="Times New Roman" w:hAnsi="Times New Roman"/>
          <w:noProof/>
          <w:sz w:val="24"/>
        </w:rPr>
        <w:t xml:space="preserve"> problem tree</w:t>
      </w:r>
      <w:r w:rsidRPr="7F52AB9A">
        <w:rPr>
          <w:rFonts w:ascii="Times New Roman" w:hAnsi="Times New Roman"/>
          <w:noProof/>
          <w:sz w:val="24"/>
        </w:rPr>
        <w:t xml:space="preserve">, in relation to </w:t>
      </w:r>
      <w:hyperlink w:anchor="_Toc53757107" w:history="1">
        <w:r w:rsidRPr="7F52AB9A">
          <w:rPr>
            <w:rStyle w:val="Hyperlink"/>
            <w:rFonts w:ascii="Times New Roman" w:hAnsi="Times New Roman"/>
            <w:noProof/>
            <w:sz w:val="24"/>
          </w:rPr>
          <w:t>Problem 1</w:t>
        </w:r>
      </w:hyperlink>
      <w:r w:rsidRPr="7F52AB9A">
        <w:rPr>
          <w:rFonts w:ascii="Times New Roman" w:hAnsi="Times New Roman"/>
          <w:noProof/>
          <w:sz w:val="24"/>
        </w:rPr>
        <w:t xml:space="preserve"> </w:t>
      </w:r>
      <w:r w:rsidR="004849EC" w:rsidRPr="7F52AB9A">
        <w:rPr>
          <w:rFonts w:ascii="Times New Roman" w:hAnsi="Times New Roman"/>
          <w:noProof/>
          <w:sz w:val="24"/>
        </w:rPr>
        <w:t xml:space="preserve">specifically </w:t>
      </w:r>
      <w:r w:rsidRPr="7F52AB9A">
        <w:rPr>
          <w:rFonts w:ascii="Times New Roman" w:hAnsi="Times New Roman"/>
          <w:noProof/>
          <w:sz w:val="24"/>
        </w:rPr>
        <w:t xml:space="preserve">(Consumers lack </w:t>
      </w:r>
      <w:r w:rsidR="00B56D0C" w:rsidRPr="7F52AB9A">
        <w:rPr>
          <w:rFonts w:ascii="Times New Roman" w:hAnsi="Times New Roman"/>
          <w:noProof/>
          <w:sz w:val="24"/>
        </w:rPr>
        <w:t xml:space="preserve">reliable </w:t>
      </w:r>
      <w:r w:rsidRPr="7F52AB9A">
        <w:rPr>
          <w:rFonts w:ascii="Times New Roman" w:hAnsi="Times New Roman"/>
          <w:noProof/>
          <w:sz w:val="24"/>
        </w:rPr>
        <w:t xml:space="preserve">information </w:t>
      </w:r>
      <w:r w:rsidR="003A1412">
        <w:rPr>
          <w:rFonts w:ascii="Times New Roman" w:hAnsi="Times New Roman"/>
          <w:noProof/>
          <w:sz w:val="24"/>
        </w:rPr>
        <w:t>at</w:t>
      </w:r>
      <w:r w:rsidRPr="7F52AB9A">
        <w:rPr>
          <w:rFonts w:ascii="Times New Roman" w:hAnsi="Times New Roman"/>
          <w:noProof/>
          <w:sz w:val="24"/>
        </w:rPr>
        <w:t xml:space="preserve"> the </w:t>
      </w:r>
      <w:r w:rsidR="003A1412">
        <w:rPr>
          <w:rFonts w:ascii="Times New Roman" w:hAnsi="Times New Roman"/>
          <w:noProof/>
          <w:sz w:val="24"/>
        </w:rPr>
        <w:t>point of sale</w:t>
      </w:r>
      <w:r w:rsidR="003A1412" w:rsidRPr="003A1412">
        <w:rPr>
          <w:rFonts w:ascii="Times New Roman" w:hAnsi="Times New Roman"/>
          <w:noProof/>
          <w:sz w:val="24"/>
        </w:rPr>
        <w:t xml:space="preserve"> to make environmentally sustainable consumption choices</w:t>
      </w:r>
      <w:r w:rsidRPr="7F52AB9A">
        <w:rPr>
          <w:rFonts w:ascii="Times New Roman" w:hAnsi="Times New Roman"/>
          <w:noProof/>
          <w:sz w:val="24"/>
        </w:rPr>
        <w:t xml:space="preserve">), one driver is that there are insufficient incentives for companies to provide consumers with </w:t>
      </w:r>
      <w:r w:rsidR="00B56D0C" w:rsidRPr="7F52AB9A">
        <w:rPr>
          <w:rFonts w:ascii="Times New Roman" w:hAnsi="Times New Roman"/>
          <w:noProof/>
          <w:sz w:val="24"/>
        </w:rPr>
        <w:t xml:space="preserve">reliable </w:t>
      </w:r>
      <w:r w:rsidRPr="7F52AB9A">
        <w:rPr>
          <w:rFonts w:ascii="Times New Roman" w:hAnsi="Times New Roman"/>
          <w:noProof/>
          <w:sz w:val="24"/>
        </w:rPr>
        <w:t>information on the environmental characteristics, lifespans, and reparability of their products unless the expected benefits in terms of increased demand outweigh the costs of providing that information</w:t>
      </w:r>
      <w:r w:rsidRPr="7F52AB9A">
        <w:rPr>
          <w:rStyle w:val="FootnoteReference"/>
          <w:rFonts w:ascii="Times New Roman" w:hAnsi="Times New Roman"/>
          <w:noProof/>
          <w:sz w:val="24"/>
        </w:rPr>
        <w:footnoteReference w:id="72"/>
      </w:r>
      <w:r w:rsidRPr="7F52AB9A">
        <w:rPr>
          <w:rFonts w:ascii="Times New Roman" w:hAnsi="Times New Roman"/>
          <w:noProof/>
          <w:sz w:val="24"/>
        </w:rPr>
        <w:t xml:space="preserve">. </w:t>
      </w:r>
      <w:r w:rsidR="004849EC" w:rsidRPr="7F52AB9A">
        <w:rPr>
          <w:rFonts w:ascii="Times New Roman" w:hAnsi="Times New Roman"/>
          <w:noProof/>
          <w:sz w:val="24"/>
        </w:rPr>
        <w:t>A second</w:t>
      </w:r>
      <w:r w:rsidRPr="7F52AB9A">
        <w:rPr>
          <w:rFonts w:ascii="Times New Roman" w:hAnsi="Times New Roman"/>
          <w:noProof/>
          <w:sz w:val="24"/>
        </w:rPr>
        <w:t xml:space="preserve"> driver is that under existing EU instruments, making information on products’ environmental sustainability available is voluntary</w:t>
      </w:r>
      <w:r w:rsidRPr="7F52AB9A">
        <w:rPr>
          <w:rFonts w:ascii="Times New Roman" w:hAnsi="Times New Roman"/>
          <w:noProof/>
          <w:sz w:val="24"/>
          <w:vertAlign w:val="superscript"/>
        </w:rPr>
        <w:footnoteReference w:id="73"/>
      </w:r>
      <w:r w:rsidRPr="7F52AB9A">
        <w:rPr>
          <w:rFonts w:ascii="Times New Roman" w:hAnsi="Times New Roman"/>
          <w:noProof/>
          <w:sz w:val="24"/>
        </w:rPr>
        <w:t xml:space="preserve"> and/or limited to certain product categories and/or features</w:t>
      </w:r>
      <w:r w:rsidRPr="7F52AB9A">
        <w:rPr>
          <w:rFonts w:ascii="Times New Roman" w:hAnsi="Times New Roman"/>
          <w:noProof/>
          <w:sz w:val="24"/>
          <w:vertAlign w:val="superscript"/>
        </w:rPr>
        <w:footnoteReference w:id="74"/>
      </w:r>
      <w:r w:rsidRPr="7F52AB9A">
        <w:rPr>
          <w:rFonts w:ascii="Times New Roman" w:hAnsi="Times New Roman"/>
          <w:noProof/>
          <w:sz w:val="24"/>
          <w:vertAlign w:val="superscript"/>
        </w:rPr>
        <w:t>,</w:t>
      </w:r>
      <w:r w:rsidRPr="7F52AB9A">
        <w:rPr>
          <w:rFonts w:ascii="Times New Roman" w:hAnsi="Times New Roman"/>
          <w:noProof/>
          <w:sz w:val="24"/>
          <w:vertAlign w:val="superscript"/>
        </w:rPr>
        <w:footnoteReference w:id="75"/>
      </w:r>
      <w:r w:rsidRPr="7F52AB9A">
        <w:rPr>
          <w:rFonts w:ascii="Times New Roman" w:hAnsi="Times New Roman"/>
          <w:noProof/>
          <w:sz w:val="24"/>
        </w:rPr>
        <w:t>.</w:t>
      </w:r>
      <w:r w:rsidR="008D2C27" w:rsidRPr="7F52AB9A">
        <w:rPr>
          <w:rFonts w:ascii="Times New Roman" w:hAnsi="Times New Roman"/>
          <w:noProof/>
          <w:sz w:val="24"/>
        </w:rPr>
        <w:t xml:space="preserve"> </w:t>
      </w:r>
      <w:r w:rsidR="00FB6F4D" w:rsidRPr="7F52AB9A">
        <w:rPr>
          <w:rFonts w:ascii="Times New Roman" w:hAnsi="Times New Roman"/>
          <w:noProof/>
          <w:sz w:val="24"/>
        </w:rPr>
        <w:t>In absence of common rules, t</w:t>
      </w:r>
      <w:r w:rsidR="008D2C27" w:rsidRPr="7F52AB9A">
        <w:rPr>
          <w:rFonts w:ascii="Times New Roman" w:hAnsi="Times New Roman"/>
          <w:noProof/>
          <w:sz w:val="24"/>
        </w:rPr>
        <w:t>his leads to different levels of protection of consumer rights among Member States</w:t>
      </w:r>
      <w:r w:rsidR="00FB6F4D" w:rsidRPr="7F52AB9A">
        <w:rPr>
          <w:rFonts w:ascii="Times New Roman" w:hAnsi="Times New Roman"/>
          <w:noProof/>
          <w:sz w:val="24"/>
        </w:rPr>
        <w:t xml:space="preserve"> when certain Member States </w:t>
      </w:r>
      <w:r w:rsidR="00FB4DB3" w:rsidRPr="7F52AB9A">
        <w:rPr>
          <w:rFonts w:ascii="Times New Roman" w:hAnsi="Times New Roman"/>
          <w:noProof/>
          <w:sz w:val="24"/>
        </w:rPr>
        <w:t>would</w:t>
      </w:r>
      <w:r w:rsidR="00FB6F4D" w:rsidRPr="7F52AB9A">
        <w:rPr>
          <w:rFonts w:ascii="Times New Roman" w:hAnsi="Times New Roman"/>
          <w:noProof/>
          <w:sz w:val="24"/>
        </w:rPr>
        <w:t xml:space="preserve"> start </w:t>
      </w:r>
      <w:r w:rsidR="00776797" w:rsidRPr="7F52AB9A">
        <w:rPr>
          <w:rFonts w:ascii="Times New Roman" w:hAnsi="Times New Roman"/>
          <w:noProof/>
          <w:sz w:val="24"/>
        </w:rPr>
        <w:t>regulating</w:t>
      </w:r>
      <w:r w:rsidR="00FB6F4D" w:rsidRPr="7F52AB9A">
        <w:rPr>
          <w:rFonts w:ascii="Times New Roman" w:hAnsi="Times New Roman"/>
          <w:noProof/>
          <w:sz w:val="24"/>
        </w:rPr>
        <w:t xml:space="preserve"> </w:t>
      </w:r>
      <w:r w:rsidR="00FB4DB3" w:rsidRPr="7F52AB9A">
        <w:rPr>
          <w:rFonts w:ascii="Times New Roman" w:hAnsi="Times New Roman"/>
          <w:noProof/>
          <w:sz w:val="24"/>
        </w:rPr>
        <w:t>while others not</w:t>
      </w:r>
      <w:r w:rsidR="008D2C27" w:rsidRPr="7F52AB9A">
        <w:rPr>
          <w:rFonts w:ascii="Times New Roman" w:hAnsi="Times New Roman"/>
          <w:noProof/>
          <w:sz w:val="24"/>
        </w:rPr>
        <w:t>.</w:t>
      </w:r>
      <w:r w:rsidRPr="7F52AB9A">
        <w:rPr>
          <w:rFonts w:ascii="Times New Roman" w:hAnsi="Times New Roman"/>
          <w:noProof/>
          <w:sz w:val="24"/>
        </w:rPr>
        <w:t xml:space="preserve"> The EU’s general consumer protection rules (namely the Unfair Commercial Practices Directive 2005/29/EC - UCPD and the Consumer Rights Directive 2011/83/EU - CRD) generally require traders to provide consumers with information that they need in order to make an informed</w:t>
      </w:r>
      <w:r w:rsidR="00173669" w:rsidRPr="7F52AB9A">
        <w:rPr>
          <w:rFonts w:ascii="Times New Roman" w:hAnsi="Times New Roman"/>
          <w:noProof/>
          <w:sz w:val="24"/>
        </w:rPr>
        <w:t>, independent</w:t>
      </w:r>
      <w:r w:rsidRPr="7F52AB9A">
        <w:rPr>
          <w:rFonts w:ascii="Times New Roman" w:hAnsi="Times New Roman"/>
          <w:noProof/>
          <w:sz w:val="24"/>
        </w:rPr>
        <w:t xml:space="preserve"> transactional decision. These rules</w:t>
      </w:r>
      <w:r w:rsidR="0046344C" w:rsidRPr="7F52AB9A">
        <w:rPr>
          <w:rFonts w:ascii="Times New Roman" w:hAnsi="Times New Roman"/>
          <w:noProof/>
          <w:sz w:val="24"/>
        </w:rPr>
        <w:t>,</w:t>
      </w:r>
      <w:r w:rsidR="00393CCA" w:rsidRPr="7F52AB9A">
        <w:rPr>
          <w:rFonts w:ascii="Times New Roman" w:hAnsi="Times New Roman"/>
          <w:noProof/>
          <w:sz w:val="24"/>
        </w:rPr>
        <w:t xml:space="preserve"> however</w:t>
      </w:r>
      <w:r w:rsidR="0046344C" w:rsidRPr="7F52AB9A">
        <w:rPr>
          <w:rFonts w:ascii="Times New Roman" w:hAnsi="Times New Roman"/>
          <w:noProof/>
          <w:sz w:val="24"/>
        </w:rPr>
        <w:t>,</w:t>
      </w:r>
      <w:r w:rsidRPr="7F52AB9A">
        <w:rPr>
          <w:rFonts w:ascii="Times New Roman" w:hAnsi="Times New Roman"/>
          <w:noProof/>
          <w:sz w:val="24"/>
        </w:rPr>
        <w:t xml:space="preserve"> do not specifically require the provision of</w:t>
      </w:r>
      <w:r w:rsidRPr="7F52AB9A" w:rsidDel="00230ED6">
        <w:rPr>
          <w:rFonts w:ascii="Times New Roman" w:hAnsi="Times New Roman"/>
          <w:noProof/>
          <w:sz w:val="24"/>
        </w:rPr>
        <w:t xml:space="preserve"> </w:t>
      </w:r>
      <w:r w:rsidR="00B56D0C" w:rsidRPr="7F52AB9A">
        <w:rPr>
          <w:rFonts w:ascii="Times New Roman" w:hAnsi="Times New Roman"/>
          <w:noProof/>
          <w:sz w:val="24"/>
        </w:rPr>
        <w:t xml:space="preserve">reliable </w:t>
      </w:r>
      <w:r w:rsidRPr="7F52AB9A">
        <w:rPr>
          <w:rFonts w:ascii="Times New Roman" w:hAnsi="Times New Roman"/>
          <w:noProof/>
          <w:sz w:val="24"/>
        </w:rPr>
        <w:t xml:space="preserve">information about products’ environmental characteristics, lifespan or reparability. </w:t>
      </w:r>
    </w:p>
    <w:p w:rsidR="00A51109" w:rsidRPr="00111BFE" w:rsidRDefault="0043052B">
      <w:pPr>
        <w:pStyle w:val="BTNumbList"/>
        <w:rPr>
          <w:rFonts w:ascii="Times New Roman" w:hAnsi="Times New Roman"/>
          <w:noProof/>
          <w:sz w:val="24"/>
          <w:vertAlign w:val="superscript"/>
        </w:rPr>
      </w:pPr>
      <w:r w:rsidRPr="7F52AB9A">
        <w:rPr>
          <w:rFonts w:ascii="Times New Roman" w:hAnsi="Times New Roman"/>
          <w:noProof/>
          <w:sz w:val="24"/>
        </w:rPr>
        <w:t xml:space="preserve">In relation to </w:t>
      </w:r>
      <w:hyperlink w:anchor="_Problem_2:_Consumers" w:history="1">
        <w:r w:rsidRPr="7F52AB9A">
          <w:rPr>
            <w:rStyle w:val="Hyperlink"/>
            <w:rFonts w:ascii="Times New Roman" w:hAnsi="Times New Roman"/>
            <w:noProof/>
            <w:sz w:val="24"/>
          </w:rPr>
          <w:t>Problem 2</w:t>
        </w:r>
      </w:hyperlink>
      <w:r w:rsidRPr="7F52AB9A">
        <w:rPr>
          <w:rFonts w:ascii="Times New Roman" w:hAnsi="Times New Roman"/>
          <w:noProof/>
          <w:sz w:val="24"/>
        </w:rPr>
        <w:t xml:space="preserve"> (Consumers face </w:t>
      </w:r>
      <w:r w:rsidR="00B56D0C" w:rsidRPr="7F52AB9A">
        <w:rPr>
          <w:rFonts w:ascii="Times New Roman" w:hAnsi="Times New Roman"/>
          <w:noProof/>
          <w:sz w:val="24"/>
        </w:rPr>
        <w:t xml:space="preserve">misleading </w:t>
      </w:r>
      <w:r w:rsidR="003A1412" w:rsidRPr="003A1412">
        <w:rPr>
          <w:rFonts w:ascii="Times New Roman" w:hAnsi="Times New Roman"/>
          <w:noProof/>
          <w:sz w:val="24"/>
        </w:rPr>
        <w:t xml:space="preserve">commercial </w:t>
      </w:r>
      <w:r w:rsidRPr="7F52AB9A">
        <w:rPr>
          <w:rFonts w:ascii="Times New Roman" w:hAnsi="Times New Roman"/>
          <w:noProof/>
          <w:sz w:val="24"/>
        </w:rPr>
        <w:t xml:space="preserve">practices </w:t>
      </w:r>
      <w:r w:rsidR="003A1412" w:rsidRPr="003A1412">
        <w:rPr>
          <w:rFonts w:ascii="Times New Roman" w:hAnsi="Times New Roman"/>
          <w:noProof/>
          <w:sz w:val="24"/>
        </w:rPr>
        <w:t>related</w:t>
      </w:r>
      <w:r w:rsidRPr="7F52AB9A">
        <w:rPr>
          <w:rFonts w:ascii="Times New Roman" w:hAnsi="Times New Roman"/>
          <w:noProof/>
          <w:sz w:val="24"/>
        </w:rPr>
        <w:t xml:space="preserve"> to the </w:t>
      </w:r>
      <w:r w:rsidR="003A1412" w:rsidRPr="003A1412">
        <w:rPr>
          <w:rFonts w:ascii="Times New Roman" w:hAnsi="Times New Roman"/>
          <w:noProof/>
          <w:sz w:val="24"/>
        </w:rPr>
        <w:t>sustainability of products</w:t>
      </w:r>
      <w:r w:rsidRPr="7F52AB9A">
        <w:rPr>
          <w:rFonts w:ascii="Times New Roman" w:hAnsi="Times New Roman"/>
          <w:noProof/>
          <w:sz w:val="24"/>
        </w:rPr>
        <w:t>)</w:t>
      </w:r>
      <w:r w:rsidR="004849EC" w:rsidRPr="7F52AB9A">
        <w:rPr>
          <w:rFonts w:ascii="Times New Roman" w:hAnsi="Times New Roman"/>
          <w:noProof/>
          <w:sz w:val="24"/>
        </w:rPr>
        <w:t>, one driver is that manufacturers and sellers have economic incentives to manufacture and sell goods with lifespans that are shorter than they could realistically be able to achieve, so that they can reduce their costs or sell new or replacement goods to consumers</w:t>
      </w:r>
      <w:r w:rsidR="004849EC" w:rsidRPr="7F52AB9A">
        <w:rPr>
          <w:rFonts w:ascii="Times New Roman" w:hAnsi="Times New Roman"/>
          <w:noProof/>
          <w:sz w:val="24"/>
          <w:vertAlign w:val="superscript"/>
        </w:rPr>
        <w:footnoteReference w:id="76"/>
      </w:r>
      <w:r w:rsidR="004849EC" w:rsidRPr="7F52AB9A">
        <w:rPr>
          <w:rFonts w:ascii="Times New Roman" w:hAnsi="Times New Roman"/>
          <w:noProof/>
          <w:sz w:val="24"/>
        </w:rPr>
        <w:t xml:space="preserve">. Furthermore, concerning greenwashing, the increased interest of consumers in </w:t>
      </w:r>
      <w:r w:rsidR="00393CCA" w:rsidRPr="7F52AB9A">
        <w:rPr>
          <w:rFonts w:ascii="Times New Roman" w:hAnsi="Times New Roman"/>
          <w:noProof/>
          <w:sz w:val="24"/>
        </w:rPr>
        <w:t xml:space="preserve">environmentally </w:t>
      </w:r>
      <w:r w:rsidR="004849EC" w:rsidRPr="7F52AB9A">
        <w:rPr>
          <w:rFonts w:ascii="Times New Roman" w:hAnsi="Times New Roman"/>
          <w:noProof/>
          <w:sz w:val="24"/>
        </w:rPr>
        <w:t xml:space="preserve">sustainable products provides an incentive to market products as </w:t>
      </w:r>
      <w:r w:rsidR="00393CCA" w:rsidRPr="7F52AB9A">
        <w:rPr>
          <w:rFonts w:ascii="Times New Roman" w:hAnsi="Times New Roman"/>
          <w:noProof/>
          <w:sz w:val="24"/>
        </w:rPr>
        <w:t xml:space="preserve">environmentally friendly </w:t>
      </w:r>
      <w:r w:rsidR="004849EC" w:rsidRPr="7F52AB9A">
        <w:rPr>
          <w:rFonts w:ascii="Times New Roman" w:hAnsi="Times New Roman"/>
          <w:noProof/>
          <w:sz w:val="24"/>
        </w:rPr>
        <w:t>to gain a competitive advantage (or at least not to put oneself at a disadvantage). A second driver is the lack of precision of the EU</w:t>
      </w:r>
      <w:r w:rsidR="00FB4DB3" w:rsidRPr="7F52AB9A">
        <w:rPr>
          <w:rFonts w:ascii="Times New Roman" w:hAnsi="Times New Roman"/>
          <w:noProof/>
          <w:sz w:val="24"/>
        </w:rPr>
        <w:t xml:space="preserve"> consumer</w:t>
      </w:r>
      <w:r w:rsidR="004849EC" w:rsidRPr="7F52AB9A">
        <w:rPr>
          <w:rFonts w:ascii="Times New Roman" w:hAnsi="Times New Roman"/>
          <w:noProof/>
          <w:sz w:val="24"/>
        </w:rPr>
        <w:t xml:space="preserve"> legal framework, making it difficult for national authorities to address the aforementioned issues effectively</w:t>
      </w:r>
      <w:r w:rsidR="00E31330" w:rsidRPr="7F52AB9A">
        <w:rPr>
          <w:rFonts w:ascii="Times New Roman" w:hAnsi="Times New Roman"/>
          <w:noProof/>
          <w:sz w:val="24"/>
        </w:rPr>
        <w:t xml:space="preserve">. The consumer legal framework also does </w:t>
      </w:r>
      <w:r w:rsidR="00776797" w:rsidRPr="7F52AB9A">
        <w:rPr>
          <w:rFonts w:ascii="Times New Roman" w:hAnsi="Times New Roman"/>
          <w:noProof/>
          <w:sz w:val="24"/>
        </w:rPr>
        <w:t>not</w:t>
      </w:r>
      <w:r w:rsidR="00E31330" w:rsidRPr="7F52AB9A">
        <w:rPr>
          <w:rFonts w:ascii="Times New Roman" w:hAnsi="Times New Roman"/>
          <w:noProof/>
          <w:sz w:val="24"/>
        </w:rPr>
        <w:t xml:space="preserve"> allow</w:t>
      </w:r>
      <w:r w:rsidR="00776797" w:rsidRPr="7F52AB9A">
        <w:rPr>
          <w:rFonts w:ascii="Times New Roman" w:hAnsi="Times New Roman"/>
          <w:noProof/>
          <w:sz w:val="24"/>
        </w:rPr>
        <w:t xml:space="preserve"> Member States to adopt stricter</w:t>
      </w:r>
      <w:r w:rsidR="00E31330" w:rsidRPr="7F52AB9A">
        <w:rPr>
          <w:rFonts w:ascii="Times New Roman" w:hAnsi="Times New Roman"/>
          <w:noProof/>
          <w:sz w:val="24"/>
        </w:rPr>
        <w:t xml:space="preserve"> consumer protection</w:t>
      </w:r>
      <w:r w:rsidR="00776797" w:rsidRPr="7F52AB9A">
        <w:rPr>
          <w:rFonts w:ascii="Times New Roman" w:hAnsi="Times New Roman"/>
          <w:noProof/>
          <w:sz w:val="24"/>
        </w:rPr>
        <w:t xml:space="preserve"> rules given </w:t>
      </w:r>
      <w:r w:rsidR="00E31330" w:rsidRPr="7F52AB9A">
        <w:rPr>
          <w:rFonts w:ascii="Times New Roman" w:hAnsi="Times New Roman"/>
          <w:noProof/>
          <w:sz w:val="24"/>
        </w:rPr>
        <w:t>its</w:t>
      </w:r>
      <w:r w:rsidR="00776797" w:rsidRPr="7F52AB9A">
        <w:rPr>
          <w:rFonts w:ascii="Times New Roman" w:hAnsi="Times New Roman"/>
          <w:noProof/>
          <w:sz w:val="24"/>
        </w:rPr>
        <w:t xml:space="preserve"> full-harmonisation character. </w:t>
      </w:r>
      <w:r w:rsidR="004849EC" w:rsidRPr="7F52AB9A">
        <w:rPr>
          <w:rFonts w:ascii="Times New Roman" w:hAnsi="Times New Roman"/>
          <w:noProof/>
          <w:sz w:val="24"/>
        </w:rPr>
        <w:t>The UCPD</w:t>
      </w:r>
      <w:r w:rsidR="00BF0D6B" w:rsidRPr="7F52AB9A">
        <w:rPr>
          <w:rFonts w:ascii="Times New Roman" w:hAnsi="Times New Roman"/>
          <w:noProof/>
          <w:sz w:val="24"/>
        </w:rPr>
        <w:t>, for instance,</w:t>
      </w:r>
      <w:r w:rsidR="004849EC" w:rsidRPr="7F52AB9A">
        <w:rPr>
          <w:rFonts w:ascii="Times New Roman" w:hAnsi="Times New Roman"/>
          <w:noProof/>
          <w:sz w:val="24"/>
        </w:rPr>
        <w:t xml:space="preserve"> does not provide specific rules on environmental claims. </w:t>
      </w:r>
      <w:r w:rsidR="001211DF" w:rsidRPr="7F52AB9A">
        <w:rPr>
          <w:rFonts w:ascii="Times New Roman" w:hAnsi="Times New Roman"/>
          <w:noProof/>
          <w:sz w:val="24"/>
        </w:rPr>
        <w:t>The general</w:t>
      </w:r>
      <w:r w:rsidR="004849EC" w:rsidRPr="7F52AB9A">
        <w:rPr>
          <w:rFonts w:ascii="Times New Roman" w:hAnsi="Times New Roman"/>
          <w:noProof/>
          <w:sz w:val="24"/>
        </w:rPr>
        <w:t xml:space="preserve"> </w:t>
      </w:r>
      <w:r w:rsidR="001211DF" w:rsidRPr="7F52AB9A">
        <w:rPr>
          <w:rFonts w:ascii="Times New Roman" w:hAnsi="Times New Roman"/>
          <w:noProof/>
          <w:sz w:val="24"/>
        </w:rPr>
        <w:t>provisions of the UCPD</w:t>
      </w:r>
      <w:r w:rsidR="00C377AE" w:rsidRPr="7F52AB9A">
        <w:rPr>
          <w:rFonts w:ascii="Times New Roman" w:hAnsi="Times New Roman"/>
          <w:noProof/>
          <w:sz w:val="24"/>
        </w:rPr>
        <w:t xml:space="preserve"> </w:t>
      </w:r>
      <w:r w:rsidR="001211DF" w:rsidRPr="7F52AB9A">
        <w:rPr>
          <w:rFonts w:ascii="Times New Roman" w:hAnsi="Times New Roman"/>
          <w:noProof/>
          <w:sz w:val="24"/>
        </w:rPr>
        <w:t>also apply where</w:t>
      </w:r>
      <w:r w:rsidR="004849EC" w:rsidRPr="7F52AB9A">
        <w:rPr>
          <w:rFonts w:ascii="Times New Roman" w:hAnsi="Times New Roman"/>
          <w:noProof/>
          <w:sz w:val="24"/>
        </w:rPr>
        <w:t xml:space="preserve"> traders present environmental claims in ways that are unfair to consumers</w:t>
      </w:r>
      <w:r w:rsidR="004849EC" w:rsidRPr="7F52AB9A">
        <w:rPr>
          <w:rStyle w:val="FootnoteReference"/>
          <w:rFonts w:ascii="Times New Roman" w:hAnsi="Times New Roman"/>
          <w:noProof/>
          <w:sz w:val="24"/>
        </w:rPr>
        <w:footnoteReference w:id="77"/>
      </w:r>
      <w:r w:rsidR="004849EC" w:rsidRPr="7F52AB9A">
        <w:rPr>
          <w:rFonts w:ascii="Times New Roman" w:hAnsi="Times New Roman"/>
          <w:noProof/>
          <w:sz w:val="24"/>
        </w:rPr>
        <w:t xml:space="preserve">. </w:t>
      </w:r>
      <w:r w:rsidR="001211DF" w:rsidRPr="7F52AB9A">
        <w:rPr>
          <w:rFonts w:ascii="Times New Roman" w:hAnsi="Times New Roman"/>
          <w:noProof/>
          <w:sz w:val="24"/>
        </w:rPr>
        <w:t>However, in the absence of more specific provisions, its</w:t>
      </w:r>
      <w:r w:rsidR="004849EC" w:rsidRPr="7F52AB9A">
        <w:rPr>
          <w:rFonts w:ascii="Times New Roman" w:hAnsi="Times New Roman"/>
          <w:noProof/>
          <w:sz w:val="24"/>
        </w:rPr>
        <w:t xml:space="preserve"> principle-based approach requires a case-by-case assessment from enforcers </w:t>
      </w:r>
      <w:r w:rsidR="001211DF" w:rsidRPr="7F52AB9A">
        <w:rPr>
          <w:rFonts w:ascii="Times New Roman" w:hAnsi="Times New Roman"/>
          <w:noProof/>
          <w:sz w:val="24"/>
        </w:rPr>
        <w:t xml:space="preserve">including of </w:t>
      </w:r>
      <w:r w:rsidR="004849EC" w:rsidRPr="7F52AB9A">
        <w:rPr>
          <w:rFonts w:ascii="Times New Roman" w:hAnsi="Times New Roman"/>
          <w:noProof/>
          <w:sz w:val="24"/>
        </w:rPr>
        <w:t>the negative impact of the misleading practice on the</w:t>
      </w:r>
      <w:r w:rsidR="00173669" w:rsidRPr="7F52AB9A">
        <w:rPr>
          <w:rFonts w:ascii="Times New Roman" w:hAnsi="Times New Roman"/>
          <w:noProof/>
          <w:sz w:val="24"/>
        </w:rPr>
        <w:t xml:space="preserve"> integrity of the</w:t>
      </w:r>
      <w:r w:rsidR="004849EC" w:rsidRPr="7F52AB9A">
        <w:rPr>
          <w:rFonts w:ascii="Times New Roman" w:hAnsi="Times New Roman"/>
          <w:noProof/>
          <w:sz w:val="24"/>
        </w:rPr>
        <w:t xml:space="preserve"> consumers’ transactional decision. </w:t>
      </w:r>
      <w:bookmarkEnd w:id="79"/>
      <w:bookmarkEnd w:id="80"/>
    </w:p>
    <w:p w:rsidR="00A51109" w:rsidRPr="009B5734" w:rsidRDefault="00A51109" w:rsidP="00D7738F">
      <w:pPr>
        <w:pStyle w:val="BTNumbList"/>
        <w:rPr>
          <w:noProof/>
        </w:rPr>
      </w:pPr>
    </w:p>
    <w:p w:rsidR="006B087E" w:rsidRPr="009B5734" w:rsidRDefault="00A00208" w:rsidP="00A00208">
      <w:pPr>
        <w:pStyle w:val="Heading2"/>
        <w:rPr>
          <w:noProof/>
        </w:rPr>
      </w:pPr>
      <w:bookmarkStart w:id="81" w:name="_Toc58149016"/>
      <w:bookmarkStart w:id="82" w:name="_Toc58604050"/>
      <w:bookmarkStart w:id="83" w:name="_Ref59609671"/>
      <w:bookmarkStart w:id="84" w:name="_Ref59613852"/>
      <w:bookmarkStart w:id="85" w:name="_Ref59614555"/>
      <w:bookmarkStart w:id="86" w:name="_Toc77844226"/>
      <w:bookmarkStart w:id="87" w:name="_Toc86391729"/>
      <w:r w:rsidRPr="00A00208">
        <w:t>2.4.</w:t>
      </w:r>
      <w:r w:rsidRPr="00A00208">
        <w:tab/>
      </w:r>
      <w:r w:rsidR="006B087E" w:rsidRPr="009B5734">
        <w:rPr>
          <w:noProof/>
        </w:rPr>
        <w:t>How will the problem</w:t>
      </w:r>
      <w:r w:rsidR="0047361B" w:rsidRPr="009B5734">
        <w:rPr>
          <w:noProof/>
        </w:rPr>
        <w:t>s</w:t>
      </w:r>
      <w:r w:rsidR="006B087E" w:rsidRPr="009B5734">
        <w:rPr>
          <w:noProof/>
        </w:rPr>
        <w:t xml:space="preserve"> evolve</w:t>
      </w:r>
      <w:r w:rsidR="00314A53" w:rsidRPr="009B5734">
        <w:rPr>
          <w:noProof/>
        </w:rPr>
        <w:t xml:space="preserve"> without intervention</w:t>
      </w:r>
      <w:r w:rsidR="006B087E" w:rsidRPr="009B5734">
        <w:rPr>
          <w:noProof/>
        </w:rPr>
        <w:t>?</w:t>
      </w:r>
      <w:bookmarkEnd w:id="81"/>
      <w:bookmarkEnd w:id="82"/>
      <w:bookmarkEnd w:id="83"/>
      <w:bookmarkEnd w:id="84"/>
      <w:bookmarkEnd w:id="85"/>
      <w:bookmarkEnd w:id="86"/>
      <w:bookmarkEnd w:id="87"/>
    </w:p>
    <w:p w:rsidR="00342092" w:rsidRPr="009B5734" w:rsidRDefault="00342092" w:rsidP="00342092">
      <w:pPr>
        <w:pStyle w:val="BTNumbList"/>
        <w:rPr>
          <w:rFonts w:ascii="Times New Roman" w:hAnsi="Times New Roman"/>
          <w:noProof/>
          <w:sz w:val="24"/>
        </w:rPr>
      </w:pPr>
      <w:r w:rsidRPr="009B5734">
        <w:rPr>
          <w:rFonts w:ascii="Times New Roman" w:hAnsi="Times New Roman"/>
          <w:noProof/>
          <w:sz w:val="24"/>
        </w:rPr>
        <w:t xml:space="preserve">Without the intervention of this initiative, the evolution of the problems and their drivers will depend on the interaction between various forces, including: </w:t>
      </w:r>
    </w:p>
    <w:p w:rsidR="00342092" w:rsidRPr="009B5734" w:rsidRDefault="00342092" w:rsidP="00342092">
      <w:pPr>
        <w:pStyle w:val="BTBullet1Last"/>
        <w:numPr>
          <w:ilvl w:val="0"/>
          <w:numId w:val="40"/>
        </w:numPr>
        <w:spacing w:after="0"/>
        <w:ind w:left="714" w:hanging="357"/>
        <w:rPr>
          <w:rFonts w:ascii="Times New Roman" w:hAnsi="Times New Roman"/>
          <w:noProof/>
          <w:sz w:val="24"/>
        </w:rPr>
      </w:pPr>
      <w:r w:rsidRPr="009B5734">
        <w:rPr>
          <w:rFonts w:ascii="Times New Roman" w:hAnsi="Times New Roman"/>
          <w:noProof/>
          <w:sz w:val="24"/>
        </w:rPr>
        <w:t>the evolution of the interest of consumers in sustainable products;</w:t>
      </w:r>
    </w:p>
    <w:p w:rsidR="00342092" w:rsidRPr="009B5734" w:rsidRDefault="00342092" w:rsidP="00342092">
      <w:pPr>
        <w:pStyle w:val="BTBullet1Last"/>
        <w:numPr>
          <w:ilvl w:val="0"/>
          <w:numId w:val="40"/>
        </w:numPr>
        <w:spacing w:after="0"/>
        <w:ind w:left="714" w:hanging="357"/>
        <w:rPr>
          <w:rFonts w:ascii="Times New Roman" w:hAnsi="Times New Roman"/>
          <w:noProof/>
          <w:sz w:val="24"/>
        </w:rPr>
      </w:pPr>
      <w:r w:rsidRPr="009B5734">
        <w:rPr>
          <w:rFonts w:ascii="Times New Roman" w:hAnsi="Times New Roman"/>
          <w:noProof/>
          <w:sz w:val="24"/>
        </w:rPr>
        <w:t>the trends regarding private incentives to provide information on the environmental characteristics, durability and reparability of products and incentives to fight greenwashing, early obsolescence and unreliable or non-transparent sustainability labels and information tools;</w:t>
      </w:r>
    </w:p>
    <w:p w:rsidR="00CB0999" w:rsidRPr="009B5734" w:rsidRDefault="00342092" w:rsidP="00CB0999">
      <w:pPr>
        <w:pStyle w:val="BTBullet1Last"/>
        <w:numPr>
          <w:ilvl w:val="0"/>
          <w:numId w:val="40"/>
        </w:numPr>
        <w:rPr>
          <w:rFonts w:ascii="Times New Roman" w:hAnsi="Times New Roman"/>
          <w:noProof/>
          <w:sz w:val="24"/>
        </w:rPr>
      </w:pPr>
      <w:r w:rsidRPr="009B5734">
        <w:rPr>
          <w:rFonts w:ascii="Times New Roman" w:hAnsi="Times New Roman"/>
          <w:noProof/>
          <w:sz w:val="24"/>
        </w:rPr>
        <w:t>national initiatives and EU-level related initiatives that attempt to address the identified problems.</w:t>
      </w:r>
      <w:r w:rsidR="00AE124C" w:rsidRPr="009B5734">
        <w:rPr>
          <w:rFonts w:ascii="Times New Roman" w:hAnsi="Times New Roman"/>
          <w:noProof/>
          <w:sz w:val="24"/>
        </w:rPr>
        <w:t xml:space="preserve"> </w:t>
      </w:r>
      <w:r w:rsidR="00EC1BDA" w:rsidRPr="009B5734">
        <w:rPr>
          <w:rFonts w:ascii="Times New Roman" w:hAnsi="Times New Roman"/>
          <w:noProof/>
          <w:sz w:val="24"/>
        </w:rPr>
        <w:t>The potential impact on the evolution of the problem of two EU initiative</w:t>
      </w:r>
      <w:r w:rsidR="00B5786B">
        <w:rPr>
          <w:rFonts w:ascii="Times New Roman" w:hAnsi="Times New Roman"/>
          <w:noProof/>
          <w:sz w:val="24"/>
        </w:rPr>
        <w:t>s</w:t>
      </w:r>
      <w:r w:rsidR="00EC1BDA" w:rsidRPr="009B5734">
        <w:rPr>
          <w:rFonts w:ascii="Times New Roman" w:hAnsi="Times New Roman"/>
          <w:noProof/>
          <w:sz w:val="24"/>
        </w:rPr>
        <w:t xml:space="preserve"> in particular currently</w:t>
      </w:r>
      <w:r w:rsidR="00DC4EA0">
        <w:rPr>
          <w:rFonts w:ascii="Times New Roman" w:hAnsi="Times New Roman"/>
          <w:noProof/>
          <w:sz w:val="24"/>
        </w:rPr>
        <w:t xml:space="preserve"> </w:t>
      </w:r>
      <w:r w:rsidR="00EC1BDA" w:rsidRPr="009B5734">
        <w:rPr>
          <w:rFonts w:ascii="Times New Roman" w:hAnsi="Times New Roman"/>
          <w:noProof/>
          <w:sz w:val="24"/>
        </w:rPr>
        <w:t xml:space="preserve">under preparation (the </w:t>
      </w:r>
      <w:r w:rsidR="008E357B" w:rsidRPr="00C310D8">
        <w:rPr>
          <w:rFonts w:ascii="Times New Roman" w:hAnsi="Times New Roman"/>
          <w:noProof/>
          <w:sz w:val="24"/>
        </w:rPr>
        <w:t xml:space="preserve">upcoming </w:t>
      </w:r>
      <w:r w:rsidR="00EC1BDA" w:rsidRPr="00C310D8">
        <w:rPr>
          <w:rFonts w:ascii="Times New Roman" w:hAnsi="Times New Roman"/>
          <w:b/>
          <w:noProof/>
          <w:sz w:val="24"/>
        </w:rPr>
        <w:t>Green Claims Initiative</w:t>
      </w:r>
      <w:r w:rsidR="00EC1BDA" w:rsidRPr="00C310D8">
        <w:rPr>
          <w:rFonts w:ascii="Times New Roman" w:hAnsi="Times New Roman"/>
          <w:noProof/>
          <w:sz w:val="24"/>
        </w:rPr>
        <w:t xml:space="preserve"> and the </w:t>
      </w:r>
      <w:r w:rsidR="00EC1BDA" w:rsidRPr="00C310D8">
        <w:rPr>
          <w:rFonts w:ascii="Times New Roman" w:hAnsi="Times New Roman"/>
          <w:b/>
          <w:noProof/>
          <w:sz w:val="24"/>
        </w:rPr>
        <w:t>Sustainable Products Initiative</w:t>
      </w:r>
      <w:r w:rsidR="008E357B" w:rsidRPr="00C310D8">
        <w:rPr>
          <w:rFonts w:ascii="Times New Roman" w:hAnsi="Times New Roman"/>
          <w:b/>
          <w:noProof/>
          <w:sz w:val="24"/>
        </w:rPr>
        <w:t xml:space="preserve"> </w:t>
      </w:r>
      <w:r w:rsidR="008E357B" w:rsidRPr="00C310D8">
        <w:rPr>
          <w:rFonts w:ascii="Times New Roman" w:hAnsi="Times New Roman"/>
          <w:noProof/>
          <w:sz w:val="24"/>
        </w:rPr>
        <w:t xml:space="preserve">adopted </w:t>
      </w:r>
      <w:r w:rsidR="00712657" w:rsidRPr="00C310D8">
        <w:rPr>
          <w:rFonts w:ascii="Times New Roman" w:hAnsi="Times New Roman"/>
          <w:noProof/>
          <w:sz w:val="24"/>
        </w:rPr>
        <w:t>together</w:t>
      </w:r>
      <w:r w:rsidR="008E357B" w:rsidRPr="00C310D8">
        <w:rPr>
          <w:rFonts w:ascii="Times New Roman" w:hAnsi="Times New Roman"/>
          <w:b/>
          <w:noProof/>
          <w:sz w:val="24"/>
        </w:rPr>
        <w:t xml:space="preserve"> with this initiative</w:t>
      </w:r>
      <w:r w:rsidR="00EC1BDA" w:rsidRPr="009B5734">
        <w:rPr>
          <w:rFonts w:ascii="Times New Roman" w:hAnsi="Times New Roman"/>
          <w:noProof/>
          <w:sz w:val="24"/>
        </w:rPr>
        <w:t>)</w:t>
      </w:r>
      <w:r w:rsidR="00AE124C" w:rsidRPr="009B5734">
        <w:rPr>
          <w:rFonts w:ascii="Times New Roman" w:hAnsi="Times New Roman"/>
          <w:noProof/>
          <w:sz w:val="24"/>
        </w:rPr>
        <w:t xml:space="preserve"> discussed in </w:t>
      </w:r>
      <w:hyperlink w:anchor="_What_are_the" w:history="1">
        <w:r w:rsidR="00AE124C" w:rsidRPr="009B5734">
          <w:rPr>
            <w:rStyle w:val="Hyperlink"/>
            <w:rFonts w:ascii="Times New Roman" w:hAnsi="Times New Roman"/>
            <w:noProof/>
            <w:sz w:val="24"/>
          </w:rPr>
          <w:t>Section 5</w:t>
        </w:r>
      </w:hyperlink>
      <w:r w:rsidR="00AE124C" w:rsidRPr="009B5734">
        <w:rPr>
          <w:rFonts w:ascii="Times New Roman" w:hAnsi="Times New Roman"/>
          <w:noProof/>
          <w:sz w:val="24"/>
        </w:rPr>
        <w:t xml:space="preserve"> below when analysing the baseline from which the options considered are to be assessed.</w:t>
      </w:r>
    </w:p>
    <w:p w:rsidR="005012E2" w:rsidRPr="009B5734" w:rsidRDefault="00FD4652" w:rsidP="008F26D1">
      <w:pPr>
        <w:spacing w:after="240"/>
        <w:ind w:left="0" w:firstLine="0"/>
        <w:rPr>
          <w:rFonts w:ascii="Times New Roman" w:hAnsi="Times New Roman" w:cs="Times New Roman"/>
          <w:noProof/>
          <w:sz w:val="24"/>
          <w:szCs w:val="24"/>
        </w:rPr>
      </w:pPr>
      <w:r w:rsidRPr="009B5734">
        <w:rPr>
          <w:rFonts w:ascii="Times New Roman" w:hAnsi="Times New Roman" w:cs="Times New Roman"/>
          <w:b/>
          <w:noProof/>
          <w:sz w:val="24"/>
          <w:szCs w:val="24"/>
        </w:rPr>
        <w:t xml:space="preserve">Member States are likely to continue </w:t>
      </w:r>
      <w:r w:rsidR="00A51109" w:rsidRPr="009B5734">
        <w:rPr>
          <w:rFonts w:ascii="Times New Roman" w:hAnsi="Times New Roman" w:cs="Times New Roman"/>
          <w:b/>
          <w:noProof/>
          <w:sz w:val="24"/>
          <w:szCs w:val="24"/>
        </w:rPr>
        <w:t>to</w:t>
      </w:r>
      <w:r w:rsidRPr="009B5734">
        <w:rPr>
          <w:rFonts w:ascii="Times New Roman" w:hAnsi="Times New Roman" w:cs="Times New Roman"/>
          <w:b/>
          <w:noProof/>
          <w:sz w:val="24"/>
          <w:szCs w:val="24"/>
        </w:rPr>
        <w:t xml:space="preserve"> unilaterally</w:t>
      </w:r>
      <w:r w:rsidR="00A51109" w:rsidRPr="009B5734">
        <w:rPr>
          <w:rFonts w:ascii="Times New Roman" w:hAnsi="Times New Roman" w:cs="Times New Roman"/>
          <w:b/>
          <w:noProof/>
          <w:sz w:val="24"/>
          <w:szCs w:val="24"/>
        </w:rPr>
        <w:t xml:space="preserve"> adopt</w:t>
      </w:r>
      <w:r w:rsidRPr="009B5734">
        <w:rPr>
          <w:rFonts w:ascii="Times New Roman" w:hAnsi="Times New Roman" w:cs="Times New Roman"/>
          <w:b/>
          <w:noProof/>
          <w:sz w:val="24"/>
          <w:szCs w:val="24"/>
        </w:rPr>
        <w:t xml:space="preserve"> options</w:t>
      </w:r>
      <w:r w:rsidRPr="009B5734">
        <w:rPr>
          <w:rFonts w:ascii="Times New Roman" w:hAnsi="Times New Roman" w:cs="Times New Roman"/>
          <w:noProof/>
          <w:sz w:val="24"/>
          <w:szCs w:val="24"/>
        </w:rPr>
        <w:t xml:space="preserve"> to provide consumers with environmental sustainability information and to address more directly the problematic practices identified in this Impact Assessment (see</w:t>
      </w:r>
      <w:hyperlink w:anchor="_Annex_6:_Overview_1" w:history="1">
        <w:r w:rsidR="005012E2" w:rsidRPr="009B5734">
          <w:rPr>
            <w:rStyle w:val="Hyperlink"/>
            <w:rFonts w:ascii="Times New Roman" w:hAnsi="Times New Roman" w:cs="Times New Roman"/>
            <w:noProof/>
            <w:sz w:val="24"/>
            <w:szCs w:val="24"/>
          </w:rPr>
          <w:t xml:space="preserve"> Annex 6</w:t>
        </w:r>
      </w:hyperlink>
      <w:r w:rsidRPr="009B5734">
        <w:rPr>
          <w:rFonts w:ascii="Times New Roman" w:hAnsi="Times New Roman" w:cs="Times New Roman"/>
          <w:noProof/>
          <w:sz w:val="24"/>
          <w:szCs w:val="24"/>
        </w:rPr>
        <w:t xml:space="preserve">). </w:t>
      </w:r>
      <w:r w:rsidR="005012E2" w:rsidRPr="009B5734">
        <w:rPr>
          <w:rFonts w:ascii="Times New Roman" w:hAnsi="Times New Roman" w:cs="Times New Roman"/>
          <w:noProof/>
          <w:sz w:val="24"/>
          <w:szCs w:val="24"/>
        </w:rPr>
        <w:t xml:space="preserve">For instance, France’s Circular Economy Law, introduced in 2020, obliges producers, importers, distributors or any other person placing electrical and electronic products on the market to provide the reparability index of their product to sellers of their products or any other person requesting it. The aim is to inform consumers about the ability to repair five groups of products (televisions, smartphones, laptops, lawnmowers and washing machine). </w:t>
      </w:r>
      <w:r w:rsidR="0061055F" w:rsidRPr="009B5734">
        <w:rPr>
          <w:rFonts w:ascii="Times New Roman" w:hAnsi="Times New Roman" w:cs="Times New Roman"/>
          <w:noProof/>
          <w:sz w:val="24"/>
          <w:szCs w:val="24"/>
        </w:rPr>
        <w:t>To take an example of a legislative proposal currently under consideration, in July 2020, Italy tabled a proposal which would define and ban the practice of planned obsolescence and introduce criminal sanctions for the producer or distributor of goods who mislead the consumers on a number of issues including planned obsolescence.</w:t>
      </w:r>
    </w:p>
    <w:p w:rsidR="00FD4652" w:rsidRPr="009B5734" w:rsidRDefault="00EC1BDA" w:rsidP="00FD4652">
      <w:pPr>
        <w:pStyle w:val="BTNumbList"/>
        <w:rPr>
          <w:rFonts w:ascii="Times New Roman" w:hAnsi="Times New Roman"/>
          <w:noProof/>
          <w:sz w:val="24"/>
        </w:rPr>
      </w:pPr>
      <w:r w:rsidRPr="009B5734">
        <w:rPr>
          <w:rFonts w:ascii="Times New Roman" w:hAnsi="Times New Roman"/>
          <w:noProof/>
          <w:sz w:val="24"/>
        </w:rPr>
        <w:t>The interest of consumers in sustainable products is expected to increase. W</w:t>
      </w:r>
      <w:r w:rsidR="00FD4652" w:rsidRPr="009B5734">
        <w:rPr>
          <w:rFonts w:ascii="Times New Roman" w:hAnsi="Times New Roman"/>
          <w:noProof/>
          <w:sz w:val="24"/>
        </w:rPr>
        <w:t>ith th</w:t>
      </w:r>
      <w:r w:rsidRPr="009B5734">
        <w:rPr>
          <w:rFonts w:ascii="Times New Roman" w:hAnsi="Times New Roman"/>
          <w:noProof/>
          <w:sz w:val="24"/>
        </w:rPr>
        <w:t>is increase</w:t>
      </w:r>
      <w:r w:rsidR="00FD4652" w:rsidRPr="009B5734">
        <w:rPr>
          <w:rFonts w:ascii="Times New Roman" w:hAnsi="Times New Roman"/>
          <w:noProof/>
          <w:sz w:val="24"/>
        </w:rPr>
        <w:t xml:space="preserve"> it is expected that </w:t>
      </w:r>
      <w:r w:rsidR="00FD4652" w:rsidRPr="009B5734">
        <w:rPr>
          <w:rFonts w:ascii="Times New Roman" w:hAnsi="Times New Roman"/>
          <w:b/>
          <w:noProof/>
          <w:sz w:val="24"/>
        </w:rPr>
        <w:t>the incentives of companies to provide consumers with information on the sustainability of their products will also increase</w:t>
      </w:r>
      <w:r w:rsidR="00FD4652" w:rsidRPr="009B5734">
        <w:rPr>
          <w:rFonts w:ascii="Times New Roman" w:hAnsi="Times New Roman"/>
          <w:noProof/>
          <w:sz w:val="24"/>
        </w:rPr>
        <w:t xml:space="preserve"> and so will the share of products with information on their environmental characteristics. This will, on the one hand, reduce the extent of problem 1.1 (</w:t>
      </w:r>
      <w:r w:rsidR="00D60C0B" w:rsidRPr="009B5734">
        <w:rPr>
          <w:rFonts w:ascii="Times New Roman" w:hAnsi="Times New Roman"/>
          <w:noProof/>
          <w:sz w:val="24"/>
        </w:rPr>
        <w:t>lack of reliable information</w:t>
      </w:r>
      <w:r w:rsidR="00FD4652" w:rsidRPr="009B5734">
        <w:rPr>
          <w:rFonts w:ascii="Times New Roman" w:hAnsi="Times New Roman"/>
          <w:noProof/>
          <w:sz w:val="24"/>
        </w:rPr>
        <w:t xml:space="preserve"> on environmental characteristics of products)</w:t>
      </w:r>
      <w:r w:rsidR="00CE0523" w:rsidRPr="009B5734">
        <w:rPr>
          <w:rFonts w:ascii="Times New Roman" w:hAnsi="Times New Roman"/>
          <w:noProof/>
          <w:sz w:val="24"/>
        </w:rPr>
        <w:t>,</w:t>
      </w:r>
      <w:r w:rsidR="00FD4652" w:rsidRPr="009B5734">
        <w:rPr>
          <w:rFonts w:ascii="Times New Roman" w:hAnsi="Times New Roman"/>
          <w:noProof/>
          <w:sz w:val="24"/>
        </w:rPr>
        <w:t xml:space="preserve"> but this could </w:t>
      </w:r>
      <w:r w:rsidR="00FD4652" w:rsidRPr="009B5734">
        <w:rPr>
          <w:rFonts w:ascii="Times New Roman" w:hAnsi="Times New Roman"/>
          <w:b/>
          <w:noProof/>
          <w:sz w:val="24"/>
        </w:rPr>
        <w:t>potentially increase the incentives to adopt greenwashing practices and to develop or use sustainability labels that are not fully transparent and credible</w:t>
      </w:r>
      <w:r w:rsidR="00FD4652" w:rsidRPr="009B5734">
        <w:rPr>
          <w:rFonts w:ascii="Times New Roman" w:hAnsi="Times New Roman"/>
          <w:noProof/>
          <w:sz w:val="24"/>
        </w:rPr>
        <w:t xml:space="preserve"> and so exacerbate problems </w:t>
      </w:r>
      <w:hyperlink w:anchor="_Consumers_are_faced_1" w:history="1">
        <w:r w:rsidR="00FD4652" w:rsidRPr="009B5734">
          <w:rPr>
            <w:rStyle w:val="Hyperlink"/>
            <w:rFonts w:ascii="Times New Roman" w:hAnsi="Times New Roman"/>
            <w:noProof/>
            <w:sz w:val="24"/>
          </w:rPr>
          <w:t>2.2</w:t>
        </w:r>
      </w:hyperlink>
      <w:r w:rsidR="00FD4652" w:rsidRPr="009B5734">
        <w:rPr>
          <w:rFonts w:ascii="Times New Roman" w:hAnsi="Times New Roman"/>
          <w:noProof/>
          <w:sz w:val="24"/>
        </w:rPr>
        <w:t xml:space="preserve"> and </w:t>
      </w:r>
      <w:hyperlink w:anchor="_Consumers_are_faced" w:history="1">
        <w:r w:rsidR="00FD4652" w:rsidRPr="009B5734">
          <w:rPr>
            <w:rStyle w:val="Hyperlink"/>
            <w:rFonts w:ascii="Times New Roman" w:hAnsi="Times New Roman"/>
            <w:noProof/>
            <w:sz w:val="24"/>
          </w:rPr>
          <w:t>2.3</w:t>
        </w:r>
      </w:hyperlink>
      <w:r w:rsidR="00FD4652" w:rsidRPr="009B5734">
        <w:rPr>
          <w:rFonts w:ascii="Times New Roman" w:hAnsi="Times New Roman"/>
          <w:noProof/>
          <w:sz w:val="24"/>
        </w:rPr>
        <w:t>. Digitalisation is also likely to lead to an increase of “sustainability apps” aimed at comparing products based on their sustainability parameters.</w:t>
      </w:r>
      <w:r w:rsidR="00F81D73" w:rsidRPr="009B5734">
        <w:rPr>
          <w:rFonts w:ascii="Times New Roman" w:hAnsi="Times New Roman"/>
          <w:noProof/>
          <w:sz w:val="24"/>
        </w:rPr>
        <w:t xml:space="preserve"> The number of sustainability labels may stagnate given their already high number, but the number of one-brand sustainability labels may still increase. This will lead to an increase of the extent and consequences of the problem, including an increased mistrust of consumers on sustainability labels and a reduction of their effectiveness in shifting consumption towards more sustainable products.</w:t>
      </w:r>
    </w:p>
    <w:p w:rsidR="00FE70B2" w:rsidRPr="009B5734" w:rsidRDefault="00FD4652" w:rsidP="00EC1BDA">
      <w:pPr>
        <w:pStyle w:val="BTNumbList"/>
        <w:rPr>
          <w:rFonts w:ascii="Times New Roman" w:hAnsi="Times New Roman"/>
          <w:noProof/>
          <w:sz w:val="24"/>
        </w:rPr>
      </w:pPr>
      <w:r w:rsidRPr="009B5734">
        <w:rPr>
          <w:rFonts w:ascii="Times New Roman" w:hAnsi="Times New Roman"/>
          <w:noProof/>
          <w:sz w:val="24"/>
        </w:rPr>
        <w:t xml:space="preserve">The increase in the market share of sustainable products will compensate for the total increase in consumption and is expected to lead to a reduction of the overall environmental footprint of private consumption. However, the effective reduction of environmental impacts will depend on whether the information regarding the sustainability of the product is reliable or not. </w:t>
      </w:r>
      <w:r w:rsidR="00A56C29" w:rsidRPr="009B5734">
        <w:rPr>
          <w:rFonts w:ascii="Times New Roman" w:hAnsi="Times New Roman"/>
          <w:noProof/>
          <w:sz w:val="24"/>
        </w:rPr>
        <w:t>Without further regulatory intervention at national or EU level, t</w:t>
      </w:r>
      <w:r w:rsidRPr="009B5734">
        <w:rPr>
          <w:rFonts w:ascii="Times New Roman" w:hAnsi="Times New Roman"/>
          <w:noProof/>
          <w:sz w:val="24"/>
        </w:rPr>
        <w:t>his</w:t>
      </w:r>
      <w:r w:rsidR="00D050EF" w:rsidRPr="009B5734">
        <w:rPr>
          <w:rFonts w:ascii="Times New Roman" w:hAnsi="Times New Roman"/>
          <w:noProof/>
          <w:sz w:val="24"/>
        </w:rPr>
        <w:t xml:space="preserve"> reduction</w:t>
      </w:r>
      <w:r w:rsidRPr="009B5734">
        <w:rPr>
          <w:rFonts w:ascii="Times New Roman" w:hAnsi="Times New Roman"/>
          <w:noProof/>
          <w:sz w:val="24"/>
        </w:rPr>
        <w:t xml:space="preserve"> may actually be limited because, as mentioned above, the incentives for companies to practice greenwashing could increase as demand for sustainable products rises. Because of these opposite forces, </w:t>
      </w:r>
      <w:r w:rsidRPr="009B5734">
        <w:rPr>
          <w:rFonts w:ascii="Times New Roman" w:hAnsi="Times New Roman"/>
          <w:b/>
          <w:noProof/>
          <w:sz w:val="24"/>
        </w:rPr>
        <w:t>only a limited reduction of environmental impacts is expected</w:t>
      </w:r>
      <w:r w:rsidR="00EC1BDA" w:rsidRPr="009B5734">
        <w:rPr>
          <w:rFonts w:ascii="Times New Roman" w:hAnsi="Times New Roman"/>
          <w:noProof/>
          <w:sz w:val="24"/>
        </w:rPr>
        <w:t xml:space="preserve">. </w:t>
      </w:r>
    </w:p>
    <w:p w:rsidR="007D7181" w:rsidRPr="009B5734" w:rsidRDefault="00A00208" w:rsidP="00A00208">
      <w:pPr>
        <w:pStyle w:val="Heading1"/>
        <w:rPr>
          <w:noProof/>
        </w:rPr>
      </w:pPr>
      <w:bookmarkStart w:id="88" w:name="_Toc58149022"/>
      <w:bookmarkStart w:id="89" w:name="_Toc58222400"/>
      <w:bookmarkStart w:id="90" w:name="_Toc58149023"/>
      <w:bookmarkStart w:id="91" w:name="_Toc58604056"/>
      <w:bookmarkStart w:id="92" w:name="_Toc75440972"/>
      <w:bookmarkStart w:id="93" w:name="_Toc75446971"/>
      <w:bookmarkStart w:id="94" w:name="_Toc75448844"/>
      <w:bookmarkStart w:id="95" w:name="_Toc77844227"/>
      <w:bookmarkStart w:id="96" w:name="_Toc86391730"/>
      <w:bookmarkEnd w:id="88"/>
      <w:bookmarkEnd w:id="89"/>
      <w:r w:rsidRPr="00A00208">
        <w:t>3.</w:t>
      </w:r>
      <w:r w:rsidRPr="00A00208">
        <w:tab/>
      </w:r>
      <w:r w:rsidR="006B087E" w:rsidRPr="009B5734">
        <w:rPr>
          <w:noProof/>
        </w:rPr>
        <w:t>Why should the EU act?</w:t>
      </w:r>
      <w:bookmarkStart w:id="97" w:name="_Toc58149024"/>
      <w:bookmarkStart w:id="98" w:name="_Toc58604057"/>
      <w:bookmarkEnd w:id="90"/>
      <w:bookmarkEnd w:id="91"/>
      <w:bookmarkEnd w:id="92"/>
      <w:bookmarkEnd w:id="93"/>
      <w:bookmarkEnd w:id="94"/>
      <w:bookmarkEnd w:id="95"/>
      <w:bookmarkEnd w:id="96"/>
    </w:p>
    <w:p w:rsidR="006B087E" w:rsidRPr="009B5734" w:rsidRDefault="00A00208" w:rsidP="00A00208">
      <w:pPr>
        <w:pStyle w:val="Heading2"/>
        <w:rPr>
          <w:noProof/>
          <w:szCs w:val="24"/>
        </w:rPr>
      </w:pPr>
      <w:bookmarkStart w:id="99" w:name="_Toc77844228"/>
      <w:bookmarkStart w:id="100" w:name="_Toc86391731"/>
      <w:r w:rsidRPr="00A00208">
        <w:t>3.1.</w:t>
      </w:r>
      <w:r w:rsidRPr="00A00208">
        <w:tab/>
      </w:r>
      <w:r w:rsidR="00526DDD" w:rsidRPr="009B5734">
        <w:rPr>
          <w:noProof/>
        </w:rPr>
        <w:t>Legal basis</w:t>
      </w:r>
      <w:bookmarkEnd w:id="97"/>
      <w:bookmarkEnd w:id="98"/>
      <w:bookmarkEnd w:id="99"/>
      <w:bookmarkEnd w:id="100"/>
    </w:p>
    <w:p w:rsidR="00471EAC" w:rsidRPr="009B5734" w:rsidRDefault="00471EAC" w:rsidP="00D7738F">
      <w:pPr>
        <w:pStyle w:val="BTNumbList"/>
        <w:rPr>
          <w:rFonts w:ascii="Times New Roman" w:hAnsi="Times New Roman"/>
          <w:noProof/>
          <w:sz w:val="24"/>
        </w:rPr>
      </w:pPr>
      <w:r w:rsidRPr="009B5734">
        <w:rPr>
          <w:rFonts w:ascii="Times New Roman" w:hAnsi="Times New Roman"/>
          <w:noProof/>
          <w:sz w:val="24"/>
        </w:rPr>
        <w:t>The EU exercises a shared competence with Member States in the area of consumer policy. As stipulated in Article 169 of the T</w:t>
      </w:r>
      <w:r w:rsidR="00C378D3" w:rsidRPr="009B5734">
        <w:rPr>
          <w:rFonts w:ascii="Times New Roman" w:hAnsi="Times New Roman"/>
          <w:noProof/>
          <w:sz w:val="24"/>
        </w:rPr>
        <w:t xml:space="preserve">reaty on the </w:t>
      </w:r>
      <w:r w:rsidRPr="009B5734">
        <w:rPr>
          <w:rFonts w:ascii="Times New Roman" w:hAnsi="Times New Roman"/>
          <w:noProof/>
          <w:sz w:val="24"/>
        </w:rPr>
        <w:t>F</w:t>
      </w:r>
      <w:r w:rsidR="00C378D3" w:rsidRPr="009B5734">
        <w:rPr>
          <w:rFonts w:ascii="Times New Roman" w:hAnsi="Times New Roman"/>
          <w:noProof/>
          <w:sz w:val="24"/>
        </w:rPr>
        <w:t xml:space="preserve">unctioning of the </w:t>
      </w:r>
      <w:r w:rsidRPr="009B5734">
        <w:rPr>
          <w:rFonts w:ascii="Times New Roman" w:hAnsi="Times New Roman"/>
          <w:noProof/>
          <w:sz w:val="24"/>
        </w:rPr>
        <w:t>E</w:t>
      </w:r>
      <w:r w:rsidR="00C378D3" w:rsidRPr="009B5734">
        <w:rPr>
          <w:rFonts w:ascii="Times New Roman" w:hAnsi="Times New Roman"/>
          <w:noProof/>
          <w:sz w:val="24"/>
        </w:rPr>
        <w:t xml:space="preserve">uropean </w:t>
      </w:r>
      <w:r w:rsidRPr="009B5734">
        <w:rPr>
          <w:rFonts w:ascii="Times New Roman" w:hAnsi="Times New Roman"/>
          <w:noProof/>
          <w:sz w:val="24"/>
        </w:rPr>
        <w:t>U</w:t>
      </w:r>
      <w:r w:rsidR="00C378D3" w:rsidRPr="009B5734">
        <w:rPr>
          <w:rFonts w:ascii="Times New Roman" w:hAnsi="Times New Roman"/>
          <w:noProof/>
          <w:sz w:val="24"/>
        </w:rPr>
        <w:t>nion (</w:t>
      </w:r>
      <w:r w:rsidRPr="009B5734">
        <w:rPr>
          <w:rFonts w:ascii="Times New Roman" w:hAnsi="Times New Roman"/>
          <w:noProof/>
          <w:sz w:val="24"/>
        </w:rPr>
        <w:t>TFEU</w:t>
      </w:r>
      <w:r w:rsidR="00C378D3" w:rsidRPr="009B5734">
        <w:rPr>
          <w:rFonts w:ascii="Times New Roman" w:hAnsi="Times New Roman"/>
          <w:noProof/>
          <w:sz w:val="24"/>
        </w:rPr>
        <w:t>)</w:t>
      </w:r>
      <w:r w:rsidRPr="009B5734">
        <w:rPr>
          <w:rFonts w:ascii="Times New Roman" w:hAnsi="Times New Roman"/>
          <w:noProof/>
          <w:sz w:val="24"/>
        </w:rPr>
        <w:t xml:space="preserve">, the EU shall contribute, inter alia, to protecting the economic interests of consumers as well as to promoting their right to information and education in order to safeguard their interests. Possible legislative action to be taken in relation to the problems analysed in this IA would be based on Article 114 TFEU, which </w:t>
      </w:r>
      <w:r w:rsidR="00144CFF" w:rsidRPr="009B5734">
        <w:rPr>
          <w:rFonts w:ascii="Times New Roman" w:hAnsi="Times New Roman"/>
          <w:noProof/>
          <w:sz w:val="24"/>
        </w:rPr>
        <w:t>requires the Commission to take as a base a high level of consumer protection in the</w:t>
      </w:r>
      <w:r w:rsidRPr="009B5734">
        <w:rPr>
          <w:rFonts w:ascii="Times New Roman" w:hAnsi="Times New Roman"/>
          <w:noProof/>
          <w:sz w:val="24"/>
        </w:rPr>
        <w:t xml:space="preserve"> context of the completion of the internal market, in conjunction with Article 169 TFEU.</w:t>
      </w:r>
      <w:r w:rsidR="0061055F" w:rsidRPr="009B5734">
        <w:rPr>
          <w:noProof/>
        </w:rPr>
        <w:t xml:space="preserve"> </w:t>
      </w:r>
      <w:r w:rsidR="0061055F" w:rsidRPr="009B5734">
        <w:rPr>
          <w:rFonts w:ascii="Times New Roman" w:hAnsi="Times New Roman"/>
          <w:noProof/>
          <w:sz w:val="24"/>
        </w:rPr>
        <w:t>In addition to pursuing internal market and consumer protection objectives, the proposal will also pursue a high level of environmental protection, by unlocking opportunities for the circular, clean and green economy. However, internal market and consumer protection objectives are predominant and the environmental benefits are complementary. Therefore it is appropriate to use Article 114 TFEU and Article 169 TFEU as the legal basis.</w:t>
      </w:r>
    </w:p>
    <w:p w:rsidR="00FE70B2" w:rsidRPr="009B5734" w:rsidRDefault="00FE70B2" w:rsidP="00FE70B2">
      <w:pPr>
        <w:pStyle w:val="BTNumbList"/>
        <w:spacing w:before="120"/>
        <w:rPr>
          <w:rFonts w:ascii="Times New Roman" w:hAnsi="Times New Roman"/>
          <w:noProof/>
          <w:sz w:val="24"/>
        </w:rPr>
      </w:pPr>
    </w:p>
    <w:p w:rsidR="00CA4324" w:rsidRPr="009B5734" w:rsidRDefault="00A00208" w:rsidP="00A00208">
      <w:pPr>
        <w:pStyle w:val="Heading2"/>
        <w:rPr>
          <w:noProof/>
        </w:rPr>
      </w:pPr>
      <w:bookmarkStart w:id="101" w:name="_Toc58149025"/>
      <w:bookmarkStart w:id="102" w:name="_Toc58604058"/>
      <w:bookmarkStart w:id="103" w:name="_Toc77844229"/>
      <w:bookmarkStart w:id="104" w:name="_Toc86391732"/>
      <w:r w:rsidRPr="00A00208">
        <w:t>3.2.</w:t>
      </w:r>
      <w:r w:rsidRPr="00A00208">
        <w:tab/>
      </w:r>
      <w:r w:rsidR="00CA4324" w:rsidRPr="009B5734">
        <w:rPr>
          <w:noProof/>
        </w:rPr>
        <w:t>Subsidiarity: Necessity</w:t>
      </w:r>
      <w:r w:rsidR="00776797" w:rsidRPr="009B5734">
        <w:rPr>
          <w:noProof/>
        </w:rPr>
        <w:t xml:space="preserve"> </w:t>
      </w:r>
      <w:r w:rsidR="00CA4324" w:rsidRPr="009B5734">
        <w:rPr>
          <w:noProof/>
        </w:rPr>
        <w:t>of EU action</w:t>
      </w:r>
      <w:bookmarkEnd w:id="101"/>
      <w:bookmarkEnd w:id="102"/>
      <w:bookmarkEnd w:id="103"/>
      <w:bookmarkEnd w:id="104"/>
      <w:r w:rsidR="00CA4324" w:rsidRPr="009B5734">
        <w:rPr>
          <w:noProof/>
        </w:rPr>
        <w:t xml:space="preserve">  </w:t>
      </w:r>
    </w:p>
    <w:p w:rsidR="00975838" w:rsidRPr="009B5734" w:rsidRDefault="00CA4324" w:rsidP="00CA4324">
      <w:pPr>
        <w:pStyle w:val="BTNumbList"/>
        <w:rPr>
          <w:rFonts w:ascii="Times New Roman" w:hAnsi="Times New Roman"/>
          <w:noProof/>
          <w:sz w:val="24"/>
        </w:rPr>
      </w:pPr>
      <w:r w:rsidRPr="009B5734">
        <w:rPr>
          <w:rFonts w:ascii="Times New Roman" w:hAnsi="Times New Roman"/>
          <w:noProof/>
          <w:sz w:val="24"/>
        </w:rPr>
        <w:t xml:space="preserve">The problems analysed in this impact assessment </w:t>
      </w:r>
      <w:r w:rsidR="00145096" w:rsidRPr="009B5734">
        <w:rPr>
          <w:rFonts w:ascii="Times New Roman" w:hAnsi="Times New Roman"/>
          <w:noProof/>
          <w:sz w:val="24"/>
        </w:rPr>
        <w:t xml:space="preserve">are widespread and </w:t>
      </w:r>
      <w:r w:rsidRPr="009B5734">
        <w:rPr>
          <w:rFonts w:ascii="Times New Roman" w:hAnsi="Times New Roman"/>
          <w:noProof/>
          <w:sz w:val="24"/>
        </w:rPr>
        <w:t xml:space="preserve">have a Union-wide character with the same </w:t>
      </w:r>
      <w:r w:rsidR="00AE0BB3" w:rsidRPr="009B5734">
        <w:rPr>
          <w:rFonts w:ascii="Times New Roman" w:hAnsi="Times New Roman"/>
          <w:noProof/>
          <w:sz w:val="24"/>
        </w:rPr>
        <w:t xml:space="preserve">drivers </w:t>
      </w:r>
      <w:r w:rsidRPr="009B5734">
        <w:rPr>
          <w:rFonts w:ascii="Times New Roman" w:hAnsi="Times New Roman"/>
          <w:noProof/>
          <w:sz w:val="24"/>
        </w:rPr>
        <w:t xml:space="preserve">across the EU. </w:t>
      </w:r>
      <w:r w:rsidR="00006B23" w:rsidRPr="009B5734">
        <w:rPr>
          <w:rFonts w:ascii="Times New Roman" w:hAnsi="Times New Roman"/>
          <w:noProof/>
          <w:sz w:val="24"/>
        </w:rPr>
        <w:t>All European consumers lack the necessary information to make more sustainable choices and are faced with the same problematic practices.</w:t>
      </w:r>
      <w:r w:rsidR="00555F65" w:rsidRPr="009B5734">
        <w:rPr>
          <w:rFonts w:ascii="Times New Roman" w:hAnsi="Times New Roman"/>
          <w:noProof/>
          <w:sz w:val="24"/>
        </w:rPr>
        <w:t xml:space="preserve"> </w:t>
      </w:r>
      <w:r w:rsidR="00BE492D" w:rsidRPr="009B5734">
        <w:rPr>
          <w:rFonts w:ascii="Times New Roman" w:hAnsi="Times New Roman"/>
          <w:noProof/>
          <w:sz w:val="24"/>
        </w:rPr>
        <w:t>As the problems identified affect all European consumers, o</w:t>
      </w:r>
      <w:r w:rsidR="00975838" w:rsidRPr="009B5734">
        <w:rPr>
          <w:rFonts w:ascii="Times New Roman" w:hAnsi="Times New Roman"/>
          <w:noProof/>
          <w:sz w:val="24"/>
        </w:rPr>
        <w:t xml:space="preserve">nly action </w:t>
      </w:r>
      <w:r w:rsidR="00BE492D" w:rsidRPr="009B5734">
        <w:rPr>
          <w:rFonts w:ascii="Times New Roman" w:hAnsi="Times New Roman"/>
          <w:noProof/>
          <w:sz w:val="24"/>
        </w:rPr>
        <w:t>taken at EU level</w:t>
      </w:r>
      <w:r w:rsidR="007814B7" w:rsidRPr="009B5734">
        <w:rPr>
          <w:rFonts w:ascii="Times New Roman" w:hAnsi="Times New Roman"/>
          <w:noProof/>
          <w:sz w:val="24"/>
        </w:rPr>
        <w:t xml:space="preserve"> </w:t>
      </w:r>
      <w:r w:rsidR="00BE492D" w:rsidRPr="009B5734">
        <w:rPr>
          <w:rFonts w:ascii="Times New Roman" w:hAnsi="Times New Roman"/>
          <w:noProof/>
          <w:sz w:val="24"/>
        </w:rPr>
        <w:t>will be</w:t>
      </w:r>
      <w:r w:rsidR="00975838" w:rsidRPr="009B5734">
        <w:rPr>
          <w:rFonts w:ascii="Times New Roman" w:hAnsi="Times New Roman"/>
          <w:noProof/>
          <w:sz w:val="24"/>
        </w:rPr>
        <w:t xml:space="preserve"> effective</w:t>
      </w:r>
      <w:r w:rsidR="00B022D5" w:rsidRPr="009B5734">
        <w:rPr>
          <w:rFonts w:ascii="Times New Roman" w:hAnsi="Times New Roman"/>
          <w:noProof/>
          <w:sz w:val="24"/>
        </w:rPr>
        <w:t>.</w:t>
      </w:r>
      <w:r w:rsidR="00975838" w:rsidRPr="009B5734">
        <w:rPr>
          <w:rFonts w:ascii="Times New Roman" w:hAnsi="Times New Roman"/>
          <w:noProof/>
          <w:sz w:val="24"/>
        </w:rPr>
        <w:t xml:space="preserve"> </w:t>
      </w:r>
      <w:r w:rsidR="00BE492D" w:rsidRPr="009B5734">
        <w:rPr>
          <w:rFonts w:ascii="Times New Roman" w:hAnsi="Times New Roman"/>
          <w:noProof/>
          <w:sz w:val="24"/>
        </w:rPr>
        <w:t xml:space="preserve">Other factors which make EU action necessary are </w:t>
      </w:r>
      <w:r w:rsidR="00975838" w:rsidRPr="009B5734">
        <w:rPr>
          <w:rFonts w:ascii="Times New Roman" w:hAnsi="Times New Roman"/>
          <w:noProof/>
          <w:sz w:val="24"/>
        </w:rPr>
        <w:t>the volume of B2C cross-border trade in the EU</w:t>
      </w:r>
      <w:r w:rsidR="00BE492D" w:rsidRPr="009B5734">
        <w:rPr>
          <w:rFonts w:ascii="Times New Roman" w:hAnsi="Times New Roman"/>
          <w:noProof/>
          <w:sz w:val="24"/>
        </w:rPr>
        <w:t>, as well as</w:t>
      </w:r>
      <w:r w:rsidR="00BE492D" w:rsidRPr="009B5734" w:rsidDel="007814B7">
        <w:rPr>
          <w:rFonts w:ascii="Times New Roman" w:hAnsi="Times New Roman"/>
          <w:noProof/>
          <w:sz w:val="24"/>
        </w:rPr>
        <w:t xml:space="preserve"> </w:t>
      </w:r>
      <w:r w:rsidR="00975838" w:rsidRPr="009B5734">
        <w:rPr>
          <w:rFonts w:ascii="Times New Roman" w:hAnsi="Times New Roman"/>
          <w:noProof/>
          <w:sz w:val="24"/>
        </w:rPr>
        <w:t>the fact that Member States</w:t>
      </w:r>
      <w:r w:rsidR="00975838" w:rsidRPr="009B5734">
        <w:rPr>
          <w:rFonts w:ascii="Times New Roman" w:hAnsi="Times New Roman"/>
          <w:noProof/>
          <w:sz w:val="24"/>
          <w:vertAlign w:val="superscript"/>
        </w:rPr>
        <w:footnoteReference w:id="78"/>
      </w:r>
      <w:r w:rsidR="00975838" w:rsidRPr="009B5734">
        <w:rPr>
          <w:rFonts w:ascii="Times New Roman" w:hAnsi="Times New Roman"/>
          <w:noProof/>
          <w:sz w:val="24"/>
        </w:rPr>
        <w:t xml:space="preserve"> are starting to address the problems identified in this </w:t>
      </w:r>
      <w:r w:rsidR="00E57010" w:rsidRPr="009B5734">
        <w:rPr>
          <w:rFonts w:ascii="Times New Roman" w:hAnsi="Times New Roman"/>
          <w:noProof/>
          <w:sz w:val="24"/>
        </w:rPr>
        <w:t>impact assessment unilaterally.</w:t>
      </w:r>
    </w:p>
    <w:p w:rsidR="00D86DEA" w:rsidRPr="009B5734" w:rsidRDefault="002C4B31" w:rsidP="00D86DEA">
      <w:pPr>
        <w:pStyle w:val="BTNumbList"/>
        <w:rPr>
          <w:rFonts w:ascii="Times New Roman" w:hAnsi="Times New Roman"/>
          <w:noProof/>
          <w:sz w:val="24"/>
        </w:rPr>
      </w:pPr>
      <w:r w:rsidRPr="009B5734">
        <w:rPr>
          <w:rFonts w:ascii="Times New Roman" w:hAnsi="Times New Roman"/>
          <w:noProof/>
          <w:sz w:val="24"/>
        </w:rPr>
        <w:t xml:space="preserve">In the absence of EU-level action, these national </w:t>
      </w:r>
      <w:r w:rsidR="00E86C0A" w:rsidRPr="009B5734">
        <w:rPr>
          <w:rFonts w:ascii="Times New Roman" w:hAnsi="Times New Roman"/>
          <w:noProof/>
          <w:sz w:val="24"/>
        </w:rPr>
        <w:t xml:space="preserve">initiatives, </w:t>
      </w:r>
      <w:r w:rsidR="00E14DC6" w:rsidRPr="009B5734">
        <w:rPr>
          <w:rFonts w:ascii="Times New Roman" w:hAnsi="Times New Roman"/>
          <w:noProof/>
          <w:sz w:val="24"/>
        </w:rPr>
        <w:t>while bringing certain</w:t>
      </w:r>
      <w:r w:rsidR="00AC710E" w:rsidRPr="009B5734">
        <w:rPr>
          <w:rFonts w:ascii="Times New Roman" w:hAnsi="Times New Roman"/>
          <w:noProof/>
          <w:sz w:val="24"/>
        </w:rPr>
        <w:t xml:space="preserve"> benefits </w:t>
      </w:r>
      <w:r w:rsidR="00E14DC6" w:rsidRPr="009B5734">
        <w:rPr>
          <w:rFonts w:ascii="Times New Roman" w:hAnsi="Times New Roman"/>
          <w:noProof/>
          <w:sz w:val="24"/>
        </w:rPr>
        <w:t>to consumers and</w:t>
      </w:r>
      <w:r w:rsidR="00427023" w:rsidRPr="009B5734">
        <w:rPr>
          <w:rFonts w:ascii="Times New Roman" w:hAnsi="Times New Roman"/>
          <w:noProof/>
          <w:sz w:val="24"/>
        </w:rPr>
        <w:t xml:space="preserve"> the</w:t>
      </w:r>
      <w:r w:rsidR="00E14DC6" w:rsidRPr="009B5734">
        <w:rPr>
          <w:rFonts w:ascii="Times New Roman" w:hAnsi="Times New Roman"/>
          <w:noProof/>
          <w:sz w:val="24"/>
        </w:rPr>
        <w:t xml:space="preserve"> environment</w:t>
      </w:r>
      <w:r w:rsidR="00AC710E" w:rsidRPr="009B5734">
        <w:rPr>
          <w:rFonts w:ascii="Times New Roman" w:hAnsi="Times New Roman"/>
          <w:noProof/>
          <w:sz w:val="24"/>
        </w:rPr>
        <w:t xml:space="preserve"> at the national level, </w:t>
      </w:r>
      <w:r w:rsidRPr="009B5734">
        <w:rPr>
          <w:rFonts w:ascii="Times New Roman" w:hAnsi="Times New Roman"/>
          <w:noProof/>
          <w:sz w:val="24"/>
        </w:rPr>
        <w:t>could</w:t>
      </w:r>
      <w:r w:rsidR="00941A8B" w:rsidRPr="009B5734">
        <w:rPr>
          <w:rFonts w:ascii="Times New Roman" w:hAnsi="Times New Roman"/>
          <w:noProof/>
          <w:sz w:val="24"/>
        </w:rPr>
        <w:t xml:space="preserve"> </w:t>
      </w:r>
      <w:r w:rsidR="00AC710E" w:rsidRPr="009B5734">
        <w:rPr>
          <w:rFonts w:ascii="Times New Roman" w:hAnsi="Times New Roman"/>
          <w:noProof/>
          <w:sz w:val="24"/>
        </w:rPr>
        <w:t>further</w:t>
      </w:r>
      <w:r w:rsidR="00941A8B" w:rsidRPr="009B5734">
        <w:rPr>
          <w:rFonts w:ascii="Times New Roman" w:hAnsi="Times New Roman"/>
          <w:noProof/>
          <w:sz w:val="24"/>
        </w:rPr>
        <w:t xml:space="preserve"> intensify and</w:t>
      </w:r>
      <w:r w:rsidRPr="009B5734">
        <w:rPr>
          <w:rFonts w:ascii="Times New Roman" w:hAnsi="Times New Roman"/>
          <w:noProof/>
          <w:sz w:val="24"/>
        </w:rPr>
        <w:t xml:space="preserve"> lead to a fragmentation of the Single Market</w:t>
      </w:r>
      <w:r w:rsidR="00D86DEA" w:rsidRPr="009B5734">
        <w:rPr>
          <w:rFonts w:ascii="Times New Roman" w:hAnsi="Times New Roman"/>
          <w:noProof/>
          <w:sz w:val="24"/>
        </w:rPr>
        <w:t xml:space="preserve">, bringing in turn legal uncertainty and raising compliance costs. Indeed, the size and intensity of cross-border trade are high enough to make such economic activity in the Single Market </w:t>
      </w:r>
      <w:r w:rsidR="00BE492D" w:rsidRPr="009B5734">
        <w:rPr>
          <w:rFonts w:ascii="Times New Roman" w:hAnsi="Times New Roman"/>
          <w:noProof/>
          <w:sz w:val="24"/>
        </w:rPr>
        <w:t xml:space="preserve">extremely </w:t>
      </w:r>
      <w:r w:rsidR="00D86DEA" w:rsidRPr="009B5734">
        <w:rPr>
          <w:rFonts w:ascii="Times New Roman" w:hAnsi="Times New Roman"/>
          <w:noProof/>
          <w:sz w:val="24"/>
        </w:rPr>
        <w:t xml:space="preserve">vulnerable to inconsistent or even merely divergent policy choices by Member States. </w:t>
      </w:r>
    </w:p>
    <w:p w:rsidR="00555F65" w:rsidRPr="009B5734" w:rsidRDefault="00DF646C" w:rsidP="00787825">
      <w:pPr>
        <w:pStyle w:val="BTNumbList"/>
        <w:rPr>
          <w:rFonts w:ascii="Times New Roman" w:hAnsi="Times New Roman"/>
          <w:noProof/>
          <w:sz w:val="24"/>
        </w:rPr>
      </w:pPr>
      <w:r w:rsidRPr="009B5734">
        <w:rPr>
          <w:rFonts w:ascii="Times New Roman" w:hAnsi="Times New Roman"/>
          <w:noProof/>
          <w:sz w:val="24"/>
        </w:rPr>
        <w:t xml:space="preserve">The UCPD </w:t>
      </w:r>
      <w:r w:rsidR="001211DF" w:rsidRPr="009B5734">
        <w:rPr>
          <w:rFonts w:ascii="Times New Roman" w:hAnsi="Times New Roman"/>
          <w:noProof/>
          <w:sz w:val="24"/>
        </w:rPr>
        <w:t>provides</w:t>
      </w:r>
      <w:r w:rsidR="00DF7C25" w:rsidRPr="009B5734">
        <w:rPr>
          <w:rFonts w:ascii="Times New Roman" w:hAnsi="Times New Roman"/>
          <w:noProof/>
          <w:sz w:val="24"/>
        </w:rPr>
        <w:t>, in principle,</w:t>
      </w:r>
      <w:r w:rsidR="001211DF" w:rsidRPr="009B5734">
        <w:rPr>
          <w:rFonts w:ascii="Times New Roman" w:hAnsi="Times New Roman"/>
          <w:noProof/>
          <w:sz w:val="24"/>
        </w:rPr>
        <w:t xml:space="preserve"> fully harmonised rules regarding </w:t>
      </w:r>
      <w:r w:rsidRPr="009B5734">
        <w:rPr>
          <w:rFonts w:ascii="Times New Roman" w:hAnsi="Times New Roman"/>
          <w:noProof/>
          <w:sz w:val="24"/>
        </w:rPr>
        <w:t>unfair commercial practices harming consumers' economic interests. The CRD provides fully harmonised rules concerning pre-contractual information requirements</w:t>
      </w:r>
      <w:r w:rsidR="001211DF" w:rsidRPr="009B5734">
        <w:rPr>
          <w:rFonts w:ascii="Times New Roman" w:hAnsi="Times New Roman"/>
          <w:noProof/>
          <w:sz w:val="24"/>
        </w:rPr>
        <w:t xml:space="preserve"> in distance and off-premises sales</w:t>
      </w:r>
      <w:r w:rsidRPr="009B5734">
        <w:rPr>
          <w:rFonts w:ascii="Times New Roman" w:hAnsi="Times New Roman"/>
          <w:noProof/>
          <w:sz w:val="24"/>
        </w:rPr>
        <w:t xml:space="preserve">. </w:t>
      </w:r>
      <w:r w:rsidR="001211DF" w:rsidRPr="009B5734">
        <w:rPr>
          <w:rFonts w:ascii="Times New Roman" w:hAnsi="Times New Roman"/>
          <w:noProof/>
          <w:sz w:val="24"/>
        </w:rPr>
        <w:t>Therefore, depending on circumstances, n</w:t>
      </w:r>
      <w:r w:rsidRPr="009B5734">
        <w:rPr>
          <w:rFonts w:ascii="Times New Roman" w:hAnsi="Times New Roman"/>
          <w:noProof/>
          <w:sz w:val="24"/>
        </w:rPr>
        <w:t xml:space="preserve">ew legislative action </w:t>
      </w:r>
      <w:r w:rsidR="00A978E7" w:rsidRPr="009B5734">
        <w:rPr>
          <w:rFonts w:ascii="Times New Roman" w:hAnsi="Times New Roman"/>
          <w:noProof/>
          <w:sz w:val="24"/>
        </w:rPr>
        <w:t>at</w:t>
      </w:r>
      <w:r w:rsidRPr="009B5734">
        <w:rPr>
          <w:rFonts w:ascii="Times New Roman" w:hAnsi="Times New Roman"/>
          <w:noProof/>
          <w:sz w:val="24"/>
        </w:rPr>
        <w:t xml:space="preserve"> national level within the scope of these Directives </w:t>
      </w:r>
      <w:r w:rsidR="001211DF" w:rsidRPr="009B5734">
        <w:rPr>
          <w:rFonts w:ascii="Times New Roman" w:hAnsi="Times New Roman"/>
          <w:noProof/>
          <w:sz w:val="24"/>
        </w:rPr>
        <w:t>c</w:t>
      </w:r>
      <w:r w:rsidRPr="009B5734">
        <w:rPr>
          <w:rFonts w:ascii="Times New Roman" w:hAnsi="Times New Roman"/>
          <w:noProof/>
          <w:sz w:val="24"/>
        </w:rPr>
        <w:t>ould go against the fully harmonised acquis that is already in place.</w:t>
      </w:r>
      <w:r w:rsidR="00555F65" w:rsidRPr="009B5734">
        <w:rPr>
          <w:rFonts w:ascii="Times New Roman" w:hAnsi="Times New Roman"/>
          <w:noProof/>
          <w:sz w:val="24"/>
        </w:rPr>
        <w:t xml:space="preserve"> </w:t>
      </w:r>
    </w:p>
    <w:p w:rsidR="00E077E2" w:rsidRPr="009B5734" w:rsidRDefault="00E31330" w:rsidP="00787825">
      <w:pPr>
        <w:pStyle w:val="BTNumbList"/>
        <w:rPr>
          <w:rFonts w:ascii="Times New Roman" w:hAnsi="Times New Roman"/>
          <w:noProof/>
          <w:sz w:val="24"/>
        </w:rPr>
      </w:pPr>
      <w:r w:rsidRPr="009B5734">
        <w:rPr>
          <w:rFonts w:ascii="Times New Roman" w:hAnsi="Times New Roman"/>
          <w:noProof/>
          <w:sz w:val="24"/>
        </w:rPr>
        <w:t>W</w:t>
      </w:r>
      <w:r w:rsidR="00E077E2" w:rsidRPr="009B5734">
        <w:rPr>
          <w:rFonts w:ascii="Times New Roman" w:hAnsi="Times New Roman"/>
          <w:noProof/>
          <w:sz w:val="24"/>
        </w:rPr>
        <w:t>idespread infringements of consumer rights have now been legally defined by the revised CPC Regulation</w:t>
      </w:r>
      <w:r w:rsidRPr="009B5734">
        <w:rPr>
          <w:rStyle w:val="FootnoteReference"/>
          <w:rFonts w:ascii="Times New Roman" w:hAnsi="Times New Roman"/>
          <w:noProof/>
          <w:sz w:val="24"/>
        </w:rPr>
        <w:footnoteReference w:id="79"/>
      </w:r>
      <w:r w:rsidR="00E077E2" w:rsidRPr="009B5734">
        <w:rPr>
          <w:rFonts w:ascii="Times New Roman" w:hAnsi="Times New Roman"/>
          <w:noProof/>
          <w:sz w:val="24"/>
        </w:rPr>
        <w:t xml:space="preserve">, </w:t>
      </w:r>
      <w:r w:rsidR="00D86DEA" w:rsidRPr="009B5734">
        <w:rPr>
          <w:rFonts w:ascii="Times New Roman" w:hAnsi="Times New Roman"/>
          <w:noProof/>
          <w:sz w:val="24"/>
        </w:rPr>
        <w:t>which provides a powerful procedural framework for cooperation between national enforcers in this respect</w:t>
      </w:r>
      <w:r w:rsidR="00E077E2" w:rsidRPr="009B5734">
        <w:rPr>
          <w:rFonts w:ascii="Times New Roman" w:hAnsi="Times New Roman"/>
          <w:noProof/>
          <w:sz w:val="24"/>
        </w:rPr>
        <w:t>. But, to be fully effective, enforcement across the EU must also be grounded in a common and uniform substantive law framework. In other word</w:t>
      </w:r>
      <w:r w:rsidR="00427023" w:rsidRPr="009B5734">
        <w:rPr>
          <w:rFonts w:ascii="Times New Roman" w:hAnsi="Times New Roman"/>
          <w:noProof/>
          <w:sz w:val="24"/>
        </w:rPr>
        <w:t>s</w:t>
      </w:r>
      <w:r w:rsidR="00E077E2" w:rsidRPr="009B5734">
        <w:rPr>
          <w:rFonts w:ascii="Times New Roman" w:hAnsi="Times New Roman"/>
          <w:noProof/>
          <w:sz w:val="24"/>
        </w:rPr>
        <w:t xml:space="preserve">, </w:t>
      </w:r>
      <w:r w:rsidR="005E7FC8" w:rsidRPr="009B5734">
        <w:rPr>
          <w:rFonts w:ascii="Times New Roman" w:hAnsi="Times New Roman"/>
          <w:noProof/>
          <w:sz w:val="24"/>
        </w:rPr>
        <w:t xml:space="preserve">to be fully effective, </w:t>
      </w:r>
      <w:r w:rsidR="00E077E2" w:rsidRPr="009B5734">
        <w:rPr>
          <w:rFonts w:ascii="Times New Roman" w:hAnsi="Times New Roman"/>
          <w:noProof/>
          <w:sz w:val="24"/>
        </w:rPr>
        <w:t xml:space="preserve">the EU consumer acquis must more clearly define which greenwashing and obsolescence practices should be considered as unfair. </w:t>
      </w:r>
    </w:p>
    <w:p w:rsidR="00CA4324" w:rsidRPr="009B5734" w:rsidRDefault="00975838" w:rsidP="00CA4324">
      <w:pPr>
        <w:pStyle w:val="BTNumbList"/>
        <w:rPr>
          <w:rFonts w:ascii="Times New Roman" w:hAnsi="Times New Roman"/>
          <w:noProof/>
          <w:sz w:val="24"/>
        </w:rPr>
      </w:pPr>
      <w:r w:rsidRPr="009B5734">
        <w:rPr>
          <w:rFonts w:ascii="Times New Roman" w:hAnsi="Times New Roman"/>
          <w:noProof/>
          <w:sz w:val="24"/>
        </w:rPr>
        <w:t>Feedback of stakeholders on the Inception Impact Assessment shows a particularly strong support for EU action capable of bring</w:t>
      </w:r>
      <w:r w:rsidR="00D40FEB" w:rsidRPr="009B5734">
        <w:rPr>
          <w:rFonts w:ascii="Times New Roman" w:hAnsi="Times New Roman"/>
          <w:noProof/>
          <w:sz w:val="24"/>
        </w:rPr>
        <w:t>ing</w:t>
      </w:r>
      <w:r w:rsidRPr="009B5734">
        <w:rPr>
          <w:rFonts w:ascii="Times New Roman" w:hAnsi="Times New Roman"/>
          <w:noProof/>
          <w:sz w:val="24"/>
        </w:rPr>
        <w:t xml:space="preserve"> about a common approach to the provision of sustainability information to consumers and to limit the proliferation of labels and </w:t>
      </w:r>
      <w:r w:rsidR="005C7907" w:rsidRPr="009B5734">
        <w:rPr>
          <w:rFonts w:ascii="Times New Roman" w:hAnsi="Times New Roman"/>
          <w:noProof/>
          <w:sz w:val="24"/>
        </w:rPr>
        <w:t xml:space="preserve">misleading green </w:t>
      </w:r>
      <w:r w:rsidRPr="009B5734">
        <w:rPr>
          <w:rFonts w:ascii="Times New Roman" w:hAnsi="Times New Roman"/>
          <w:noProof/>
          <w:sz w:val="24"/>
        </w:rPr>
        <w:t>claims on th</w:t>
      </w:r>
      <w:r w:rsidR="00555F65" w:rsidRPr="009B5734">
        <w:rPr>
          <w:rFonts w:ascii="Times New Roman" w:hAnsi="Times New Roman"/>
          <w:noProof/>
          <w:sz w:val="24"/>
        </w:rPr>
        <w:t xml:space="preserve">e Single Market, for instance. </w:t>
      </w:r>
    </w:p>
    <w:p w:rsidR="00EC1BDA" w:rsidRPr="009B5734" w:rsidRDefault="00EC1BDA" w:rsidP="00CA4324">
      <w:pPr>
        <w:pStyle w:val="BTNumbList"/>
        <w:rPr>
          <w:rFonts w:ascii="Times New Roman" w:hAnsi="Times New Roman"/>
          <w:noProof/>
          <w:sz w:val="24"/>
        </w:rPr>
      </w:pPr>
    </w:p>
    <w:p w:rsidR="00CA4324" w:rsidRPr="009B5734" w:rsidRDefault="00A00208" w:rsidP="00A00208">
      <w:pPr>
        <w:pStyle w:val="Heading2"/>
        <w:rPr>
          <w:noProof/>
        </w:rPr>
      </w:pPr>
      <w:bookmarkStart w:id="105" w:name="_Toc58149026"/>
      <w:bookmarkStart w:id="106" w:name="_Toc58604059"/>
      <w:bookmarkStart w:id="107" w:name="_Toc77844230"/>
      <w:bookmarkStart w:id="108" w:name="_Toc86391733"/>
      <w:r w:rsidRPr="00A00208">
        <w:t>3.3.</w:t>
      </w:r>
      <w:r w:rsidRPr="00A00208">
        <w:tab/>
      </w:r>
      <w:r w:rsidR="00CA4324" w:rsidRPr="009B5734">
        <w:rPr>
          <w:noProof/>
        </w:rPr>
        <w:t>Subsidiarity: Added value of EU action</w:t>
      </w:r>
      <w:bookmarkEnd w:id="105"/>
      <w:bookmarkEnd w:id="106"/>
      <w:bookmarkEnd w:id="107"/>
      <w:bookmarkEnd w:id="108"/>
      <w:r w:rsidR="00CA4324" w:rsidRPr="009B5734">
        <w:rPr>
          <w:noProof/>
        </w:rPr>
        <w:t xml:space="preserve"> </w:t>
      </w:r>
    </w:p>
    <w:p w:rsidR="002E4D12" w:rsidRPr="009B5734" w:rsidRDefault="002E4D12">
      <w:pPr>
        <w:pStyle w:val="BTNumbList"/>
        <w:rPr>
          <w:rFonts w:ascii="Times New Roman" w:hAnsi="Times New Roman"/>
          <w:noProof/>
          <w:sz w:val="24"/>
        </w:rPr>
      </w:pPr>
      <w:r w:rsidRPr="009B5734">
        <w:rPr>
          <w:rFonts w:ascii="Times New Roman" w:hAnsi="Times New Roman"/>
          <w:noProof/>
          <w:sz w:val="24"/>
        </w:rPr>
        <w:t>The 2017 Fitness Check of the Consumer and Marketing Law as well as the evaluation of the C</w:t>
      </w:r>
      <w:r w:rsidR="001B761C" w:rsidRPr="009B5734">
        <w:rPr>
          <w:rFonts w:ascii="Times New Roman" w:hAnsi="Times New Roman"/>
          <w:noProof/>
          <w:sz w:val="24"/>
        </w:rPr>
        <w:t>onsumer Rights Directive</w:t>
      </w:r>
      <w:r w:rsidRPr="009B5734">
        <w:rPr>
          <w:rFonts w:ascii="Times New Roman" w:hAnsi="Times New Roman"/>
          <w:noProof/>
          <w:sz w:val="24"/>
        </w:rPr>
        <w:t xml:space="preserve"> confirmed that</w:t>
      </w:r>
      <w:r w:rsidR="00631FEE" w:rsidRPr="009B5734">
        <w:rPr>
          <w:rFonts w:ascii="Times New Roman" w:hAnsi="Times New Roman"/>
          <w:noProof/>
          <w:sz w:val="24"/>
        </w:rPr>
        <w:t xml:space="preserve"> the</w:t>
      </w:r>
      <w:r w:rsidRPr="009B5734">
        <w:rPr>
          <w:rFonts w:ascii="Times New Roman" w:hAnsi="Times New Roman"/>
          <w:noProof/>
          <w:sz w:val="24"/>
        </w:rPr>
        <w:t xml:space="preserve"> horizontal EU consumer and marketing law acquis has contributed towards a high level of consumer protection across the EU. It has also ensured a better functioning internal market and helped </w:t>
      </w:r>
      <w:r w:rsidR="00880625" w:rsidRPr="009B5734">
        <w:rPr>
          <w:rFonts w:ascii="Times New Roman" w:hAnsi="Times New Roman"/>
          <w:noProof/>
          <w:sz w:val="24"/>
        </w:rPr>
        <w:t>to reduce</w:t>
      </w:r>
      <w:r w:rsidRPr="009B5734">
        <w:rPr>
          <w:rFonts w:ascii="Times New Roman" w:hAnsi="Times New Roman"/>
          <w:noProof/>
          <w:sz w:val="24"/>
        </w:rPr>
        <w:t xml:space="preserve"> costs for businesses offering </w:t>
      </w:r>
      <w:r w:rsidR="00880625" w:rsidRPr="009B5734">
        <w:rPr>
          <w:rFonts w:ascii="Times New Roman" w:hAnsi="Times New Roman"/>
          <w:noProof/>
          <w:sz w:val="24"/>
        </w:rPr>
        <w:t>goods</w:t>
      </w:r>
      <w:r w:rsidRPr="009B5734">
        <w:rPr>
          <w:rFonts w:ascii="Times New Roman" w:hAnsi="Times New Roman"/>
          <w:noProof/>
          <w:sz w:val="24"/>
        </w:rPr>
        <w:t xml:space="preserve"> and services cross-border</w:t>
      </w:r>
      <w:r w:rsidRPr="009B5734">
        <w:rPr>
          <w:rStyle w:val="FootnoteReference"/>
          <w:rFonts w:ascii="Times New Roman" w:hAnsi="Times New Roman"/>
          <w:noProof/>
          <w:sz w:val="24"/>
        </w:rPr>
        <w:footnoteReference w:id="80"/>
      </w:r>
      <w:r w:rsidRPr="009B5734">
        <w:rPr>
          <w:rFonts w:ascii="Times New Roman" w:hAnsi="Times New Roman"/>
          <w:noProof/>
          <w:sz w:val="24"/>
        </w:rPr>
        <w:t>. As this initiative aims at completing this acquis to address problems that have become more acute with the green transition,</w:t>
      </w:r>
      <w:r w:rsidR="00DD5737" w:rsidRPr="009B5734">
        <w:rPr>
          <w:rFonts w:ascii="Times New Roman" w:hAnsi="Times New Roman"/>
          <w:noProof/>
          <w:sz w:val="24"/>
        </w:rPr>
        <w:t xml:space="preserve"> and to render its enforcement more effective,</w:t>
      </w:r>
      <w:r w:rsidRPr="009B5734">
        <w:rPr>
          <w:rFonts w:ascii="Times New Roman" w:hAnsi="Times New Roman"/>
          <w:noProof/>
          <w:sz w:val="24"/>
        </w:rPr>
        <w:t xml:space="preserve"> it is also expected to </w:t>
      </w:r>
      <w:r w:rsidR="0079182F" w:rsidRPr="009B5734">
        <w:rPr>
          <w:rFonts w:ascii="Times New Roman" w:hAnsi="Times New Roman"/>
          <w:noProof/>
          <w:sz w:val="24"/>
        </w:rPr>
        <w:t>achieve the same added-value</w:t>
      </w:r>
      <w:r w:rsidRPr="009B5734">
        <w:rPr>
          <w:rFonts w:ascii="Times New Roman" w:hAnsi="Times New Roman"/>
          <w:noProof/>
          <w:sz w:val="24"/>
        </w:rPr>
        <w:t xml:space="preserve">. </w:t>
      </w:r>
    </w:p>
    <w:p w:rsidR="002626CD" w:rsidRPr="009B5734" w:rsidRDefault="00CA4324" w:rsidP="00CA4324">
      <w:pPr>
        <w:pStyle w:val="BTNumbList"/>
        <w:rPr>
          <w:rFonts w:ascii="Times New Roman" w:hAnsi="Times New Roman"/>
          <w:noProof/>
          <w:sz w:val="24"/>
        </w:rPr>
      </w:pPr>
      <w:r w:rsidRPr="009B5734">
        <w:rPr>
          <w:rFonts w:ascii="Times New Roman" w:hAnsi="Times New Roman"/>
          <w:noProof/>
          <w:sz w:val="24"/>
        </w:rPr>
        <w:t xml:space="preserve">EU </w:t>
      </w:r>
      <w:r w:rsidR="00D658D4" w:rsidRPr="009B5734">
        <w:rPr>
          <w:rFonts w:ascii="Times New Roman" w:hAnsi="Times New Roman"/>
          <w:noProof/>
          <w:sz w:val="24"/>
        </w:rPr>
        <w:t xml:space="preserve">action </w:t>
      </w:r>
      <w:r w:rsidRPr="009B5734">
        <w:rPr>
          <w:rFonts w:ascii="Times New Roman" w:hAnsi="Times New Roman"/>
          <w:noProof/>
          <w:sz w:val="24"/>
        </w:rPr>
        <w:t xml:space="preserve">can ensure that </w:t>
      </w:r>
      <w:r w:rsidR="00880625" w:rsidRPr="009B5734">
        <w:rPr>
          <w:rFonts w:ascii="Times New Roman" w:hAnsi="Times New Roman"/>
          <w:noProof/>
          <w:sz w:val="24"/>
        </w:rPr>
        <w:t xml:space="preserve">consumers have the </w:t>
      </w:r>
      <w:r w:rsidRPr="009B5734">
        <w:rPr>
          <w:rFonts w:ascii="Times New Roman" w:hAnsi="Times New Roman"/>
          <w:noProof/>
          <w:sz w:val="24"/>
        </w:rPr>
        <w:t xml:space="preserve">same </w:t>
      </w:r>
      <w:r w:rsidR="00631FEE" w:rsidRPr="009B5734">
        <w:rPr>
          <w:rFonts w:ascii="Times New Roman" w:hAnsi="Times New Roman"/>
          <w:noProof/>
          <w:sz w:val="24"/>
        </w:rPr>
        <w:t xml:space="preserve">environmental sustainability </w:t>
      </w:r>
      <w:r w:rsidRPr="009B5734">
        <w:rPr>
          <w:rFonts w:ascii="Times New Roman" w:hAnsi="Times New Roman"/>
          <w:noProof/>
          <w:sz w:val="24"/>
        </w:rPr>
        <w:t xml:space="preserve">information </w:t>
      </w:r>
      <w:r w:rsidR="00231730" w:rsidRPr="009B5734">
        <w:rPr>
          <w:rFonts w:ascii="Times New Roman" w:hAnsi="Times New Roman"/>
          <w:noProof/>
          <w:sz w:val="24"/>
        </w:rPr>
        <w:t xml:space="preserve">across the </w:t>
      </w:r>
      <w:r w:rsidR="00D658D4" w:rsidRPr="009B5734">
        <w:rPr>
          <w:rFonts w:ascii="Times New Roman" w:hAnsi="Times New Roman"/>
          <w:noProof/>
          <w:sz w:val="24"/>
        </w:rPr>
        <w:t xml:space="preserve">Single Market </w:t>
      </w:r>
      <w:r w:rsidR="00231730" w:rsidRPr="009B5734">
        <w:rPr>
          <w:rFonts w:ascii="Times New Roman" w:hAnsi="Times New Roman"/>
          <w:noProof/>
          <w:sz w:val="24"/>
        </w:rPr>
        <w:t>which will help</w:t>
      </w:r>
      <w:r w:rsidRPr="009B5734">
        <w:rPr>
          <w:rFonts w:ascii="Times New Roman" w:hAnsi="Times New Roman"/>
          <w:noProof/>
          <w:sz w:val="24"/>
        </w:rPr>
        <w:t xml:space="preserve"> </w:t>
      </w:r>
      <w:r w:rsidR="00231730" w:rsidRPr="009B5734">
        <w:rPr>
          <w:rFonts w:ascii="Times New Roman" w:hAnsi="Times New Roman"/>
          <w:noProof/>
          <w:sz w:val="24"/>
        </w:rPr>
        <w:t>them to make</w:t>
      </w:r>
      <w:r w:rsidRPr="009B5734">
        <w:rPr>
          <w:rFonts w:ascii="Times New Roman" w:hAnsi="Times New Roman"/>
          <w:noProof/>
          <w:sz w:val="24"/>
        </w:rPr>
        <w:t xml:space="preserve"> informed </w:t>
      </w:r>
      <w:r w:rsidR="00231730" w:rsidRPr="009B5734">
        <w:rPr>
          <w:rFonts w:ascii="Times New Roman" w:hAnsi="Times New Roman"/>
          <w:noProof/>
          <w:sz w:val="24"/>
        </w:rPr>
        <w:t xml:space="preserve">purchasing </w:t>
      </w:r>
      <w:r w:rsidRPr="009B5734">
        <w:rPr>
          <w:rFonts w:ascii="Times New Roman" w:hAnsi="Times New Roman"/>
          <w:noProof/>
          <w:sz w:val="24"/>
        </w:rPr>
        <w:t>choices</w:t>
      </w:r>
      <w:r w:rsidR="00555F65" w:rsidRPr="009B5734">
        <w:rPr>
          <w:rFonts w:ascii="Times New Roman" w:hAnsi="Times New Roman"/>
          <w:noProof/>
          <w:sz w:val="24"/>
        </w:rPr>
        <w:t>, thus</w:t>
      </w:r>
      <w:r w:rsidR="002626CD" w:rsidRPr="009B5734">
        <w:rPr>
          <w:rFonts w:ascii="Times New Roman" w:hAnsi="Times New Roman"/>
          <w:noProof/>
          <w:sz w:val="24"/>
        </w:rPr>
        <w:t xml:space="preserve"> </w:t>
      </w:r>
      <w:r w:rsidR="00555F65" w:rsidRPr="009B5734">
        <w:rPr>
          <w:rFonts w:ascii="Times New Roman" w:hAnsi="Times New Roman"/>
          <w:noProof/>
          <w:sz w:val="24"/>
        </w:rPr>
        <w:t>reducing</w:t>
      </w:r>
      <w:r w:rsidR="00DE467A" w:rsidRPr="009B5734">
        <w:rPr>
          <w:rFonts w:ascii="Times New Roman" w:hAnsi="Times New Roman"/>
          <w:noProof/>
          <w:sz w:val="24"/>
        </w:rPr>
        <w:t xml:space="preserve"> the risk of </w:t>
      </w:r>
      <w:r w:rsidR="002626CD" w:rsidRPr="009B5734">
        <w:rPr>
          <w:rFonts w:ascii="Times New Roman" w:hAnsi="Times New Roman"/>
          <w:noProof/>
          <w:sz w:val="24"/>
        </w:rPr>
        <w:t xml:space="preserve">a legal fragmentation of the Single Market and the consequences that this would entail for cross-border trade and consumer protection. This initiative would also </w:t>
      </w:r>
      <w:r w:rsidR="00DF7C25" w:rsidRPr="009B5734">
        <w:rPr>
          <w:rFonts w:ascii="Times New Roman" w:hAnsi="Times New Roman"/>
          <w:noProof/>
          <w:sz w:val="24"/>
        </w:rPr>
        <w:t xml:space="preserve">alleviate </w:t>
      </w:r>
      <w:r w:rsidR="002626CD" w:rsidRPr="009B5734">
        <w:rPr>
          <w:rFonts w:ascii="Times New Roman" w:hAnsi="Times New Roman"/>
          <w:noProof/>
          <w:sz w:val="24"/>
        </w:rPr>
        <w:t xml:space="preserve">the difficulties faced by national </w:t>
      </w:r>
      <w:r w:rsidR="00DF7C25" w:rsidRPr="009B5734">
        <w:rPr>
          <w:rFonts w:ascii="Times New Roman" w:hAnsi="Times New Roman"/>
          <w:noProof/>
          <w:sz w:val="24"/>
        </w:rPr>
        <w:t xml:space="preserve">authorities in enforcing </w:t>
      </w:r>
      <w:r w:rsidR="002626CD" w:rsidRPr="009B5734">
        <w:rPr>
          <w:rFonts w:ascii="Times New Roman" w:hAnsi="Times New Roman"/>
          <w:noProof/>
          <w:sz w:val="24"/>
        </w:rPr>
        <w:t xml:space="preserve">the </w:t>
      </w:r>
      <w:r w:rsidR="00DF7C25" w:rsidRPr="009B5734">
        <w:rPr>
          <w:rFonts w:ascii="Times New Roman" w:hAnsi="Times New Roman"/>
          <w:noProof/>
          <w:sz w:val="24"/>
        </w:rPr>
        <w:t xml:space="preserve">existing </w:t>
      </w:r>
      <w:r w:rsidR="002626CD" w:rsidRPr="009B5734">
        <w:rPr>
          <w:rFonts w:ascii="Times New Roman" w:hAnsi="Times New Roman"/>
          <w:noProof/>
          <w:sz w:val="24"/>
        </w:rPr>
        <w:t xml:space="preserve">principle-based </w:t>
      </w:r>
      <w:r w:rsidR="00DF7C25" w:rsidRPr="009B5734">
        <w:rPr>
          <w:rFonts w:ascii="Times New Roman" w:hAnsi="Times New Roman"/>
          <w:noProof/>
          <w:sz w:val="24"/>
        </w:rPr>
        <w:t>provisions</w:t>
      </w:r>
      <w:r w:rsidR="002626CD" w:rsidRPr="009B5734">
        <w:rPr>
          <w:rFonts w:ascii="Times New Roman" w:hAnsi="Times New Roman"/>
          <w:noProof/>
          <w:sz w:val="24"/>
        </w:rPr>
        <w:t xml:space="preserve"> of the UCPD </w:t>
      </w:r>
      <w:r w:rsidR="00DF7C25" w:rsidRPr="009B5734">
        <w:rPr>
          <w:rFonts w:ascii="Times New Roman" w:hAnsi="Times New Roman"/>
          <w:noProof/>
          <w:sz w:val="24"/>
        </w:rPr>
        <w:t>in</w:t>
      </w:r>
      <w:r w:rsidR="002626CD" w:rsidRPr="009B5734">
        <w:rPr>
          <w:rFonts w:ascii="Times New Roman" w:hAnsi="Times New Roman"/>
          <w:noProof/>
          <w:sz w:val="24"/>
        </w:rPr>
        <w:t xml:space="preserve"> such </w:t>
      </w:r>
      <w:r w:rsidR="00DF7C25" w:rsidRPr="009B5734">
        <w:rPr>
          <w:rFonts w:ascii="Times New Roman" w:hAnsi="Times New Roman"/>
          <w:noProof/>
          <w:sz w:val="24"/>
        </w:rPr>
        <w:t xml:space="preserve">complex areas </w:t>
      </w:r>
      <w:r w:rsidR="002626CD" w:rsidRPr="009B5734">
        <w:rPr>
          <w:rFonts w:ascii="Times New Roman" w:hAnsi="Times New Roman"/>
          <w:noProof/>
          <w:sz w:val="24"/>
        </w:rPr>
        <w:t xml:space="preserve">as misleading green claims and obsolescence practices. By specifying further when and how such practices would qualify as unfair, it would </w:t>
      </w:r>
      <w:r w:rsidR="00DF7C25" w:rsidRPr="009B5734">
        <w:rPr>
          <w:rFonts w:ascii="Times New Roman" w:hAnsi="Times New Roman"/>
          <w:noProof/>
          <w:sz w:val="24"/>
        </w:rPr>
        <w:t>increase the</w:t>
      </w:r>
      <w:r w:rsidR="002626CD" w:rsidRPr="009B5734">
        <w:rPr>
          <w:rFonts w:ascii="Times New Roman" w:hAnsi="Times New Roman"/>
          <w:noProof/>
          <w:sz w:val="24"/>
        </w:rPr>
        <w:t xml:space="preserve"> effective</w:t>
      </w:r>
      <w:r w:rsidR="00DF7C25" w:rsidRPr="009B5734">
        <w:rPr>
          <w:rFonts w:ascii="Times New Roman" w:hAnsi="Times New Roman"/>
          <w:noProof/>
          <w:sz w:val="24"/>
        </w:rPr>
        <w:t xml:space="preserve">ness </w:t>
      </w:r>
      <w:r w:rsidR="002626CD" w:rsidRPr="009B5734">
        <w:rPr>
          <w:rFonts w:ascii="Times New Roman" w:hAnsi="Times New Roman"/>
          <w:noProof/>
          <w:sz w:val="24"/>
        </w:rPr>
        <w:t xml:space="preserve">of consumer protection within the </w:t>
      </w:r>
      <w:r w:rsidR="006F68DC" w:rsidRPr="009B5734">
        <w:rPr>
          <w:rFonts w:ascii="Times New Roman" w:hAnsi="Times New Roman"/>
          <w:noProof/>
          <w:sz w:val="24"/>
        </w:rPr>
        <w:t>EU</w:t>
      </w:r>
      <w:r w:rsidR="002626CD" w:rsidRPr="009B5734">
        <w:rPr>
          <w:rFonts w:ascii="Times New Roman" w:hAnsi="Times New Roman"/>
          <w:noProof/>
          <w:sz w:val="24"/>
        </w:rPr>
        <w:t>.</w:t>
      </w:r>
    </w:p>
    <w:p w:rsidR="002626CD" w:rsidRPr="009B5734" w:rsidRDefault="00530C56" w:rsidP="002626CD">
      <w:pPr>
        <w:pStyle w:val="BTNumbList"/>
        <w:rPr>
          <w:rFonts w:ascii="Times New Roman" w:hAnsi="Times New Roman"/>
          <w:noProof/>
          <w:sz w:val="24"/>
        </w:rPr>
      </w:pPr>
      <w:r w:rsidRPr="009B5734">
        <w:rPr>
          <w:rFonts w:ascii="Times New Roman" w:hAnsi="Times New Roman"/>
          <w:noProof/>
          <w:sz w:val="24"/>
        </w:rPr>
        <w:t>B</w:t>
      </w:r>
      <w:r w:rsidR="002626CD" w:rsidRPr="009B5734">
        <w:rPr>
          <w:rFonts w:ascii="Times New Roman" w:hAnsi="Times New Roman"/>
          <w:noProof/>
          <w:sz w:val="24"/>
        </w:rPr>
        <w:t xml:space="preserve">y building in a targeted way on the EU </w:t>
      </w:r>
      <w:r w:rsidR="005C7907" w:rsidRPr="009B5734">
        <w:rPr>
          <w:rFonts w:ascii="Times New Roman" w:hAnsi="Times New Roman"/>
          <w:noProof/>
          <w:sz w:val="24"/>
        </w:rPr>
        <w:t>c</w:t>
      </w:r>
      <w:r w:rsidR="002626CD" w:rsidRPr="009B5734">
        <w:rPr>
          <w:rFonts w:ascii="Times New Roman" w:hAnsi="Times New Roman"/>
          <w:noProof/>
          <w:sz w:val="24"/>
        </w:rPr>
        <w:t xml:space="preserve">onsumer </w:t>
      </w:r>
      <w:r w:rsidR="005C7907" w:rsidRPr="009B5734">
        <w:rPr>
          <w:rFonts w:ascii="Times New Roman" w:hAnsi="Times New Roman"/>
          <w:noProof/>
          <w:sz w:val="24"/>
        </w:rPr>
        <w:t>l</w:t>
      </w:r>
      <w:r w:rsidR="002626CD" w:rsidRPr="009B5734">
        <w:rPr>
          <w:rFonts w:ascii="Times New Roman" w:hAnsi="Times New Roman"/>
          <w:noProof/>
          <w:sz w:val="24"/>
        </w:rPr>
        <w:t xml:space="preserve">aw acquis, this initiative will also rely on the full spectrum of enforcement mechanisms, as strengthened under the </w:t>
      </w:r>
      <w:r w:rsidR="00DF7C25" w:rsidRPr="009B5734">
        <w:rPr>
          <w:rFonts w:ascii="Times New Roman" w:hAnsi="Times New Roman"/>
          <w:noProof/>
          <w:sz w:val="24"/>
        </w:rPr>
        <w:t>Better enforcement and modernisation Directive</w:t>
      </w:r>
      <w:r w:rsidR="0033317F" w:rsidRPr="009B5734">
        <w:rPr>
          <w:rStyle w:val="FootnoteReference"/>
          <w:rFonts w:ascii="Times New Roman" w:hAnsi="Times New Roman"/>
          <w:noProof/>
          <w:sz w:val="24"/>
        </w:rPr>
        <w:footnoteReference w:id="81"/>
      </w:r>
      <w:r w:rsidR="00DF7C25" w:rsidRPr="009B5734">
        <w:rPr>
          <w:rFonts w:ascii="Times New Roman" w:hAnsi="Times New Roman"/>
          <w:noProof/>
          <w:sz w:val="24"/>
        </w:rPr>
        <w:t>, the Representative Actions Directive</w:t>
      </w:r>
      <w:r w:rsidR="0033317F" w:rsidRPr="009B5734">
        <w:rPr>
          <w:rStyle w:val="FootnoteReference"/>
          <w:rFonts w:ascii="Times New Roman" w:hAnsi="Times New Roman"/>
          <w:noProof/>
          <w:sz w:val="24"/>
        </w:rPr>
        <w:footnoteReference w:id="82"/>
      </w:r>
      <w:r w:rsidR="00DF7C25" w:rsidRPr="009B5734">
        <w:rPr>
          <w:rFonts w:ascii="Times New Roman" w:hAnsi="Times New Roman"/>
          <w:noProof/>
          <w:sz w:val="24"/>
        </w:rPr>
        <w:t xml:space="preserve"> </w:t>
      </w:r>
      <w:r w:rsidR="002626CD" w:rsidRPr="009B5734">
        <w:rPr>
          <w:rFonts w:ascii="Times New Roman" w:hAnsi="Times New Roman"/>
          <w:noProof/>
          <w:sz w:val="24"/>
        </w:rPr>
        <w:t>and the revised CPC Regulation</w:t>
      </w:r>
      <w:r w:rsidR="0033317F" w:rsidRPr="009B5734">
        <w:rPr>
          <w:rStyle w:val="FootnoteReference"/>
          <w:rFonts w:ascii="Times New Roman" w:hAnsi="Times New Roman"/>
          <w:noProof/>
          <w:sz w:val="24"/>
        </w:rPr>
        <w:footnoteReference w:id="83"/>
      </w:r>
      <w:r w:rsidR="002626CD" w:rsidRPr="009B5734">
        <w:rPr>
          <w:rFonts w:ascii="Times New Roman" w:hAnsi="Times New Roman"/>
          <w:noProof/>
          <w:sz w:val="24"/>
        </w:rPr>
        <w:t>.</w:t>
      </w:r>
    </w:p>
    <w:p w:rsidR="00CA4324" w:rsidRPr="009B5734" w:rsidRDefault="00413566" w:rsidP="00CA4324">
      <w:pPr>
        <w:pStyle w:val="BTNumbList"/>
        <w:rPr>
          <w:rFonts w:ascii="Times New Roman" w:hAnsi="Times New Roman"/>
          <w:noProof/>
          <w:sz w:val="24"/>
        </w:rPr>
      </w:pPr>
      <w:r w:rsidRPr="009B5734">
        <w:rPr>
          <w:rFonts w:ascii="Times New Roman" w:hAnsi="Times New Roman"/>
          <w:noProof/>
          <w:sz w:val="24"/>
        </w:rPr>
        <w:t xml:space="preserve">This initiative </w:t>
      </w:r>
      <w:r w:rsidR="00F75B35" w:rsidRPr="009B5734">
        <w:rPr>
          <w:rFonts w:ascii="Times New Roman" w:hAnsi="Times New Roman"/>
          <w:noProof/>
          <w:sz w:val="24"/>
        </w:rPr>
        <w:t xml:space="preserve">will </w:t>
      </w:r>
      <w:r w:rsidR="00CA4324" w:rsidRPr="009B5734">
        <w:rPr>
          <w:rFonts w:ascii="Times New Roman" w:hAnsi="Times New Roman"/>
          <w:noProof/>
          <w:sz w:val="24"/>
        </w:rPr>
        <w:t xml:space="preserve">cover only the aspects that Member States cannot achieve on their own and where the administrative burden and costs are commensurate with the specific and general objectives to be achieved. </w:t>
      </w:r>
      <w:r w:rsidR="00CA4324" w:rsidRPr="009B5734" w:rsidDel="00976543">
        <w:rPr>
          <w:rFonts w:ascii="Times New Roman" w:hAnsi="Times New Roman"/>
          <w:noProof/>
          <w:sz w:val="24"/>
        </w:rPr>
        <w:t xml:space="preserve">Proportionality will be carefully designed in terms of scope and intensity and using qualitative and quantitative assessment criteria to ensure that the </w:t>
      </w:r>
      <w:r w:rsidR="000F1CBF" w:rsidRPr="009B5734" w:rsidDel="00976543">
        <w:rPr>
          <w:rFonts w:ascii="Times New Roman" w:hAnsi="Times New Roman"/>
          <w:noProof/>
          <w:sz w:val="24"/>
        </w:rPr>
        <w:t>options considered</w:t>
      </w:r>
      <w:r w:rsidR="00CA4324" w:rsidRPr="009B5734" w:rsidDel="00976543">
        <w:rPr>
          <w:rFonts w:ascii="Times New Roman" w:hAnsi="Times New Roman"/>
          <w:noProof/>
          <w:sz w:val="24"/>
        </w:rPr>
        <w:t xml:space="preserve"> will cover all </w:t>
      </w:r>
      <w:r w:rsidR="00E31CA0" w:rsidRPr="009B5734" w:rsidDel="00976543">
        <w:rPr>
          <w:rFonts w:ascii="Times New Roman" w:hAnsi="Times New Roman"/>
          <w:noProof/>
          <w:sz w:val="24"/>
        </w:rPr>
        <w:t>relevant stakeholders</w:t>
      </w:r>
      <w:r w:rsidR="00CA4324" w:rsidRPr="009B5734" w:rsidDel="00976543">
        <w:rPr>
          <w:rFonts w:ascii="Times New Roman" w:hAnsi="Times New Roman"/>
          <w:noProof/>
          <w:sz w:val="24"/>
        </w:rPr>
        <w:t xml:space="preserve">, but will be tailored to the needs they must address. None of the options analysed in this impact assessment goes beyond what is necessary to achieve the objectives set in the following section. </w:t>
      </w:r>
    </w:p>
    <w:p w:rsidR="006B087E" w:rsidRPr="009B5734" w:rsidRDefault="00A00208" w:rsidP="00A00208">
      <w:pPr>
        <w:pStyle w:val="Heading1"/>
        <w:rPr>
          <w:noProof/>
        </w:rPr>
      </w:pPr>
      <w:bookmarkStart w:id="109" w:name="_Toc58149027"/>
      <w:bookmarkStart w:id="110" w:name="_Toc58604060"/>
      <w:bookmarkStart w:id="111" w:name="_Toc75440973"/>
      <w:bookmarkStart w:id="112" w:name="_Toc75446972"/>
      <w:bookmarkStart w:id="113" w:name="_Toc75448845"/>
      <w:bookmarkStart w:id="114" w:name="_Toc77844231"/>
      <w:bookmarkStart w:id="115" w:name="_Toc86391734"/>
      <w:r w:rsidRPr="00A00208">
        <w:t>4.</w:t>
      </w:r>
      <w:r w:rsidRPr="00A00208">
        <w:tab/>
      </w:r>
      <w:r w:rsidR="006B087E" w:rsidRPr="009B5734">
        <w:rPr>
          <w:noProof/>
        </w:rPr>
        <w:t>Objectives: What is to be achieved?</w:t>
      </w:r>
      <w:bookmarkEnd w:id="109"/>
      <w:bookmarkEnd w:id="110"/>
      <w:bookmarkEnd w:id="111"/>
      <w:bookmarkEnd w:id="112"/>
      <w:bookmarkEnd w:id="113"/>
      <w:bookmarkEnd w:id="114"/>
      <w:bookmarkEnd w:id="115"/>
    </w:p>
    <w:p w:rsidR="006B087E" w:rsidRPr="009B5734" w:rsidRDefault="00A00208" w:rsidP="00A00208">
      <w:pPr>
        <w:pStyle w:val="Heading2"/>
        <w:rPr>
          <w:noProof/>
        </w:rPr>
      </w:pPr>
      <w:bookmarkStart w:id="116" w:name="_Toc58149028"/>
      <w:bookmarkStart w:id="117" w:name="_Toc58604061"/>
      <w:bookmarkStart w:id="118" w:name="_Toc77844232"/>
      <w:bookmarkStart w:id="119" w:name="_Toc86391735"/>
      <w:r w:rsidRPr="00A00208">
        <w:t>4.1.</w:t>
      </w:r>
      <w:r w:rsidRPr="00A00208">
        <w:tab/>
      </w:r>
      <w:r w:rsidR="006B087E" w:rsidRPr="009B5734">
        <w:rPr>
          <w:noProof/>
        </w:rPr>
        <w:t>General objectives</w:t>
      </w:r>
      <w:bookmarkEnd w:id="116"/>
      <w:bookmarkEnd w:id="117"/>
      <w:bookmarkEnd w:id="118"/>
      <w:bookmarkEnd w:id="119"/>
    </w:p>
    <w:p w:rsidR="006B087E" w:rsidRPr="009B5734" w:rsidRDefault="004C5DE9" w:rsidP="00E6236A">
      <w:pPr>
        <w:pStyle w:val="BTNumbList"/>
        <w:rPr>
          <w:rFonts w:ascii="Times New Roman" w:hAnsi="Times New Roman"/>
          <w:noProof/>
          <w:sz w:val="24"/>
        </w:rPr>
      </w:pPr>
      <w:r w:rsidRPr="009B5734">
        <w:rPr>
          <w:rFonts w:ascii="Times New Roman" w:hAnsi="Times New Roman"/>
          <w:noProof/>
          <w:sz w:val="24"/>
        </w:rPr>
        <w:t xml:space="preserve">The general objectives of the </w:t>
      </w:r>
      <w:r w:rsidR="00597297" w:rsidRPr="009B5734">
        <w:rPr>
          <w:rFonts w:ascii="Times New Roman" w:hAnsi="Times New Roman"/>
          <w:noProof/>
          <w:sz w:val="24"/>
        </w:rPr>
        <w:t xml:space="preserve">policy </w:t>
      </w:r>
      <w:r w:rsidR="00C9566C" w:rsidRPr="009B5734">
        <w:rPr>
          <w:rFonts w:ascii="Times New Roman" w:hAnsi="Times New Roman"/>
          <w:noProof/>
          <w:sz w:val="24"/>
        </w:rPr>
        <w:t>option</w:t>
      </w:r>
      <w:r w:rsidR="00597297" w:rsidRPr="009B5734">
        <w:rPr>
          <w:rFonts w:ascii="Times New Roman" w:hAnsi="Times New Roman"/>
          <w:noProof/>
          <w:sz w:val="24"/>
        </w:rPr>
        <w:t xml:space="preserve">s discussed in this </w:t>
      </w:r>
      <w:r w:rsidR="00E31330" w:rsidRPr="009B5734">
        <w:rPr>
          <w:rFonts w:ascii="Times New Roman" w:hAnsi="Times New Roman"/>
          <w:noProof/>
          <w:sz w:val="24"/>
        </w:rPr>
        <w:t>I</w:t>
      </w:r>
      <w:r w:rsidR="00E31CA0" w:rsidRPr="009B5734">
        <w:rPr>
          <w:rFonts w:ascii="Times New Roman" w:hAnsi="Times New Roman"/>
          <w:noProof/>
          <w:sz w:val="24"/>
        </w:rPr>
        <w:t xml:space="preserve">mpact </w:t>
      </w:r>
      <w:r w:rsidR="00E31330" w:rsidRPr="009B5734">
        <w:rPr>
          <w:rFonts w:ascii="Times New Roman" w:hAnsi="Times New Roman"/>
          <w:noProof/>
          <w:sz w:val="24"/>
        </w:rPr>
        <w:t>A</w:t>
      </w:r>
      <w:r w:rsidR="00462976" w:rsidRPr="009B5734">
        <w:rPr>
          <w:rFonts w:ascii="Times New Roman" w:hAnsi="Times New Roman"/>
          <w:noProof/>
          <w:sz w:val="24"/>
        </w:rPr>
        <w:t>ssessment</w:t>
      </w:r>
      <w:r w:rsidR="00597297" w:rsidRPr="009B5734">
        <w:rPr>
          <w:rFonts w:ascii="Times New Roman" w:hAnsi="Times New Roman"/>
          <w:noProof/>
          <w:sz w:val="24"/>
        </w:rPr>
        <w:t xml:space="preserve"> flow from the Treaties, the Charter of Fundamental Rights and the commitments taken by the EU to </w:t>
      </w:r>
      <w:r w:rsidR="00E31330" w:rsidRPr="009B5734">
        <w:rPr>
          <w:rFonts w:ascii="Times New Roman" w:hAnsi="Times New Roman"/>
          <w:noProof/>
          <w:sz w:val="24"/>
        </w:rPr>
        <w:t xml:space="preserve">tackle </w:t>
      </w:r>
      <w:r w:rsidR="00597297" w:rsidRPr="009B5734">
        <w:rPr>
          <w:rFonts w:ascii="Times New Roman" w:hAnsi="Times New Roman"/>
          <w:noProof/>
          <w:sz w:val="24"/>
        </w:rPr>
        <w:t xml:space="preserve">climate </w:t>
      </w:r>
      <w:r w:rsidR="00E31330" w:rsidRPr="009B5734">
        <w:rPr>
          <w:rFonts w:ascii="Times New Roman" w:hAnsi="Times New Roman"/>
          <w:noProof/>
          <w:sz w:val="24"/>
        </w:rPr>
        <w:t>and environmental-related challenges</w:t>
      </w:r>
      <w:r w:rsidR="00597297" w:rsidRPr="009B5734">
        <w:rPr>
          <w:rStyle w:val="FootnoteReference"/>
          <w:rFonts w:ascii="Times New Roman" w:hAnsi="Times New Roman"/>
          <w:noProof/>
          <w:sz w:val="24"/>
        </w:rPr>
        <w:footnoteReference w:id="84"/>
      </w:r>
      <w:r w:rsidR="00597297" w:rsidRPr="009B5734">
        <w:rPr>
          <w:rFonts w:ascii="Times New Roman" w:hAnsi="Times New Roman"/>
          <w:noProof/>
          <w:sz w:val="24"/>
        </w:rPr>
        <w:t xml:space="preserve">: </w:t>
      </w:r>
      <w:r w:rsidRPr="009B5734">
        <w:rPr>
          <w:rFonts w:ascii="Times New Roman" w:hAnsi="Times New Roman"/>
          <w:noProof/>
          <w:sz w:val="24"/>
        </w:rPr>
        <w:t xml:space="preserve"> </w:t>
      </w:r>
    </w:p>
    <w:p w:rsidR="007070FD" w:rsidRPr="009B5734" w:rsidRDefault="007070FD" w:rsidP="007070FD">
      <w:pPr>
        <w:pStyle w:val="BTNumbList"/>
        <w:numPr>
          <w:ilvl w:val="0"/>
          <w:numId w:val="57"/>
        </w:numPr>
        <w:spacing w:before="0"/>
        <w:ind w:left="714" w:hanging="357"/>
        <w:rPr>
          <w:noProof/>
        </w:rPr>
      </w:pPr>
      <w:r w:rsidRPr="009B5734">
        <w:rPr>
          <w:rFonts w:ascii="Times New Roman" w:hAnsi="Times New Roman"/>
          <w:noProof/>
          <w:sz w:val="24"/>
        </w:rPr>
        <w:t>Ensure a smooth functioning of the Single Market, for the benefit of both consumers and traders (Article 114 TFEU, 169 TFEU).</w:t>
      </w:r>
    </w:p>
    <w:p w:rsidR="00597297" w:rsidRPr="009B5734" w:rsidRDefault="00597297" w:rsidP="007070FD">
      <w:pPr>
        <w:pStyle w:val="BTNumbList"/>
        <w:numPr>
          <w:ilvl w:val="0"/>
          <w:numId w:val="57"/>
        </w:numPr>
        <w:spacing w:before="0"/>
        <w:ind w:left="714" w:hanging="357"/>
        <w:rPr>
          <w:noProof/>
        </w:rPr>
      </w:pPr>
      <w:r w:rsidRPr="009B5734">
        <w:rPr>
          <w:rFonts w:ascii="Times New Roman" w:hAnsi="Times New Roman"/>
          <w:noProof/>
          <w:sz w:val="24"/>
        </w:rPr>
        <w:t xml:space="preserve">Foster the role of consumption in achieving the EU’s climate goals and protecting the environment; </w:t>
      </w:r>
    </w:p>
    <w:p w:rsidR="004C5DE9" w:rsidRPr="009B5734" w:rsidRDefault="004C5DE9">
      <w:pPr>
        <w:rPr>
          <w:noProof/>
        </w:rPr>
      </w:pPr>
    </w:p>
    <w:p w:rsidR="006B087E" w:rsidRPr="009B5734" w:rsidRDefault="00A00208" w:rsidP="00A00208">
      <w:pPr>
        <w:pStyle w:val="Heading2"/>
        <w:rPr>
          <w:noProof/>
        </w:rPr>
      </w:pPr>
      <w:bookmarkStart w:id="120" w:name="_Toc58149029"/>
      <w:bookmarkStart w:id="121" w:name="_Toc58604062"/>
      <w:bookmarkStart w:id="122" w:name="_Toc77844233"/>
      <w:bookmarkStart w:id="123" w:name="_Toc86391736"/>
      <w:r w:rsidRPr="00A00208">
        <w:t>4.2.</w:t>
      </w:r>
      <w:r w:rsidRPr="00A00208">
        <w:tab/>
      </w:r>
      <w:r w:rsidR="006B087E" w:rsidRPr="009B5734">
        <w:rPr>
          <w:noProof/>
        </w:rPr>
        <w:t>Specific objectives</w:t>
      </w:r>
      <w:bookmarkEnd w:id="120"/>
      <w:bookmarkEnd w:id="121"/>
      <w:bookmarkEnd w:id="122"/>
      <w:bookmarkEnd w:id="123"/>
    </w:p>
    <w:p w:rsidR="006B087E" w:rsidRPr="009B5734" w:rsidRDefault="004C5DE9" w:rsidP="00E6236A">
      <w:pPr>
        <w:pStyle w:val="BTNumbList"/>
        <w:rPr>
          <w:rFonts w:ascii="Times New Roman" w:hAnsi="Times New Roman"/>
          <w:noProof/>
          <w:sz w:val="24"/>
        </w:rPr>
      </w:pPr>
      <w:r w:rsidRPr="009B5734">
        <w:rPr>
          <w:rFonts w:ascii="Times New Roman" w:hAnsi="Times New Roman"/>
          <w:noProof/>
          <w:sz w:val="24"/>
        </w:rPr>
        <w:t xml:space="preserve">The specific objectives are </w:t>
      </w:r>
      <w:r w:rsidR="00597297" w:rsidRPr="009B5734">
        <w:rPr>
          <w:rFonts w:ascii="Times New Roman" w:hAnsi="Times New Roman"/>
          <w:noProof/>
          <w:sz w:val="24"/>
        </w:rPr>
        <w:t>to</w:t>
      </w:r>
      <w:r w:rsidRPr="009B5734">
        <w:rPr>
          <w:rFonts w:ascii="Times New Roman" w:hAnsi="Times New Roman"/>
          <w:noProof/>
          <w:sz w:val="24"/>
        </w:rPr>
        <w:t>:</w:t>
      </w:r>
    </w:p>
    <w:p w:rsidR="00597297" w:rsidRPr="009B5734" w:rsidRDefault="004C5DE9" w:rsidP="00D7738F">
      <w:pPr>
        <w:pStyle w:val="BTNumbList"/>
        <w:numPr>
          <w:ilvl w:val="0"/>
          <w:numId w:val="57"/>
        </w:numPr>
        <w:rPr>
          <w:rFonts w:ascii="Times New Roman" w:hAnsi="Times New Roman"/>
          <w:noProof/>
          <w:sz w:val="24"/>
        </w:rPr>
      </w:pPr>
      <w:r w:rsidRPr="009B5734">
        <w:rPr>
          <w:rFonts w:ascii="Times New Roman" w:hAnsi="Times New Roman"/>
          <w:noProof/>
          <w:sz w:val="24"/>
        </w:rPr>
        <w:t>Enable informed purchasing decisions by consumers to foster sustainable consumption</w:t>
      </w:r>
      <w:r w:rsidR="00787FDB" w:rsidRPr="009B5734">
        <w:rPr>
          <w:rFonts w:ascii="Times New Roman" w:hAnsi="Times New Roman"/>
          <w:noProof/>
          <w:sz w:val="24"/>
        </w:rPr>
        <w:t xml:space="preserve">. This addresses </w:t>
      </w:r>
      <w:r w:rsidR="00787FDB" w:rsidRPr="009B5734">
        <w:rPr>
          <w:rFonts w:ascii="Times New Roman" w:hAnsi="Times New Roman"/>
          <w:b/>
          <w:noProof/>
          <w:sz w:val="24"/>
        </w:rPr>
        <w:t>Problem 1</w:t>
      </w:r>
      <w:r w:rsidR="00787FDB" w:rsidRPr="009B5734">
        <w:rPr>
          <w:rFonts w:ascii="Times New Roman" w:hAnsi="Times New Roman"/>
          <w:noProof/>
          <w:sz w:val="24"/>
        </w:rPr>
        <w:t xml:space="preserve">. </w:t>
      </w:r>
    </w:p>
    <w:p w:rsidR="00597297" w:rsidRPr="009B5734" w:rsidRDefault="00597297" w:rsidP="00D7738F">
      <w:pPr>
        <w:pStyle w:val="BTNumbList"/>
        <w:numPr>
          <w:ilvl w:val="0"/>
          <w:numId w:val="57"/>
        </w:numPr>
        <w:spacing w:before="0"/>
        <w:ind w:left="714" w:hanging="357"/>
        <w:rPr>
          <w:rFonts w:ascii="Times New Roman" w:hAnsi="Times New Roman"/>
          <w:noProof/>
          <w:sz w:val="24"/>
        </w:rPr>
      </w:pPr>
      <w:r w:rsidRPr="009B5734">
        <w:rPr>
          <w:rFonts w:ascii="Times New Roman" w:hAnsi="Times New Roman"/>
          <w:noProof/>
          <w:sz w:val="24"/>
        </w:rPr>
        <w:t>Eliminate practices that mislead consumers away from sustainable consumption choices</w:t>
      </w:r>
      <w:r w:rsidR="00787FDB" w:rsidRPr="009B5734">
        <w:rPr>
          <w:rFonts w:ascii="Times New Roman" w:hAnsi="Times New Roman"/>
          <w:noProof/>
          <w:sz w:val="24"/>
        </w:rPr>
        <w:t xml:space="preserve">. This addresses </w:t>
      </w:r>
      <w:r w:rsidR="00787FDB" w:rsidRPr="009B5734">
        <w:rPr>
          <w:rFonts w:ascii="Times New Roman" w:hAnsi="Times New Roman"/>
          <w:b/>
          <w:noProof/>
          <w:sz w:val="24"/>
        </w:rPr>
        <w:t>Problem 2</w:t>
      </w:r>
      <w:r w:rsidR="00787FDB" w:rsidRPr="009B5734">
        <w:rPr>
          <w:rFonts w:ascii="Times New Roman" w:hAnsi="Times New Roman"/>
          <w:noProof/>
          <w:sz w:val="24"/>
        </w:rPr>
        <w:t xml:space="preserve">. </w:t>
      </w:r>
    </w:p>
    <w:p w:rsidR="005368FF" w:rsidRPr="009B5734" w:rsidRDefault="00597297" w:rsidP="00BA165D">
      <w:pPr>
        <w:pStyle w:val="BTNumbList"/>
        <w:numPr>
          <w:ilvl w:val="0"/>
          <w:numId w:val="57"/>
        </w:numPr>
        <w:spacing w:before="0"/>
        <w:ind w:left="714" w:hanging="357"/>
        <w:rPr>
          <w:rFonts w:ascii="Times New Roman" w:hAnsi="Times New Roman"/>
          <w:noProof/>
          <w:sz w:val="24"/>
        </w:rPr>
      </w:pPr>
      <w:r w:rsidRPr="009B5734">
        <w:rPr>
          <w:rFonts w:ascii="Times New Roman" w:hAnsi="Times New Roman"/>
          <w:noProof/>
          <w:sz w:val="24"/>
        </w:rPr>
        <w:t>Ensure a better and coherent application of the EU legal framework thanks to clearer and more enforceable rules</w:t>
      </w:r>
      <w:r w:rsidR="004F171D" w:rsidRPr="009B5734">
        <w:rPr>
          <w:rFonts w:ascii="Times New Roman" w:hAnsi="Times New Roman"/>
          <w:noProof/>
          <w:sz w:val="24"/>
        </w:rPr>
        <w:t xml:space="preserve">. </w:t>
      </w:r>
      <w:r w:rsidR="00787FDB" w:rsidRPr="009B5734">
        <w:rPr>
          <w:rFonts w:ascii="Times New Roman" w:hAnsi="Times New Roman"/>
          <w:noProof/>
          <w:sz w:val="24"/>
        </w:rPr>
        <w:t xml:space="preserve">This addresses </w:t>
      </w:r>
      <w:r w:rsidR="00787FDB" w:rsidRPr="009B5734">
        <w:rPr>
          <w:rFonts w:ascii="Times New Roman" w:hAnsi="Times New Roman"/>
          <w:b/>
          <w:noProof/>
          <w:sz w:val="24"/>
        </w:rPr>
        <w:t>both problems</w:t>
      </w:r>
      <w:r w:rsidR="00787FDB" w:rsidRPr="009B5734">
        <w:rPr>
          <w:rFonts w:ascii="Times New Roman" w:hAnsi="Times New Roman"/>
          <w:noProof/>
          <w:sz w:val="24"/>
        </w:rPr>
        <w:t xml:space="preserve">. Coherent application of EU rules is indeed necessary to ensure effective consumer protection and a level-playing field for businesses within the Single Market. </w:t>
      </w:r>
    </w:p>
    <w:p w:rsidR="001A14A3" w:rsidRPr="009B5734" w:rsidRDefault="001A14A3" w:rsidP="001A14A3">
      <w:pPr>
        <w:pStyle w:val="BTNumbList"/>
        <w:spacing w:before="0"/>
        <w:ind w:left="714"/>
        <w:rPr>
          <w:rFonts w:ascii="Times New Roman" w:hAnsi="Times New Roman"/>
          <w:noProof/>
          <w:sz w:val="24"/>
        </w:rPr>
      </w:pPr>
    </w:p>
    <w:p w:rsidR="004C5DE9" w:rsidRPr="009B5734" w:rsidRDefault="005368FF" w:rsidP="001A14A3">
      <w:pPr>
        <w:pStyle w:val="BTNumbList"/>
        <w:spacing w:before="0"/>
        <w:rPr>
          <w:noProof/>
        </w:rPr>
      </w:pPr>
      <w:r w:rsidRPr="009B5734">
        <w:rPr>
          <w:rFonts w:ascii="Times New Roman" w:hAnsi="Times New Roman"/>
          <w:noProof/>
          <w:sz w:val="24"/>
        </w:rPr>
        <w:t xml:space="preserve">To </w:t>
      </w:r>
      <w:r w:rsidR="003075C9" w:rsidRPr="009B5734">
        <w:rPr>
          <w:rFonts w:ascii="Times New Roman" w:hAnsi="Times New Roman"/>
          <w:noProof/>
          <w:sz w:val="24"/>
        </w:rPr>
        <w:t>allow for a more granular assessment of</w:t>
      </w:r>
      <w:r w:rsidRPr="009B5734">
        <w:rPr>
          <w:rFonts w:ascii="Times New Roman" w:hAnsi="Times New Roman"/>
          <w:noProof/>
          <w:sz w:val="24"/>
        </w:rPr>
        <w:t xml:space="preserve"> the effectiveness of the various options</w:t>
      </w:r>
      <w:r w:rsidR="004B2D65" w:rsidRPr="009B5734">
        <w:rPr>
          <w:rFonts w:ascii="Times New Roman" w:hAnsi="Times New Roman"/>
          <w:noProof/>
          <w:sz w:val="24"/>
        </w:rPr>
        <w:t xml:space="preserve"> to be presented in </w:t>
      </w:r>
      <w:hyperlink w:anchor="_What_are_the" w:history="1">
        <w:r w:rsidR="004B2D65" w:rsidRPr="009B5734">
          <w:rPr>
            <w:rStyle w:val="Hyperlink"/>
            <w:rFonts w:ascii="Times New Roman" w:hAnsi="Times New Roman"/>
            <w:noProof/>
            <w:sz w:val="24"/>
          </w:rPr>
          <w:t>Section 5</w:t>
        </w:r>
      </w:hyperlink>
      <w:r w:rsidR="00A57410" w:rsidRPr="009B5734">
        <w:rPr>
          <w:rFonts w:ascii="Times New Roman" w:hAnsi="Times New Roman"/>
          <w:noProof/>
          <w:sz w:val="24"/>
        </w:rPr>
        <w:t xml:space="preserve"> in meeting these three specific objectives</w:t>
      </w:r>
      <w:r w:rsidRPr="009B5734">
        <w:rPr>
          <w:rFonts w:ascii="Times New Roman" w:hAnsi="Times New Roman"/>
          <w:noProof/>
          <w:sz w:val="24"/>
        </w:rPr>
        <w:t>, these objectives will be further broken down into 6 criteria</w:t>
      </w:r>
      <w:r w:rsidR="00EE5995" w:rsidRPr="009B5734">
        <w:rPr>
          <w:rFonts w:ascii="Times New Roman" w:hAnsi="Times New Roman"/>
          <w:noProof/>
          <w:sz w:val="24"/>
        </w:rPr>
        <w:t xml:space="preserve">, as shown in </w:t>
      </w:r>
      <w:hyperlink w:anchor="_Annex_9:_Detailed" w:history="1">
        <w:r w:rsidR="00EE5995" w:rsidRPr="009B5734">
          <w:rPr>
            <w:rStyle w:val="Hyperlink"/>
            <w:rFonts w:ascii="Times New Roman" w:hAnsi="Times New Roman"/>
            <w:noProof/>
            <w:sz w:val="24"/>
          </w:rPr>
          <w:t>Annex 9</w:t>
        </w:r>
      </w:hyperlink>
      <w:r w:rsidR="00A57410" w:rsidRPr="009B5734">
        <w:rPr>
          <w:rFonts w:ascii="Times New Roman" w:hAnsi="Times New Roman"/>
          <w:noProof/>
          <w:sz w:val="24"/>
        </w:rPr>
        <w:t xml:space="preserve">. Each option’s impacts will be measured against </w:t>
      </w:r>
      <w:r w:rsidR="00A57410" w:rsidRPr="009B5734">
        <w:rPr>
          <w:rFonts w:ascii="Times New Roman" w:hAnsi="Times New Roman"/>
          <w:b/>
          <w:noProof/>
          <w:sz w:val="24"/>
        </w:rPr>
        <w:t>(1)</w:t>
      </w:r>
      <w:r w:rsidRPr="009B5734">
        <w:rPr>
          <w:rFonts w:ascii="Times New Roman" w:hAnsi="Times New Roman"/>
          <w:noProof/>
          <w:sz w:val="24"/>
        </w:rPr>
        <w:t xml:space="preserve"> the quality of consumer decision making,</w:t>
      </w:r>
      <w:r w:rsidR="00A57410" w:rsidRPr="009B5734">
        <w:rPr>
          <w:rFonts w:ascii="Times New Roman" w:hAnsi="Times New Roman"/>
          <w:noProof/>
          <w:sz w:val="24"/>
        </w:rPr>
        <w:t xml:space="preserve"> </w:t>
      </w:r>
      <w:r w:rsidR="00A57410" w:rsidRPr="009B5734">
        <w:rPr>
          <w:rFonts w:ascii="Times New Roman" w:hAnsi="Times New Roman"/>
          <w:b/>
          <w:noProof/>
          <w:sz w:val="24"/>
        </w:rPr>
        <w:t>(2)</w:t>
      </w:r>
      <w:r w:rsidRPr="009B5734">
        <w:rPr>
          <w:rFonts w:ascii="Times New Roman" w:hAnsi="Times New Roman"/>
          <w:noProof/>
          <w:sz w:val="24"/>
        </w:rPr>
        <w:t xml:space="preserve"> circularity and sustainable consumption,</w:t>
      </w:r>
      <w:r w:rsidR="00A57410" w:rsidRPr="009B5734">
        <w:rPr>
          <w:rFonts w:ascii="Times New Roman" w:hAnsi="Times New Roman"/>
          <w:noProof/>
          <w:sz w:val="24"/>
        </w:rPr>
        <w:t xml:space="preserve"> </w:t>
      </w:r>
      <w:r w:rsidR="00A57410" w:rsidRPr="009B5734">
        <w:rPr>
          <w:rFonts w:ascii="Times New Roman" w:hAnsi="Times New Roman"/>
          <w:b/>
          <w:noProof/>
          <w:sz w:val="24"/>
        </w:rPr>
        <w:t>(3)</w:t>
      </w:r>
      <w:r w:rsidRPr="009B5734">
        <w:rPr>
          <w:rFonts w:ascii="Times New Roman" w:hAnsi="Times New Roman"/>
          <w:noProof/>
          <w:sz w:val="24"/>
        </w:rPr>
        <w:t xml:space="preserve"> consumer protection, </w:t>
      </w:r>
      <w:r w:rsidR="00A57410" w:rsidRPr="009B5734">
        <w:rPr>
          <w:rFonts w:ascii="Times New Roman" w:hAnsi="Times New Roman"/>
          <w:b/>
          <w:noProof/>
          <w:sz w:val="24"/>
        </w:rPr>
        <w:t>(4)</w:t>
      </w:r>
      <w:r w:rsidR="00A57410" w:rsidRPr="009B5734">
        <w:rPr>
          <w:rFonts w:ascii="Times New Roman" w:hAnsi="Times New Roman"/>
          <w:noProof/>
          <w:sz w:val="24"/>
        </w:rPr>
        <w:t xml:space="preserve"> </w:t>
      </w:r>
      <w:r w:rsidRPr="009B5734">
        <w:rPr>
          <w:rFonts w:ascii="Times New Roman" w:hAnsi="Times New Roman"/>
          <w:noProof/>
          <w:sz w:val="24"/>
        </w:rPr>
        <w:t>consume</w:t>
      </w:r>
      <w:r w:rsidR="003075C9" w:rsidRPr="009B5734">
        <w:rPr>
          <w:rFonts w:ascii="Times New Roman" w:hAnsi="Times New Roman"/>
          <w:noProof/>
          <w:sz w:val="24"/>
        </w:rPr>
        <w:t>r</w:t>
      </w:r>
      <w:r w:rsidRPr="009B5734">
        <w:rPr>
          <w:rFonts w:ascii="Times New Roman" w:hAnsi="Times New Roman"/>
          <w:noProof/>
          <w:sz w:val="24"/>
        </w:rPr>
        <w:t xml:space="preserve"> trust, </w:t>
      </w:r>
      <w:r w:rsidR="00A57410" w:rsidRPr="009B5734">
        <w:rPr>
          <w:rFonts w:ascii="Times New Roman" w:hAnsi="Times New Roman"/>
          <w:b/>
          <w:noProof/>
          <w:sz w:val="24"/>
        </w:rPr>
        <w:t>(5)</w:t>
      </w:r>
      <w:r w:rsidR="00A57410" w:rsidRPr="009B5734">
        <w:rPr>
          <w:rFonts w:ascii="Times New Roman" w:hAnsi="Times New Roman"/>
          <w:noProof/>
          <w:sz w:val="24"/>
        </w:rPr>
        <w:t xml:space="preserve"> </w:t>
      </w:r>
      <w:r w:rsidRPr="009B5734">
        <w:rPr>
          <w:rFonts w:ascii="Times New Roman" w:hAnsi="Times New Roman"/>
          <w:noProof/>
          <w:sz w:val="24"/>
        </w:rPr>
        <w:t xml:space="preserve">level playing field and </w:t>
      </w:r>
      <w:r w:rsidR="00A57410" w:rsidRPr="009B5734">
        <w:rPr>
          <w:rFonts w:ascii="Times New Roman" w:hAnsi="Times New Roman"/>
          <w:b/>
          <w:noProof/>
          <w:sz w:val="24"/>
        </w:rPr>
        <w:t>(6)</w:t>
      </w:r>
      <w:r w:rsidR="00A57410" w:rsidRPr="009B5734">
        <w:rPr>
          <w:rFonts w:ascii="Times New Roman" w:hAnsi="Times New Roman"/>
          <w:noProof/>
          <w:sz w:val="24"/>
        </w:rPr>
        <w:t xml:space="preserve"> </w:t>
      </w:r>
      <w:r w:rsidRPr="009B5734">
        <w:rPr>
          <w:rFonts w:ascii="Times New Roman" w:hAnsi="Times New Roman"/>
          <w:noProof/>
          <w:sz w:val="24"/>
        </w:rPr>
        <w:t xml:space="preserve">the application of the EU legal framework. </w:t>
      </w:r>
    </w:p>
    <w:p w:rsidR="006B087E" w:rsidRPr="009B5734" w:rsidRDefault="00A00208" w:rsidP="00A00208">
      <w:pPr>
        <w:pStyle w:val="Heading1"/>
        <w:rPr>
          <w:noProof/>
        </w:rPr>
      </w:pPr>
      <w:bookmarkStart w:id="124" w:name="_What_are_the"/>
      <w:bookmarkStart w:id="125" w:name="_Toc58149030"/>
      <w:bookmarkStart w:id="126" w:name="_Toc58604063"/>
      <w:bookmarkStart w:id="127" w:name="_Ref59614581"/>
      <w:bookmarkStart w:id="128" w:name="_Toc75440974"/>
      <w:bookmarkStart w:id="129" w:name="_Toc75446973"/>
      <w:bookmarkStart w:id="130" w:name="_Toc75448846"/>
      <w:bookmarkStart w:id="131" w:name="_Toc77844234"/>
      <w:bookmarkStart w:id="132" w:name="_Toc86391737"/>
      <w:bookmarkEnd w:id="124"/>
      <w:r w:rsidRPr="00A00208">
        <w:t>5.</w:t>
      </w:r>
      <w:r w:rsidRPr="00A00208">
        <w:tab/>
      </w:r>
      <w:r w:rsidR="006B087E" w:rsidRPr="009B5734">
        <w:rPr>
          <w:noProof/>
        </w:rPr>
        <w:t>What are the available policy options?</w:t>
      </w:r>
      <w:bookmarkEnd w:id="125"/>
      <w:bookmarkEnd w:id="126"/>
      <w:bookmarkEnd w:id="127"/>
      <w:bookmarkEnd w:id="128"/>
      <w:bookmarkEnd w:id="129"/>
      <w:bookmarkEnd w:id="130"/>
      <w:bookmarkEnd w:id="131"/>
      <w:bookmarkEnd w:id="132"/>
    </w:p>
    <w:p w:rsidR="006B087E" w:rsidRPr="009B5734" w:rsidRDefault="00A00208" w:rsidP="00A00208">
      <w:pPr>
        <w:pStyle w:val="Heading2"/>
        <w:rPr>
          <w:noProof/>
        </w:rPr>
      </w:pPr>
      <w:bookmarkStart w:id="133" w:name="_What_is_the"/>
      <w:bookmarkStart w:id="134" w:name="_Toc58149031"/>
      <w:bookmarkStart w:id="135" w:name="_Toc58604064"/>
      <w:bookmarkStart w:id="136" w:name="_Toc77844235"/>
      <w:bookmarkStart w:id="137" w:name="_Toc86391738"/>
      <w:bookmarkEnd w:id="133"/>
      <w:r w:rsidRPr="00A00208">
        <w:t>5.1.</w:t>
      </w:r>
      <w:r w:rsidRPr="00A00208">
        <w:tab/>
      </w:r>
      <w:r w:rsidR="006B087E" w:rsidRPr="009B5734">
        <w:rPr>
          <w:noProof/>
        </w:rPr>
        <w:t>What is the baseline from which options are assessed?</w:t>
      </w:r>
      <w:bookmarkEnd w:id="134"/>
      <w:bookmarkEnd w:id="135"/>
      <w:bookmarkEnd w:id="136"/>
      <w:bookmarkEnd w:id="137"/>
    </w:p>
    <w:p w:rsidR="001A6F38" w:rsidRPr="009B5734" w:rsidRDefault="00C25351" w:rsidP="001B761C">
      <w:pPr>
        <w:pStyle w:val="BTNumbList"/>
        <w:rPr>
          <w:noProof/>
        </w:rPr>
      </w:pPr>
      <w:r w:rsidRPr="009B5734">
        <w:rPr>
          <w:rFonts w:ascii="Times New Roman" w:hAnsi="Times New Roman"/>
          <w:noProof/>
          <w:sz w:val="24"/>
        </w:rPr>
        <w:t xml:space="preserve">The baseline </w:t>
      </w:r>
      <w:r w:rsidR="00DF1622" w:rsidRPr="009B5734">
        <w:rPr>
          <w:rFonts w:ascii="Times New Roman" w:hAnsi="Times New Roman"/>
          <w:noProof/>
          <w:sz w:val="24"/>
        </w:rPr>
        <w:t>(</w:t>
      </w:r>
      <w:r w:rsidR="00DF1622" w:rsidRPr="009B5734">
        <w:rPr>
          <w:rFonts w:ascii="Times New Roman" w:hAnsi="Times New Roman"/>
          <w:b/>
          <w:noProof/>
          <w:sz w:val="24"/>
        </w:rPr>
        <w:t xml:space="preserve">Option 0 </w:t>
      </w:r>
      <w:r w:rsidR="00DF1622" w:rsidRPr="009B5734">
        <w:rPr>
          <w:rFonts w:ascii="Times New Roman" w:hAnsi="Times New Roman"/>
          <w:noProof/>
          <w:sz w:val="24"/>
        </w:rPr>
        <w:t>as presented in the MCA in</w:t>
      </w:r>
      <w:r w:rsidR="00DF1622" w:rsidRPr="009B5734">
        <w:rPr>
          <w:rFonts w:ascii="Times New Roman" w:hAnsi="Times New Roman"/>
          <w:b/>
          <w:noProof/>
          <w:sz w:val="24"/>
        </w:rPr>
        <w:t xml:space="preserve"> </w:t>
      </w:r>
      <w:hyperlink w:anchor="_Annex_9:_Detailed" w:history="1">
        <w:r w:rsidR="00DF1622" w:rsidRPr="009B5734">
          <w:rPr>
            <w:rStyle w:val="Hyperlink"/>
            <w:rFonts w:ascii="Times New Roman" w:hAnsi="Times New Roman"/>
            <w:noProof/>
            <w:sz w:val="24"/>
          </w:rPr>
          <w:t>Annex 9</w:t>
        </w:r>
      </w:hyperlink>
      <w:r w:rsidR="00DF1622" w:rsidRPr="009B5734">
        <w:rPr>
          <w:rFonts w:ascii="Times New Roman" w:hAnsi="Times New Roman"/>
          <w:noProof/>
          <w:sz w:val="24"/>
        </w:rPr>
        <w:t xml:space="preserve">) </w:t>
      </w:r>
      <w:r w:rsidRPr="009B5734">
        <w:rPr>
          <w:rFonts w:ascii="Times New Roman" w:hAnsi="Times New Roman"/>
          <w:noProof/>
          <w:sz w:val="24"/>
        </w:rPr>
        <w:t xml:space="preserve">does not involve the introduction of any new regulatory measures under consumer policy at EU level. </w:t>
      </w:r>
      <w:r w:rsidR="00CA70CD" w:rsidRPr="009B5734">
        <w:rPr>
          <w:noProof/>
        </w:rPr>
        <w:br/>
      </w:r>
    </w:p>
    <w:p w:rsidR="004D443C" w:rsidRPr="009B5734" w:rsidRDefault="00843A23" w:rsidP="004D443C">
      <w:pPr>
        <w:pStyle w:val="Text2"/>
        <w:ind w:left="0" w:firstLine="0"/>
        <w:rPr>
          <w:noProof/>
        </w:rPr>
      </w:pPr>
      <w:r w:rsidRPr="009B5734">
        <w:rPr>
          <w:noProof/>
        </w:rPr>
        <w:t>As regards Problem 1 (Consumers lack reliable information at the point of sale</w:t>
      </w:r>
      <w:r w:rsidR="003A1412" w:rsidRPr="003A1412">
        <w:rPr>
          <w:noProof/>
        </w:rPr>
        <w:t xml:space="preserve"> to make environmentally sustainable consumption choices</w:t>
      </w:r>
      <w:r w:rsidRPr="009B5734">
        <w:rPr>
          <w:noProof/>
        </w:rPr>
        <w:t xml:space="preserve">), the extent of the problem and its consequences is expected to remain constant for most of the EU27 countries and to improve for some products in a few Member States that are/will try to address the problem with national legislation, as identified in </w:t>
      </w:r>
      <w:hyperlink w:anchor="_Annex_6:_Overview_1" w:history="1">
        <w:r w:rsidRPr="009B5734">
          <w:rPr>
            <w:rStyle w:val="Hyperlink"/>
            <w:noProof/>
          </w:rPr>
          <w:t>Annex 6</w:t>
        </w:r>
      </w:hyperlink>
      <w:r w:rsidRPr="009B5734">
        <w:rPr>
          <w:noProof/>
        </w:rPr>
        <w:t xml:space="preserve">. The </w:t>
      </w:r>
      <w:r w:rsidRPr="009B5734">
        <w:rPr>
          <w:b/>
          <w:noProof/>
        </w:rPr>
        <w:t>Consumer Rights Directive</w:t>
      </w:r>
      <w:r w:rsidRPr="009B5734">
        <w:rPr>
          <w:noProof/>
        </w:rPr>
        <w:t xml:space="preserve"> requires traders to provide consumers with information on, among others, the main characteristics of the goods or services. It includes specific information requirements about the existence of the legal guarantee of conformity, as well as additional commercial guarantees when provided on a voluntary basis.</w:t>
      </w:r>
      <w:r w:rsidR="004D443C" w:rsidRPr="009B5734">
        <w:rPr>
          <w:noProof/>
        </w:rPr>
        <w:t xml:space="preserve"> While the </w:t>
      </w:r>
      <w:r w:rsidR="004D443C" w:rsidRPr="009B5734">
        <w:rPr>
          <w:b/>
          <w:noProof/>
        </w:rPr>
        <w:t>Sale of Goods Directive</w:t>
      </w:r>
      <w:r w:rsidR="004D443C" w:rsidRPr="009B5734">
        <w:rPr>
          <w:noProof/>
        </w:rPr>
        <w:t xml:space="preserve"> promotes durability of products through the legal guarantee, it only provides rights to the consumers during the minimum </w:t>
      </w:r>
      <w:r w:rsidR="008A1DFB" w:rsidRPr="009B5734">
        <w:rPr>
          <w:noProof/>
        </w:rPr>
        <w:t>two</w:t>
      </w:r>
      <w:r w:rsidR="004D443C" w:rsidRPr="009B5734">
        <w:rPr>
          <w:noProof/>
        </w:rPr>
        <w:t>-year legal guarantee period. The incentives to provide commercial guarantees included in the product price and with longer duration are not expected to change. Regarding the provision of software updates</w:t>
      </w:r>
      <w:r w:rsidR="00A9258E" w:rsidRPr="009B5734">
        <w:rPr>
          <w:noProof/>
        </w:rPr>
        <w:t>,</w:t>
      </w:r>
      <w:r w:rsidR="004D443C" w:rsidRPr="009B5734">
        <w:rPr>
          <w:noProof/>
        </w:rPr>
        <w:t xml:space="preserve"> while the application of national transposition rules of the </w:t>
      </w:r>
      <w:r w:rsidR="004D443C" w:rsidRPr="009B5734">
        <w:rPr>
          <w:b/>
          <w:noProof/>
        </w:rPr>
        <w:t>Sale of Goods Directive</w:t>
      </w:r>
      <w:r w:rsidR="004D443C" w:rsidRPr="009B5734">
        <w:rPr>
          <w:noProof/>
        </w:rPr>
        <w:t xml:space="preserve"> from 2022 will help to ensure that consumers are supplied with software updates so that a product remains in conformity for a period of time which the consumer might reasonably expect, the comparability of product at the point of sale based on the availability of software updates will not be addressed, and is therefore expected to remain an issue. </w:t>
      </w:r>
    </w:p>
    <w:p w:rsidR="009A1D48" w:rsidRPr="004931D3" w:rsidRDefault="004D443C">
      <w:pPr>
        <w:pStyle w:val="BTNumbList"/>
        <w:rPr>
          <w:rFonts w:ascii="Times New Roman" w:hAnsi="Times New Roman"/>
          <w:noProof/>
          <w:sz w:val="24"/>
        </w:rPr>
      </w:pPr>
      <w:r w:rsidRPr="6B053803">
        <w:rPr>
          <w:rFonts w:ascii="Times New Roman" w:hAnsi="Times New Roman"/>
          <w:noProof/>
          <w:sz w:val="24"/>
        </w:rPr>
        <w:t>The incentives to provide information to consumers on expected/estimated lifespan are also not expected to change significantly for most products.</w:t>
      </w:r>
      <w:r w:rsidR="00843A23" w:rsidRPr="6B053803">
        <w:rPr>
          <w:rFonts w:ascii="Times New Roman" w:hAnsi="Times New Roman"/>
          <w:noProof/>
          <w:sz w:val="24"/>
        </w:rPr>
        <w:t xml:space="preserve"> While important new reparability requirements under </w:t>
      </w:r>
      <w:r w:rsidR="00843A23" w:rsidRPr="005D24D2">
        <w:rPr>
          <w:rFonts w:ascii="Times New Roman" w:hAnsi="Times New Roman"/>
          <w:b/>
          <w:bCs/>
          <w:noProof/>
          <w:sz w:val="24"/>
        </w:rPr>
        <w:t>Ecodesign</w:t>
      </w:r>
      <w:r w:rsidR="00843A23" w:rsidRPr="6B053803">
        <w:rPr>
          <w:rFonts w:ascii="Times New Roman" w:hAnsi="Times New Roman"/>
          <w:noProof/>
          <w:sz w:val="24"/>
        </w:rPr>
        <w:t xml:space="preserve"> came into force in March 2021 for a number of product categories (including more information in user manuals)</w:t>
      </w:r>
      <w:r w:rsidR="00843A23" w:rsidRPr="6B053803">
        <w:rPr>
          <w:rFonts w:ascii="Times New Roman" w:hAnsi="Times New Roman"/>
          <w:noProof/>
          <w:sz w:val="24"/>
          <w:vertAlign w:val="superscript"/>
        </w:rPr>
        <w:footnoteReference w:id="85"/>
      </w:r>
      <w:r w:rsidR="00843A23" w:rsidRPr="6B053803">
        <w:rPr>
          <w:rFonts w:ascii="Times New Roman" w:hAnsi="Times New Roman"/>
          <w:noProof/>
          <w:sz w:val="24"/>
        </w:rPr>
        <w:t>, they will not address specifically the information that consumers are provided by traders on products’ reparability at the point of sale, and certainly not for all products categories.</w:t>
      </w:r>
    </w:p>
    <w:p w:rsidR="00843A23" w:rsidRPr="009B5734" w:rsidRDefault="00843A23" w:rsidP="009A1D48">
      <w:pPr>
        <w:pStyle w:val="BTNumbList"/>
        <w:rPr>
          <w:noProof/>
        </w:rPr>
      </w:pPr>
      <w:r w:rsidRPr="009B5734">
        <w:rPr>
          <w:rFonts w:ascii="Times New Roman" w:hAnsi="Times New Roman"/>
          <w:noProof/>
          <w:sz w:val="24"/>
        </w:rPr>
        <w:t xml:space="preserve">As regards Problem 2 (Consumers </w:t>
      </w:r>
      <w:r w:rsidR="003A1412" w:rsidRPr="7F52AB9A">
        <w:rPr>
          <w:rFonts w:ascii="Times New Roman" w:hAnsi="Times New Roman"/>
          <w:noProof/>
          <w:sz w:val="24"/>
        </w:rPr>
        <w:t>face</w:t>
      </w:r>
      <w:r w:rsidRPr="009B5734">
        <w:rPr>
          <w:rFonts w:ascii="Times New Roman" w:hAnsi="Times New Roman"/>
          <w:noProof/>
          <w:sz w:val="24"/>
        </w:rPr>
        <w:t xml:space="preserve"> misleading commercial practices </w:t>
      </w:r>
      <w:r w:rsidR="003A1412" w:rsidRPr="003A1412">
        <w:rPr>
          <w:rFonts w:ascii="Times New Roman" w:hAnsi="Times New Roman"/>
          <w:noProof/>
          <w:sz w:val="24"/>
        </w:rPr>
        <w:t>related to the sustainability of products</w:t>
      </w:r>
      <w:r w:rsidRPr="009B5734">
        <w:rPr>
          <w:rFonts w:ascii="Times New Roman" w:hAnsi="Times New Roman"/>
          <w:noProof/>
          <w:sz w:val="24"/>
        </w:rPr>
        <w:t xml:space="preserve">), the risk of an increase in the share of products employing these practices is expected to grow, as the environmental sustainability of products is an aspect being valued by an increasing number of consumers. The general provisions of the </w:t>
      </w:r>
      <w:r w:rsidRPr="009B5734">
        <w:rPr>
          <w:rFonts w:ascii="Times New Roman" w:hAnsi="Times New Roman"/>
          <w:b/>
          <w:noProof/>
          <w:sz w:val="24"/>
        </w:rPr>
        <w:t>Unfair Commercial Practices Directive</w:t>
      </w:r>
      <w:r w:rsidRPr="009B5734">
        <w:rPr>
          <w:rFonts w:ascii="Times New Roman" w:hAnsi="Times New Roman"/>
          <w:noProof/>
          <w:sz w:val="24"/>
        </w:rPr>
        <w:t xml:space="preserve"> on misleading practices can be used to apply also to planned obsolescence cases when they negatively affect consumers on the basis of a case-by-case assessment. There are no specific provisions in this area in the Directive or in its Annex I (blacklist) which sets out practices regarded as unfair under all circumstances. The lack of more specific rules and the need for case-by-case assessment of the effects of the practice on the consumers makes it difficult to enforce the UCPD in this area. Some minor changes are expected to the extent of this problem due to new legal actions at the national level under existing European consumer legal framework.</w:t>
      </w:r>
      <w:r w:rsidRPr="009B5734">
        <w:rPr>
          <w:rStyle w:val="FootnoteReference"/>
          <w:noProof/>
        </w:rPr>
        <w:footnoteReference w:id="86"/>
      </w:r>
    </w:p>
    <w:p w:rsidR="00843A23" w:rsidRPr="009B5734" w:rsidRDefault="00843A23" w:rsidP="00FC5798">
      <w:pPr>
        <w:pStyle w:val="BTNumbList"/>
        <w:rPr>
          <w:rFonts w:ascii="Times New Roman" w:hAnsi="Times New Roman"/>
          <w:noProof/>
          <w:sz w:val="24"/>
        </w:rPr>
      </w:pPr>
      <w:r w:rsidRPr="7F52AB9A">
        <w:rPr>
          <w:rFonts w:ascii="Times New Roman" w:hAnsi="Times New Roman"/>
          <w:noProof/>
          <w:sz w:val="24"/>
        </w:rPr>
        <w:t xml:space="preserve">The general provisions of the </w:t>
      </w:r>
      <w:r w:rsidRPr="7F52AB9A">
        <w:rPr>
          <w:rFonts w:ascii="Times New Roman" w:hAnsi="Times New Roman"/>
          <w:b/>
          <w:bCs/>
          <w:noProof/>
          <w:sz w:val="24"/>
        </w:rPr>
        <w:t>U</w:t>
      </w:r>
      <w:r w:rsidR="001B761C" w:rsidRPr="7F52AB9A">
        <w:rPr>
          <w:rFonts w:ascii="Times New Roman" w:hAnsi="Times New Roman"/>
          <w:b/>
          <w:bCs/>
          <w:noProof/>
          <w:sz w:val="24"/>
        </w:rPr>
        <w:t>nfair Commercial Practices Directive</w:t>
      </w:r>
      <w:r w:rsidRPr="7F52AB9A">
        <w:rPr>
          <w:rFonts w:ascii="Times New Roman" w:hAnsi="Times New Roman"/>
          <w:noProof/>
          <w:sz w:val="24"/>
        </w:rPr>
        <w:t xml:space="preserve"> apply also to greenwashing practices when those are misleading and negatively affect consumers on the basis of a case-by-case assessment. There are no specific provisions in this area in the Directive or in its Annex I (blacklist) which sets out practices regarded as unfair in all circumstances. </w:t>
      </w:r>
      <w:r w:rsidR="00892207" w:rsidRPr="7F52AB9A">
        <w:rPr>
          <w:rFonts w:ascii="Times New Roman" w:hAnsi="Times New Roman"/>
          <w:noProof/>
          <w:sz w:val="24"/>
        </w:rPr>
        <w:t>The recent</w:t>
      </w:r>
      <w:r w:rsidRPr="7F52AB9A">
        <w:rPr>
          <w:rFonts w:ascii="Times New Roman" w:hAnsi="Times New Roman"/>
          <w:noProof/>
          <w:sz w:val="24"/>
        </w:rPr>
        <w:t xml:space="preserve"> CPC screening of websites for ‘greenwashing’</w:t>
      </w:r>
      <w:r w:rsidRPr="7F52AB9A">
        <w:rPr>
          <w:rFonts w:ascii="Times New Roman" w:hAnsi="Times New Roman"/>
          <w:noProof/>
          <w:sz w:val="24"/>
          <w:vertAlign w:val="superscript"/>
        </w:rPr>
        <w:footnoteReference w:id="87"/>
      </w:r>
      <w:r w:rsidRPr="7F52AB9A">
        <w:rPr>
          <w:rFonts w:ascii="Times New Roman" w:hAnsi="Times New Roman"/>
          <w:noProof/>
          <w:sz w:val="24"/>
        </w:rPr>
        <w:t xml:space="preserve">, </w:t>
      </w:r>
      <w:r w:rsidR="00892207" w:rsidRPr="7F52AB9A">
        <w:rPr>
          <w:rFonts w:ascii="Times New Roman" w:hAnsi="Times New Roman"/>
          <w:noProof/>
          <w:sz w:val="24"/>
        </w:rPr>
        <w:t>confirmed that</w:t>
      </w:r>
      <w:r w:rsidRPr="7F52AB9A">
        <w:rPr>
          <w:rFonts w:ascii="Times New Roman" w:hAnsi="Times New Roman"/>
          <w:noProof/>
          <w:sz w:val="24"/>
        </w:rPr>
        <w:t xml:space="preserve"> </w:t>
      </w:r>
      <w:r w:rsidR="00892207" w:rsidRPr="7F52AB9A">
        <w:rPr>
          <w:rFonts w:ascii="Times New Roman" w:hAnsi="Times New Roman"/>
          <w:noProof/>
          <w:sz w:val="24"/>
        </w:rPr>
        <w:t>t</w:t>
      </w:r>
      <w:r w:rsidRPr="7F52AB9A">
        <w:rPr>
          <w:rFonts w:ascii="Times New Roman" w:hAnsi="Times New Roman"/>
          <w:noProof/>
          <w:sz w:val="24"/>
        </w:rPr>
        <w:t xml:space="preserve">here is </w:t>
      </w:r>
      <w:r w:rsidR="00892207" w:rsidRPr="7F52AB9A">
        <w:rPr>
          <w:rFonts w:ascii="Times New Roman" w:hAnsi="Times New Roman"/>
          <w:noProof/>
          <w:sz w:val="24"/>
        </w:rPr>
        <w:t xml:space="preserve">a </w:t>
      </w:r>
      <w:r w:rsidRPr="7F52AB9A">
        <w:rPr>
          <w:rFonts w:ascii="Times New Roman" w:hAnsi="Times New Roman"/>
          <w:noProof/>
          <w:sz w:val="24"/>
        </w:rPr>
        <w:t xml:space="preserve">need for strengthening the legal framework to facilitate enforcement in this area. In the short term, the European Commission will further develop the guidance on the application of the UCPD to support Member States in this area. Some Member States are increasing efforts to stop these practices and may launch further enforcement cases. However, these will not help to address the drivers identified in </w:t>
      </w:r>
      <w:hyperlink w:anchor="_What_are_the_1" w:history="1">
        <w:r w:rsidRPr="7F52AB9A">
          <w:rPr>
            <w:rStyle w:val="Hyperlink"/>
            <w:rFonts w:ascii="Times New Roman" w:hAnsi="Times New Roman"/>
            <w:noProof/>
            <w:sz w:val="24"/>
          </w:rPr>
          <w:t>section 2.3</w:t>
        </w:r>
      </w:hyperlink>
      <w:r w:rsidR="00367E02" w:rsidRPr="7F52AB9A">
        <w:rPr>
          <w:rStyle w:val="Hyperlink"/>
          <w:rFonts w:ascii="Times New Roman" w:hAnsi="Times New Roman"/>
          <w:noProof/>
          <w:sz w:val="24"/>
        </w:rPr>
        <w:t>.</w:t>
      </w:r>
      <w:r w:rsidR="00892207" w:rsidRPr="7F52AB9A">
        <w:rPr>
          <w:rFonts w:ascii="Times New Roman" w:hAnsi="Times New Roman"/>
          <w:noProof/>
          <w:sz w:val="24"/>
        </w:rPr>
        <w:t xml:space="preserve"> </w:t>
      </w:r>
      <w:r w:rsidRPr="7F52AB9A">
        <w:rPr>
          <w:rFonts w:ascii="Times New Roman" w:hAnsi="Times New Roman"/>
          <w:noProof/>
          <w:sz w:val="24"/>
        </w:rPr>
        <w:t>The number of digital information tools (e.g. apps) to compare the sustainability performance of products may grow in a more and more digitalised world.</w:t>
      </w:r>
    </w:p>
    <w:p w:rsidR="00FC5798" w:rsidRPr="009B5734" w:rsidRDefault="00AE124C" w:rsidP="00FC5798">
      <w:pPr>
        <w:pStyle w:val="BTNumbList"/>
        <w:rPr>
          <w:rFonts w:ascii="Times New Roman" w:hAnsi="Times New Roman"/>
          <w:noProof/>
          <w:sz w:val="24"/>
        </w:rPr>
      </w:pPr>
      <w:r w:rsidRPr="009B5734">
        <w:rPr>
          <w:rFonts w:ascii="Times New Roman" w:hAnsi="Times New Roman"/>
          <w:noProof/>
          <w:sz w:val="24"/>
        </w:rPr>
        <w:t>When considering the baseline from which the options to be presented below are assessed,</w:t>
      </w:r>
      <w:r w:rsidR="00FC5798" w:rsidRPr="009B5734">
        <w:rPr>
          <w:rFonts w:ascii="Times New Roman" w:hAnsi="Times New Roman"/>
          <w:noProof/>
          <w:sz w:val="24"/>
        </w:rPr>
        <w:t xml:space="preserve"> </w:t>
      </w:r>
      <w:r w:rsidR="00C25351" w:rsidRPr="009B5734">
        <w:rPr>
          <w:rFonts w:ascii="Times New Roman" w:hAnsi="Times New Roman"/>
          <w:noProof/>
          <w:sz w:val="24"/>
        </w:rPr>
        <w:t xml:space="preserve">however, </w:t>
      </w:r>
      <w:r w:rsidR="00FC5798" w:rsidRPr="009B5734">
        <w:rPr>
          <w:rFonts w:ascii="Times New Roman" w:hAnsi="Times New Roman"/>
          <w:noProof/>
          <w:sz w:val="24"/>
        </w:rPr>
        <w:t xml:space="preserve">it is important to highlight at this </w:t>
      </w:r>
      <w:r w:rsidR="00FC5798" w:rsidRPr="009B5734">
        <w:rPr>
          <w:rFonts w:ascii="Times New Roman" w:hAnsi="Times New Roman"/>
          <w:b/>
          <w:noProof/>
          <w:sz w:val="24"/>
        </w:rPr>
        <w:t>stage</w:t>
      </w:r>
      <w:r w:rsidR="00FC5798" w:rsidRPr="009B5734">
        <w:rPr>
          <w:rFonts w:ascii="Times New Roman" w:hAnsi="Times New Roman"/>
          <w:b/>
          <w:i/>
          <w:iCs/>
          <w:noProof/>
          <w:sz w:val="24"/>
        </w:rPr>
        <w:t xml:space="preserve"> </w:t>
      </w:r>
      <w:r w:rsidR="00FC5798" w:rsidRPr="009B5734">
        <w:rPr>
          <w:rFonts w:ascii="Times New Roman" w:hAnsi="Times New Roman"/>
          <w:b/>
          <w:noProof/>
          <w:sz w:val="24"/>
        </w:rPr>
        <w:t>two other EU-level initiatives</w:t>
      </w:r>
      <w:r w:rsidR="00FC5798" w:rsidRPr="009B5734">
        <w:rPr>
          <w:rFonts w:ascii="Times New Roman" w:hAnsi="Times New Roman"/>
          <w:noProof/>
          <w:sz w:val="24"/>
        </w:rPr>
        <w:t xml:space="preserve"> under preparation </w:t>
      </w:r>
      <w:r w:rsidRPr="009B5734">
        <w:rPr>
          <w:rFonts w:ascii="Times New Roman" w:hAnsi="Times New Roman"/>
          <w:noProof/>
          <w:sz w:val="24"/>
        </w:rPr>
        <w:t>which</w:t>
      </w:r>
      <w:r w:rsidR="00FC5798" w:rsidRPr="009B5734">
        <w:rPr>
          <w:rFonts w:ascii="Times New Roman" w:hAnsi="Times New Roman"/>
          <w:noProof/>
          <w:sz w:val="24"/>
        </w:rPr>
        <w:t>, while failing to adequately address the sub-problems identified in this report, will nonetheless compl</w:t>
      </w:r>
      <w:r w:rsidR="00BB3DF1" w:rsidRPr="009B5734">
        <w:rPr>
          <w:rFonts w:ascii="Times New Roman" w:hAnsi="Times New Roman"/>
          <w:noProof/>
          <w:sz w:val="24"/>
        </w:rPr>
        <w:t>e</w:t>
      </w:r>
      <w:r w:rsidR="00FC5798" w:rsidRPr="009B5734">
        <w:rPr>
          <w:rFonts w:ascii="Times New Roman" w:hAnsi="Times New Roman"/>
          <w:noProof/>
          <w:sz w:val="24"/>
        </w:rPr>
        <w:t>ment the preferred policy options presented, namely</w:t>
      </w:r>
      <w:r w:rsidR="007277DB" w:rsidRPr="009B5734">
        <w:rPr>
          <w:rFonts w:ascii="Times New Roman" w:hAnsi="Times New Roman"/>
          <w:noProof/>
          <w:sz w:val="24"/>
        </w:rPr>
        <w:t xml:space="preserve"> the </w:t>
      </w:r>
      <w:r w:rsidR="008E357B">
        <w:rPr>
          <w:rFonts w:ascii="Times New Roman" w:hAnsi="Times New Roman"/>
          <w:noProof/>
          <w:sz w:val="24"/>
        </w:rPr>
        <w:t xml:space="preserve">upcoming </w:t>
      </w:r>
      <w:r w:rsidR="007277DB" w:rsidRPr="009B5734">
        <w:rPr>
          <w:rFonts w:ascii="Times New Roman" w:hAnsi="Times New Roman"/>
          <w:b/>
          <w:noProof/>
          <w:sz w:val="24"/>
        </w:rPr>
        <w:t>Green Claims Initiative</w:t>
      </w:r>
      <w:r w:rsidR="007277DB" w:rsidRPr="009B5734">
        <w:rPr>
          <w:rFonts w:ascii="Times New Roman" w:hAnsi="Times New Roman"/>
          <w:noProof/>
          <w:sz w:val="24"/>
        </w:rPr>
        <w:t xml:space="preserve"> and the </w:t>
      </w:r>
      <w:r w:rsidR="007277DB" w:rsidRPr="009B5734">
        <w:rPr>
          <w:rFonts w:ascii="Times New Roman" w:hAnsi="Times New Roman"/>
          <w:b/>
          <w:noProof/>
          <w:sz w:val="24"/>
        </w:rPr>
        <w:t>Sustainable Products Initiative</w:t>
      </w:r>
      <w:r w:rsidR="008E357B">
        <w:rPr>
          <w:rFonts w:ascii="Times New Roman" w:hAnsi="Times New Roman"/>
          <w:b/>
          <w:noProof/>
          <w:sz w:val="24"/>
        </w:rPr>
        <w:t xml:space="preserve"> </w:t>
      </w:r>
      <w:r w:rsidR="00712657" w:rsidRPr="00712657">
        <w:rPr>
          <w:rFonts w:ascii="Times New Roman" w:hAnsi="Times New Roman"/>
          <w:noProof/>
          <w:sz w:val="24"/>
        </w:rPr>
        <w:t xml:space="preserve">(adopted </w:t>
      </w:r>
      <w:r w:rsidR="00712657">
        <w:rPr>
          <w:rFonts w:ascii="Times New Roman" w:hAnsi="Times New Roman"/>
          <w:noProof/>
          <w:sz w:val="24"/>
        </w:rPr>
        <w:t xml:space="preserve">together </w:t>
      </w:r>
      <w:r w:rsidR="008E357B" w:rsidRPr="00C310D8">
        <w:rPr>
          <w:rFonts w:ascii="Times New Roman" w:hAnsi="Times New Roman"/>
          <w:noProof/>
          <w:sz w:val="24"/>
        </w:rPr>
        <w:t xml:space="preserve">with this </w:t>
      </w:r>
      <w:r w:rsidR="008E357B" w:rsidRPr="008E357B">
        <w:rPr>
          <w:rFonts w:ascii="Times New Roman" w:hAnsi="Times New Roman"/>
          <w:noProof/>
          <w:sz w:val="24"/>
        </w:rPr>
        <w:t>initiative</w:t>
      </w:r>
      <w:r w:rsidR="008E357B" w:rsidRPr="00C310D8">
        <w:rPr>
          <w:rFonts w:ascii="Times New Roman" w:hAnsi="Times New Roman"/>
          <w:noProof/>
          <w:sz w:val="24"/>
        </w:rPr>
        <w:t>)</w:t>
      </w:r>
      <w:r w:rsidR="007277DB" w:rsidRPr="009B5734">
        <w:rPr>
          <w:rFonts w:ascii="Times New Roman" w:hAnsi="Times New Roman"/>
          <w:noProof/>
          <w:sz w:val="24"/>
        </w:rPr>
        <w:t>.</w:t>
      </w:r>
    </w:p>
    <w:p w:rsidR="00C25351" w:rsidRPr="009B5734" w:rsidRDefault="00FC5798" w:rsidP="00CF0D00">
      <w:pPr>
        <w:pStyle w:val="BTNumbList"/>
        <w:spacing w:after="240"/>
        <w:rPr>
          <w:rFonts w:ascii="Times New Roman" w:hAnsi="Times New Roman"/>
          <w:b/>
          <w:noProof/>
          <w:sz w:val="24"/>
        </w:rPr>
      </w:pPr>
      <w:r w:rsidRPr="009B5734">
        <w:rPr>
          <w:rFonts w:ascii="Times New Roman" w:hAnsi="Times New Roman"/>
          <w:noProof/>
          <w:sz w:val="24"/>
        </w:rPr>
        <w:t>These two initiatives and the one subject to this Impact Assessment are prepared in parallel and in close coordination to ensure their complementarity</w:t>
      </w:r>
      <w:r w:rsidR="001A58E7" w:rsidRPr="009B5734">
        <w:rPr>
          <w:rFonts w:ascii="Times New Roman" w:hAnsi="Times New Roman"/>
          <w:noProof/>
          <w:sz w:val="24"/>
        </w:rPr>
        <w:t>.</w:t>
      </w:r>
      <w:r w:rsidR="001B0906" w:rsidRPr="009B5734">
        <w:rPr>
          <w:rFonts w:ascii="Times New Roman" w:hAnsi="Times New Roman"/>
          <w:noProof/>
          <w:sz w:val="24"/>
        </w:rPr>
        <w:t xml:space="preserve"> However, notwithstanding this close coordination, the </w:t>
      </w:r>
      <w:r w:rsidR="001B0906" w:rsidRPr="009B5734">
        <w:rPr>
          <w:rFonts w:ascii="Times New Roman" w:hAnsi="Times New Roman"/>
          <w:b/>
          <w:noProof/>
          <w:sz w:val="24"/>
        </w:rPr>
        <w:t>three initia</w:t>
      </w:r>
      <w:r w:rsidR="00634B22" w:rsidRPr="009B5734">
        <w:rPr>
          <w:rFonts w:ascii="Times New Roman" w:hAnsi="Times New Roman"/>
          <w:b/>
          <w:noProof/>
          <w:sz w:val="24"/>
        </w:rPr>
        <w:t>tives are nonetheless separate</w:t>
      </w:r>
      <w:r w:rsidR="001B0906" w:rsidRPr="009B5734">
        <w:rPr>
          <w:rFonts w:ascii="Times New Roman" w:hAnsi="Times New Roman"/>
          <w:noProof/>
          <w:sz w:val="24"/>
        </w:rPr>
        <w:t xml:space="preserve">, and </w:t>
      </w:r>
      <w:r w:rsidR="005D7E48" w:rsidRPr="009B5734">
        <w:rPr>
          <w:rFonts w:ascii="Times New Roman" w:hAnsi="Times New Roman"/>
          <w:noProof/>
          <w:sz w:val="24"/>
        </w:rPr>
        <w:t>while</w:t>
      </w:r>
      <w:r w:rsidR="001B0906" w:rsidRPr="009B5734">
        <w:rPr>
          <w:rFonts w:ascii="Times New Roman" w:hAnsi="Times New Roman"/>
          <w:noProof/>
          <w:sz w:val="24"/>
        </w:rPr>
        <w:t xml:space="preserve"> the policy options of the Green Claims Initiative and the Sustainable Products Initiative have been taken into account </w:t>
      </w:r>
      <w:r w:rsidR="00C25351" w:rsidRPr="009B5734">
        <w:rPr>
          <w:rFonts w:ascii="Times New Roman" w:hAnsi="Times New Roman"/>
          <w:noProof/>
          <w:sz w:val="24"/>
        </w:rPr>
        <w:t>in</w:t>
      </w:r>
      <w:r w:rsidR="00196AAC" w:rsidRPr="009B5734">
        <w:rPr>
          <w:rFonts w:ascii="Times New Roman" w:hAnsi="Times New Roman"/>
          <w:noProof/>
          <w:sz w:val="24"/>
        </w:rPr>
        <w:t xml:space="preserve"> the policy options (in relation to “information at the point of sale” and “misleading  practices”) assessed </w:t>
      </w:r>
      <w:r w:rsidR="001B0906" w:rsidRPr="009B5734">
        <w:rPr>
          <w:rFonts w:ascii="Times New Roman" w:hAnsi="Times New Roman"/>
          <w:noProof/>
          <w:sz w:val="24"/>
        </w:rPr>
        <w:t>in this Impact Assessment, it cannot be guaranteed that each</w:t>
      </w:r>
      <w:r w:rsidR="00427742" w:rsidRPr="009B5734">
        <w:rPr>
          <w:rFonts w:ascii="Times New Roman" w:hAnsi="Times New Roman"/>
          <w:noProof/>
          <w:sz w:val="24"/>
        </w:rPr>
        <w:t xml:space="preserve"> of these other</w:t>
      </w:r>
      <w:r w:rsidR="001B0906" w:rsidRPr="009B5734">
        <w:rPr>
          <w:rFonts w:ascii="Times New Roman" w:hAnsi="Times New Roman"/>
          <w:noProof/>
          <w:sz w:val="24"/>
        </w:rPr>
        <w:t xml:space="preserve"> initiative</w:t>
      </w:r>
      <w:r w:rsidR="005B2655" w:rsidRPr="009B5734">
        <w:rPr>
          <w:rFonts w:ascii="Times New Roman" w:hAnsi="Times New Roman"/>
          <w:noProof/>
          <w:sz w:val="24"/>
        </w:rPr>
        <w:t>s</w:t>
      </w:r>
      <w:r w:rsidR="001B0906" w:rsidRPr="009B5734">
        <w:rPr>
          <w:rFonts w:ascii="Times New Roman" w:hAnsi="Times New Roman"/>
          <w:noProof/>
          <w:sz w:val="24"/>
        </w:rPr>
        <w:t xml:space="preserve"> will be adopted</w:t>
      </w:r>
      <w:r w:rsidR="00A93E05" w:rsidRPr="009B5734">
        <w:rPr>
          <w:rFonts w:ascii="Times New Roman" w:hAnsi="Times New Roman"/>
          <w:noProof/>
          <w:sz w:val="24"/>
        </w:rPr>
        <w:t xml:space="preserve"> and will become </w:t>
      </w:r>
      <w:r w:rsidR="005B2655" w:rsidRPr="009B5734">
        <w:rPr>
          <w:rFonts w:ascii="Times New Roman" w:hAnsi="Times New Roman"/>
          <w:noProof/>
          <w:sz w:val="24"/>
        </w:rPr>
        <w:t xml:space="preserve">EU </w:t>
      </w:r>
      <w:r w:rsidR="007A5895" w:rsidRPr="009B5734">
        <w:rPr>
          <w:rFonts w:ascii="Times New Roman" w:hAnsi="Times New Roman"/>
          <w:noProof/>
          <w:sz w:val="24"/>
        </w:rPr>
        <w:t xml:space="preserve">law, </w:t>
      </w:r>
      <w:r w:rsidR="0027263A" w:rsidRPr="009B5734">
        <w:rPr>
          <w:rFonts w:ascii="Times New Roman" w:hAnsi="Times New Roman"/>
          <w:noProof/>
          <w:sz w:val="24"/>
        </w:rPr>
        <w:t xml:space="preserve">which is </w:t>
      </w:r>
      <w:r w:rsidR="007A5895" w:rsidRPr="009B5734">
        <w:rPr>
          <w:rFonts w:ascii="Times New Roman" w:hAnsi="Times New Roman"/>
          <w:noProof/>
          <w:sz w:val="24"/>
        </w:rPr>
        <w:t xml:space="preserve">pending </w:t>
      </w:r>
      <w:r w:rsidR="00A93E05" w:rsidRPr="009B5734">
        <w:rPr>
          <w:rFonts w:ascii="Times New Roman" w:hAnsi="Times New Roman"/>
          <w:noProof/>
          <w:sz w:val="24"/>
        </w:rPr>
        <w:t>the upcoming</w:t>
      </w:r>
      <w:r w:rsidR="005B2655" w:rsidRPr="009B5734">
        <w:rPr>
          <w:rFonts w:ascii="Times New Roman" w:hAnsi="Times New Roman"/>
          <w:noProof/>
          <w:sz w:val="24"/>
        </w:rPr>
        <w:t xml:space="preserve"> ordinary legislative procedure</w:t>
      </w:r>
      <w:r w:rsidR="001B0906" w:rsidRPr="009B5734">
        <w:rPr>
          <w:rFonts w:ascii="Times New Roman" w:hAnsi="Times New Roman"/>
          <w:noProof/>
          <w:sz w:val="24"/>
        </w:rPr>
        <w:t xml:space="preserve">. </w:t>
      </w:r>
      <w:r w:rsidR="00C25351" w:rsidRPr="009B5734">
        <w:rPr>
          <w:rFonts w:ascii="Times New Roman" w:hAnsi="Times New Roman"/>
          <w:noProof/>
          <w:sz w:val="24"/>
        </w:rPr>
        <w:t>The baseline for this initiative (</w:t>
      </w:r>
      <w:r w:rsidR="00C25351" w:rsidRPr="009B5734">
        <w:rPr>
          <w:rFonts w:ascii="Times New Roman" w:hAnsi="Times New Roman"/>
          <w:b/>
          <w:noProof/>
          <w:sz w:val="24"/>
        </w:rPr>
        <w:t xml:space="preserve">Option 0 </w:t>
      </w:r>
      <w:r w:rsidR="00C25351" w:rsidRPr="009B5734">
        <w:rPr>
          <w:rFonts w:ascii="Times New Roman" w:hAnsi="Times New Roman"/>
          <w:noProof/>
          <w:sz w:val="24"/>
        </w:rPr>
        <w:t>as presented in the MCA in</w:t>
      </w:r>
      <w:r w:rsidR="00C25351" w:rsidRPr="009B5734">
        <w:rPr>
          <w:rFonts w:ascii="Times New Roman" w:hAnsi="Times New Roman"/>
          <w:b/>
          <w:noProof/>
          <w:sz w:val="24"/>
        </w:rPr>
        <w:t xml:space="preserve"> </w:t>
      </w:r>
      <w:hyperlink w:anchor="_Annex_9:_Detailed" w:history="1">
        <w:r w:rsidR="00C25351" w:rsidRPr="009B5734">
          <w:rPr>
            <w:rStyle w:val="Hyperlink"/>
            <w:rFonts w:ascii="Times New Roman" w:hAnsi="Times New Roman"/>
            <w:noProof/>
            <w:sz w:val="24"/>
          </w:rPr>
          <w:t>Annex 9</w:t>
        </w:r>
      </w:hyperlink>
      <w:r w:rsidR="00C25351" w:rsidRPr="009B5734">
        <w:rPr>
          <w:rFonts w:ascii="Times New Roman" w:hAnsi="Times New Roman"/>
          <w:noProof/>
          <w:sz w:val="24"/>
        </w:rPr>
        <w:t xml:space="preserve">), as well as the impacts of the policy options (presented in </w:t>
      </w:r>
      <w:hyperlink w:anchor="_What_are_the_2" w:history="1">
        <w:r w:rsidR="00C25351" w:rsidRPr="009B5734">
          <w:rPr>
            <w:rStyle w:val="Hyperlink"/>
            <w:rFonts w:ascii="Times New Roman" w:hAnsi="Times New Roman"/>
            <w:noProof/>
            <w:sz w:val="24"/>
          </w:rPr>
          <w:t>Section 6</w:t>
        </w:r>
      </w:hyperlink>
      <w:r w:rsidR="00C25351" w:rsidRPr="009B5734">
        <w:rPr>
          <w:rFonts w:ascii="Times New Roman" w:hAnsi="Times New Roman"/>
          <w:noProof/>
          <w:sz w:val="24"/>
        </w:rPr>
        <w:t>) against this baseline, were therefore calculated without taking into account any potential overlap of the impacts of the</w:t>
      </w:r>
      <w:r w:rsidR="008A1DFB" w:rsidRPr="009B5734">
        <w:rPr>
          <w:rFonts w:ascii="Times New Roman" w:hAnsi="Times New Roman"/>
          <w:noProof/>
          <w:sz w:val="24"/>
        </w:rPr>
        <w:t>se</w:t>
      </w:r>
      <w:r w:rsidR="00C25351" w:rsidRPr="009B5734">
        <w:rPr>
          <w:rFonts w:ascii="Times New Roman" w:hAnsi="Times New Roman"/>
          <w:b/>
          <w:noProof/>
          <w:sz w:val="24"/>
        </w:rPr>
        <w:t xml:space="preserve"> </w:t>
      </w:r>
      <w:r w:rsidR="00C25351" w:rsidRPr="009B5734">
        <w:rPr>
          <w:rFonts w:ascii="Times New Roman" w:hAnsi="Times New Roman"/>
          <w:noProof/>
          <w:sz w:val="24"/>
        </w:rPr>
        <w:t>initiative</w:t>
      </w:r>
      <w:r w:rsidR="008A1DFB" w:rsidRPr="009B5734">
        <w:rPr>
          <w:rFonts w:ascii="Times New Roman" w:hAnsi="Times New Roman"/>
          <w:noProof/>
          <w:sz w:val="24"/>
        </w:rPr>
        <w:t>s</w:t>
      </w:r>
      <w:r w:rsidR="00C25351" w:rsidRPr="009B5734">
        <w:rPr>
          <w:rFonts w:ascii="Times New Roman" w:hAnsi="Times New Roman"/>
          <w:noProof/>
          <w:sz w:val="24"/>
        </w:rPr>
        <w:t>.</w:t>
      </w:r>
      <w:r w:rsidR="00C25351" w:rsidRPr="009B5734">
        <w:rPr>
          <w:rStyle w:val="FootnoteReference"/>
          <w:rFonts w:ascii="Times New Roman" w:hAnsi="Times New Roman"/>
          <w:noProof/>
          <w:sz w:val="24"/>
        </w:rPr>
        <w:footnoteReference w:id="88"/>
      </w:r>
    </w:p>
    <w:p w:rsidR="00F81D73" w:rsidRPr="009B5734" w:rsidRDefault="00C25351" w:rsidP="00CF0D00">
      <w:pPr>
        <w:pStyle w:val="BTNumbList"/>
        <w:spacing w:after="240"/>
        <w:rPr>
          <w:rFonts w:ascii="Times New Roman" w:hAnsi="Times New Roman"/>
          <w:noProof/>
          <w:sz w:val="24"/>
        </w:rPr>
      </w:pPr>
      <w:r w:rsidRPr="6B053803">
        <w:rPr>
          <w:rFonts w:ascii="Times New Roman" w:hAnsi="Times New Roman"/>
          <w:noProof/>
          <w:sz w:val="24"/>
        </w:rPr>
        <w:t>To</w:t>
      </w:r>
      <w:r w:rsidR="00FD26FB" w:rsidRPr="6B053803">
        <w:rPr>
          <w:rFonts w:ascii="Times New Roman" w:hAnsi="Times New Roman"/>
          <w:noProof/>
          <w:sz w:val="24"/>
        </w:rPr>
        <w:t xml:space="preserve"> the extent that </w:t>
      </w:r>
      <w:r w:rsidR="00055924" w:rsidRPr="6B053803">
        <w:rPr>
          <w:rFonts w:ascii="Times New Roman" w:hAnsi="Times New Roman"/>
          <w:noProof/>
          <w:sz w:val="24"/>
        </w:rPr>
        <w:t>the option</w:t>
      </w:r>
      <w:r w:rsidR="00EE4879" w:rsidRPr="6B053803">
        <w:rPr>
          <w:rFonts w:ascii="Times New Roman" w:hAnsi="Times New Roman"/>
          <w:noProof/>
          <w:sz w:val="24"/>
        </w:rPr>
        <w:t>s</w:t>
      </w:r>
      <w:r w:rsidR="00055924" w:rsidRPr="6B053803">
        <w:rPr>
          <w:rFonts w:ascii="Times New Roman" w:hAnsi="Times New Roman"/>
          <w:noProof/>
          <w:sz w:val="24"/>
        </w:rPr>
        <w:t xml:space="preserve"> considered in this Impact Assessment</w:t>
      </w:r>
      <w:r w:rsidR="00C96ECA" w:rsidRPr="005D24D2">
        <w:rPr>
          <w:rFonts w:ascii="Times New Roman" w:hAnsi="Times New Roman"/>
          <w:b/>
          <w:bCs/>
          <w:noProof/>
          <w:sz w:val="24"/>
        </w:rPr>
        <w:t xml:space="preserve"> </w:t>
      </w:r>
      <w:r w:rsidR="00055924" w:rsidRPr="6B053803">
        <w:rPr>
          <w:rFonts w:ascii="Times New Roman" w:hAnsi="Times New Roman"/>
          <w:noProof/>
          <w:sz w:val="24"/>
        </w:rPr>
        <w:t xml:space="preserve">overlap with </w:t>
      </w:r>
      <w:r w:rsidR="005C28EF" w:rsidRPr="6B053803">
        <w:rPr>
          <w:rFonts w:ascii="Times New Roman" w:hAnsi="Times New Roman"/>
          <w:noProof/>
          <w:sz w:val="24"/>
        </w:rPr>
        <w:t xml:space="preserve">the preferred policy options of </w:t>
      </w:r>
      <w:r w:rsidR="00055924" w:rsidRPr="6B053803">
        <w:rPr>
          <w:rFonts w:ascii="Times New Roman" w:hAnsi="Times New Roman"/>
          <w:noProof/>
          <w:sz w:val="24"/>
        </w:rPr>
        <w:t>the</w:t>
      </w:r>
      <w:r w:rsidR="005F1444" w:rsidRPr="6B053803">
        <w:rPr>
          <w:rFonts w:ascii="Times New Roman" w:hAnsi="Times New Roman"/>
          <w:noProof/>
          <w:sz w:val="24"/>
        </w:rPr>
        <w:t>se initiatives</w:t>
      </w:r>
      <w:r w:rsidR="005C28EF" w:rsidRPr="6B053803">
        <w:rPr>
          <w:rFonts w:ascii="Times New Roman" w:hAnsi="Times New Roman"/>
          <w:noProof/>
          <w:sz w:val="24"/>
        </w:rPr>
        <w:t>,</w:t>
      </w:r>
      <w:r w:rsidR="00FD26FB" w:rsidRPr="6B053803">
        <w:rPr>
          <w:rFonts w:ascii="Times New Roman" w:hAnsi="Times New Roman"/>
          <w:noProof/>
          <w:sz w:val="24"/>
        </w:rPr>
        <w:t xml:space="preserve"> this has been taken into account in </w:t>
      </w:r>
      <w:r w:rsidR="005C28EF" w:rsidRPr="6B053803">
        <w:rPr>
          <w:rFonts w:ascii="Times New Roman" w:hAnsi="Times New Roman"/>
          <w:noProof/>
          <w:sz w:val="24"/>
        </w:rPr>
        <w:t xml:space="preserve">a </w:t>
      </w:r>
      <w:r w:rsidR="005C28EF" w:rsidRPr="005D24D2">
        <w:rPr>
          <w:rFonts w:ascii="Times New Roman" w:hAnsi="Times New Roman"/>
          <w:b/>
          <w:bCs/>
          <w:noProof/>
          <w:sz w:val="24"/>
        </w:rPr>
        <w:t>qualitative way</w:t>
      </w:r>
      <w:r w:rsidR="005C28EF" w:rsidRPr="6B053803">
        <w:rPr>
          <w:rFonts w:ascii="Times New Roman" w:hAnsi="Times New Roman"/>
          <w:noProof/>
          <w:sz w:val="24"/>
        </w:rPr>
        <w:t xml:space="preserve"> in </w:t>
      </w:r>
      <w:r w:rsidR="00FD26FB" w:rsidRPr="6B053803">
        <w:rPr>
          <w:rFonts w:ascii="Times New Roman" w:hAnsi="Times New Roman"/>
          <w:noProof/>
          <w:sz w:val="24"/>
        </w:rPr>
        <w:t xml:space="preserve">the description of the options presented in </w:t>
      </w:r>
      <w:hyperlink w:anchor="_Description_of_the" w:history="1">
        <w:r w:rsidR="00FD26FB" w:rsidRPr="6B053803">
          <w:rPr>
            <w:rStyle w:val="Hyperlink"/>
            <w:rFonts w:ascii="Times New Roman" w:hAnsi="Times New Roman"/>
            <w:noProof/>
            <w:sz w:val="24"/>
          </w:rPr>
          <w:t>Section 5.2</w:t>
        </w:r>
      </w:hyperlink>
      <w:r w:rsidR="00FD26FB" w:rsidRPr="6B053803">
        <w:rPr>
          <w:rFonts w:ascii="Times New Roman" w:hAnsi="Times New Roman"/>
          <w:noProof/>
          <w:sz w:val="24"/>
        </w:rPr>
        <w:t xml:space="preserve"> below</w:t>
      </w:r>
      <w:r w:rsidRPr="6B053803">
        <w:rPr>
          <w:rFonts w:ascii="Times New Roman" w:hAnsi="Times New Roman"/>
          <w:noProof/>
          <w:sz w:val="24"/>
        </w:rPr>
        <w:t xml:space="preserve"> for each of the 6 sub-problems individually</w:t>
      </w:r>
      <w:r w:rsidR="007D4D05" w:rsidRPr="6B053803">
        <w:rPr>
          <w:rFonts w:ascii="Times New Roman" w:hAnsi="Times New Roman"/>
          <w:noProof/>
          <w:sz w:val="24"/>
        </w:rPr>
        <w:t>.</w:t>
      </w:r>
      <w:r w:rsidR="005C28EF" w:rsidRPr="6B053803">
        <w:rPr>
          <w:rFonts w:ascii="Times New Roman" w:hAnsi="Times New Roman"/>
          <w:noProof/>
          <w:sz w:val="24"/>
        </w:rPr>
        <w:t xml:space="preserve"> The SPI </w:t>
      </w:r>
      <w:r w:rsidR="002E43DE" w:rsidRPr="6B053803">
        <w:rPr>
          <w:rFonts w:ascii="Times New Roman" w:hAnsi="Times New Roman"/>
          <w:noProof/>
          <w:sz w:val="24"/>
        </w:rPr>
        <w:t>could</w:t>
      </w:r>
      <w:r w:rsidR="005C28EF" w:rsidRPr="6B053803" w:rsidDel="002E43DE">
        <w:rPr>
          <w:rFonts w:ascii="Times New Roman" w:hAnsi="Times New Roman"/>
          <w:noProof/>
          <w:sz w:val="24"/>
        </w:rPr>
        <w:t xml:space="preserve"> </w:t>
      </w:r>
      <w:r w:rsidR="002E43DE" w:rsidRPr="6B053803">
        <w:rPr>
          <w:rFonts w:ascii="Times New Roman" w:hAnsi="Times New Roman"/>
          <w:noProof/>
          <w:sz w:val="24"/>
        </w:rPr>
        <w:t>set</w:t>
      </w:r>
      <w:r w:rsidR="005C28EF" w:rsidRPr="6B053803">
        <w:rPr>
          <w:rFonts w:ascii="Times New Roman" w:hAnsi="Times New Roman"/>
          <w:noProof/>
          <w:sz w:val="24"/>
        </w:rPr>
        <w:t xml:space="preserve"> requirements for</w:t>
      </w:r>
      <w:r w:rsidR="007277DB" w:rsidRPr="6B053803">
        <w:rPr>
          <w:rFonts w:ascii="Times New Roman" w:hAnsi="Times New Roman"/>
          <w:noProof/>
          <w:sz w:val="24"/>
        </w:rPr>
        <w:t xml:space="preserve"> </w:t>
      </w:r>
      <w:r w:rsidR="005C28EF" w:rsidRPr="6B053803">
        <w:rPr>
          <w:rFonts w:ascii="Times New Roman" w:hAnsi="Times New Roman"/>
          <w:noProof/>
          <w:sz w:val="24"/>
        </w:rPr>
        <w:t xml:space="preserve">information to be provided </w:t>
      </w:r>
      <w:r w:rsidR="002E43DE" w:rsidRPr="6B053803">
        <w:rPr>
          <w:rFonts w:ascii="Times New Roman" w:hAnsi="Times New Roman"/>
          <w:noProof/>
          <w:sz w:val="24"/>
        </w:rPr>
        <w:t>in relation to specific products or groups of products with the exact requirements depending on the characteristics of the relevant product(s).</w:t>
      </w:r>
      <w:r w:rsidR="00F46F51" w:rsidRPr="6B053803">
        <w:rPr>
          <w:rFonts w:ascii="Times New Roman" w:hAnsi="Times New Roman"/>
          <w:noProof/>
          <w:sz w:val="24"/>
        </w:rPr>
        <w:t xml:space="preserve"> </w:t>
      </w:r>
      <w:r w:rsidR="002E43DE" w:rsidRPr="6B053803">
        <w:rPr>
          <w:rFonts w:ascii="Times New Roman" w:hAnsi="Times New Roman"/>
          <w:noProof/>
          <w:sz w:val="24"/>
        </w:rPr>
        <w:t>One possibility would be to have</w:t>
      </w:r>
      <w:r w:rsidR="00F46F51" w:rsidRPr="6B053803">
        <w:rPr>
          <w:rFonts w:ascii="Times New Roman" w:hAnsi="Times New Roman"/>
          <w:noProof/>
          <w:sz w:val="24"/>
        </w:rPr>
        <w:t xml:space="preserve"> a machine readable symbol such as a QR code </w:t>
      </w:r>
      <w:r w:rsidR="002E43DE" w:rsidRPr="6B053803">
        <w:rPr>
          <w:rFonts w:ascii="Times New Roman" w:hAnsi="Times New Roman"/>
          <w:noProof/>
          <w:sz w:val="24"/>
        </w:rPr>
        <w:t xml:space="preserve">that links to a digital product passport </w:t>
      </w:r>
      <w:r w:rsidR="00F46F51" w:rsidRPr="6B053803">
        <w:rPr>
          <w:rFonts w:ascii="Times New Roman" w:hAnsi="Times New Roman"/>
          <w:noProof/>
          <w:sz w:val="24"/>
        </w:rPr>
        <w:t>attached to the product</w:t>
      </w:r>
      <w:r w:rsidR="005C28EF" w:rsidRPr="6B053803">
        <w:rPr>
          <w:rFonts w:ascii="Times New Roman" w:hAnsi="Times New Roman"/>
          <w:noProof/>
          <w:sz w:val="24"/>
        </w:rPr>
        <w:t xml:space="preserve">. </w:t>
      </w:r>
      <w:r w:rsidR="002E43DE" w:rsidRPr="6B053803">
        <w:rPr>
          <w:rFonts w:ascii="Times New Roman" w:hAnsi="Times New Roman"/>
          <w:noProof/>
          <w:sz w:val="24"/>
        </w:rPr>
        <w:t>The exact</w:t>
      </w:r>
      <w:r w:rsidR="005C28EF" w:rsidRPr="6B053803">
        <w:rPr>
          <w:rFonts w:ascii="Times New Roman" w:hAnsi="Times New Roman"/>
          <w:noProof/>
          <w:sz w:val="24"/>
        </w:rPr>
        <w:t xml:space="preserve"> timeline for the implementation of any product specific information requirements under the SPI is not foreseeable, due to the fact that these would be introduced </w:t>
      </w:r>
      <w:r w:rsidR="002E43DE" w:rsidRPr="6B053803">
        <w:rPr>
          <w:rFonts w:ascii="Times New Roman" w:hAnsi="Times New Roman"/>
          <w:noProof/>
          <w:sz w:val="24"/>
        </w:rPr>
        <w:t xml:space="preserve">progressively </w:t>
      </w:r>
      <w:r w:rsidR="005C28EF" w:rsidRPr="6B053803">
        <w:rPr>
          <w:rFonts w:ascii="Times New Roman" w:hAnsi="Times New Roman"/>
          <w:noProof/>
          <w:sz w:val="24"/>
        </w:rPr>
        <w:t xml:space="preserve">through </w:t>
      </w:r>
      <w:r w:rsidR="0005644B">
        <w:rPr>
          <w:rFonts w:ascii="Times New Roman" w:hAnsi="Times New Roman"/>
          <w:noProof/>
          <w:sz w:val="24"/>
        </w:rPr>
        <w:t>subsequent product</w:t>
      </w:r>
      <w:r w:rsidR="0005644B" w:rsidRPr="6B053803">
        <w:rPr>
          <w:rFonts w:ascii="Times New Roman" w:hAnsi="Times New Roman"/>
          <w:noProof/>
          <w:sz w:val="24"/>
        </w:rPr>
        <w:t xml:space="preserve"> </w:t>
      </w:r>
      <w:r w:rsidR="002E43DE" w:rsidRPr="6B053803">
        <w:rPr>
          <w:rFonts w:ascii="Times New Roman" w:hAnsi="Times New Roman"/>
          <w:noProof/>
          <w:sz w:val="24"/>
        </w:rPr>
        <w:t>measures</w:t>
      </w:r>
      <w:r w:rsidR="00A93D64" w:rsidRPr="6B053803">
        <w:rPr>
          <w:rFonts w:ascii="Times New Roman" w:hAnsi="Times New Roman"/>
          <w:noProof/>
          <w:sz w:val="24"/>
        </w:rPr>
        <w:t>.</w:t>
      </w:r>
      <w:r w:rsidR="00A93D64" w:rsidRPr="6B053803">
        <w:rPr>
          <w:rStyle w:val="FootnoteReference"/>
          <w:rFonts w:ascii="Times New Roman" w:hAnsi="Times New Roman"/>
          <w:noProof/>
          <w:sz w:val="24"/>
        </w:rPr>
        <w:footnoteReference w:id="89"/>
      </w:r>
    </w:p>
    <w:p w:rsidR="000D0632" w:rsidRPr="009B5734" w:rsidRDefault="00A92880" w:rsidP="006A4EF5">
      <w:pPr>
        <w:pStyle w:val="Text2"/>
        <w:tabs>
          <w:tab w:val="clear" w:pos="2302"/>
          <w:tab w:val="left" w:pos="3516"/>
        </w:tabs>
        <w:spacing w:before="240"/>
        <w:ind w:left="0" w:firstLine="0"/>
        <w:rPr>
          <w:noProof/>
        </w:rPr>
      </w:pPr>
      <w:r w:rsidRPr="009B5734">
        <w:rPr>
          <w:noProof/>
        </w:rPr>
        <w:t xml:space="preserve">Complementary to </w:t>
      </w:r>
      <w:r w:rsidR="00920BE3">
        <w:rPr>
          <w:noProof/>
        </w:rPr>
        <w:t xml:space="preserve">the initiative subject to </w:t>
      </w:r>
      <w:r w:rsidRPr="009B5734">
        <w:rPr>
          <w:noProof/>
        </w:rPr>
        <w:t>this Impact Assessment</w:t>
      </w:r>
      <w:r w:rsidR="0041566B" w:rsidRPr="70D97C89">
        <w:rPr>
          <w:noProof/>
        </w:rPr>
        <w:t xml:space="preserve">, </w:t>
      </w:r>
      <w:r w:rsidR="001A14A3" w:rsidRPr="005D24D2">
        <w:rPr>
          <w:b/>
          <w:bCs/>
          <w:noProof/>
        </w:rPr>
        <w:t>a self-regulatory initiative</w:t>
      </w:r>
      <w:r w:rsidR="0041566B" w:rsidRPr="009B5734">
        <w:rPr>
          <w:noProof/>
        </w:rPr>
        <w:t xml:space="preserve"> has been announced in the New Consumer Agenda</w:t>
      </w:r>
      <w:r w:rsidR="001A14A3" w:rsidRPr="009B5734">
        <w:rPr>
          <w:noProof/>
        </w:rPr>
        <w:t>, which was launched in January 2021. T</w:t>
      </w:r>
      <w:r w:rsidR="0041566B" w:rsidRPr="009B5734">
        <w:rPr>
          <w:noProof/>
        </w:rPr>
        <w:t>he</w:t>
      </w:r>
      <w:r w:rsidR="001A14A3" w:rsidRPr="009B5734">
        <w:rPr>
          <w:noProof/>
        </w:rPr>
        <w:t xml:space="preserve"> voluntary</w:t>
      </w:r>
      <w:r w:rsidR="0041566B" w:rsidRPr="009B5734">
        <w:rPr>
          <w:noProof/>
        </w:rPr>
        <w:t xml:space="preserve"> EU Green Consumption Pledge requires </w:t>
      </w:r>
      <w:r w:rsidR="00646088" w:rsidRPr="009B5734">
        <w:rPr>
          <w:noProof/>
        </w:rPr>
        <w:t xml:space="preserve">participating </w:t>
      </w:r>
      <w:r w:rsidR="0041566B" w:rsidRPr="009B5734">
        <w:rPr>
          <w:noProof/>
        </w:rPr>
        <w:t>companies</w:t>
      </w:r>
      <w:r w:rsidR="001A14A3" w:rsidRPr="70D97C89">
        <w:rPr>
          <w:noProof/>
        </w:rPr>
        <w:t xml:space="preserve"> </w:t>
      </w:r>
      <w:r w:rsidR="0041566B" w:rsidRPr="009B5734">
        <w:rPr>
          <w:noProof/>
        </w:rPr>
        <w:t>to take</w:t>
      </w:r>
      <w:r w:rsidR="001A14A3" w:rsidRPr="009B5734">
        <w:rPr>
          <w:noProof/>
        </w:rPr>
        <w:t xml:space="preserve"> actions in support of sustainable consumption beyond what is required by law.</w:t>
      </w:r>
      <w:r w:rsidR="00F133A0">
        <w:rPr>
          <w:rStyle w:val="FootnoteReference"/>
          <w:noProof/>
        </w:rPr>
        <w:footnoteReference w:id="90"/>
      </w:r>
      <w:r w:rsidR="001A14A3" w:rsidRPr="70D97C89">
        <w:rPr>
          <w:noProof/>
        </w:rPr>
        <w:t xml:space="preserve"> </w:t>
      </w:r>
      <w:r w:rsidR="0041566B" w:rsidRPr="70D97C89">
        <w:rPr>
          <w:noProof/>
        </w:rPr>
        <w:t xml:space="preserve"> </w:t>
      </w:r>
      <w:r w:rsidR="001A14A3" w:rsidRPr="009B5734">
        <w:rPr>
          <w:noProof/>
        </w:rPr>
        <w:t>It calls upon businesses in various sectors of the economy to undertake concrete, public and verifiable commitments</w:t>
      </w:r>
      <w:r w:rsidR="00646088" w:rsidRPr="009B5734">
        <w:rPr>
          <w:noProof/>
        </w:rPr>
        <w:t>, on a voluntary basis,</w:t>
      </w:r>
      <w:r w:rsidR="001A14A3" w:rsidRPr="009B5734">
        <w:rPr>
          <w:noProof/>
        </w:rPr>
        <w:t xml:space="preserve"> to reduce their overall carbon footprint, to produce and market more sustainable products and to redouble their efforts towards raising the awareness of consumers about the impact of their consumption choices. </w:t>
      </w:r>
      <w:r w:rsidR="0041566B" w:rsidRPr="009B5734">
        <w:rPr>
          <w:noProof/>
        </w:rPr>
        <w:t xml:space="preserve">So far, 11 companies have come forward (including two SMEs), as part of the pilot phase: they represent various sectors in the manufacturing and retail world, but also financial services and energy supply. </w:t>
      </w:r>
      <w:r w:rsidR="001A14A3" w:rsidRPr="009B5734">
        <w:rPr>
          <w:noProof/>
        </w:rPr>
        <w:t>The pilot phase of the Green Consumption Pledge will be completed by 2022, including an evaluation of the functioning of the Pledge.</w:t>
      </w:r>
      <w:r w:rsidR="00E631D4" w:rsidRPr="70D97C89">
        <w:rPr>
          <w:noProof/>
        </w:rPr>
        <w:t xml:space="preserve"> </w:t>
      </w:r>
    </w:p>
    <w:p w:rsidR="005411CE" w:rsidRPr="009B5734" w:rsidRDefault="005411CE" w:rsidP="005411CE">
      <w:pPr>
        <w:ind w:left="0" w:firstLine="0"/>
        <w:rPr>
          <w:rFonts w:ascii="Times New Roman" w:hAnsi="Times New Roman" w:cs="Times New Roman"/>
          <w:noProof/>
          <w:sz w:val="24"/>
          <w:szCs w:val="24"/>
        </w:rPr>
      </w:pPr>
    </w:p>
    <w:p w:rsidR="006B087E" w:rsidRPr="009B5734" w:rsidRDefault="00A00208" w:rsidP="00A00208">
      <w:pPr>
        <w:pStyle w:val="Heading2"/>
        <w:rPr>
          <w:noProof/>
        </w:rPr>
      </w:pPr>
      <w:bookmarkStart w:id="138" w:name="_Description_of_the"/>
      <w:bookmarkStart w:id="139" w:name="_Toc58149032"/>
      <w:bookmarkStart w:id="140" w:name="_Toc58604065"/>
      <w:bookmarkStart w:id="141" w:name="_Toc77844236"/>
      <w:bookmarkStart w:id="142" w:name="_Toc86391739"/>
      <w:bookmarkEnd w:id="138"/>
      <w:r w:rsidRPr="00A00208">
        <w:t>5.2.</w:t>
      </w:r>
      <w:r w:rsidRPr="00A00208">
        <w:tab/>
      </w:r>
      <w:r w:rsidR="006B087E" w:rsidRPr="009B5734">
        <w:rPr>
          <w:noProof/>
        </w:rPr>
        <w:t>Description of the policy options</w:t>
      </w:r>
      <w:bookmarkEnd w:id="139"/>
      <w:bookmarkEnd w:id="140"/>
      <w:bookmarkEnd w:id="141"/>
      <w:bookmarkEnd w:id="142"/>
    </w:p>
    <w:p w:rsidR="00B23651" w:rsidRPr="009B5734" w:rsidRDefault="0098547A" w:rsidP="005B046E">
      <w:pPr>
        <w:pStyle w:val="BTNumbList"/>
        <w:spacing w:after="240"/>
        <w:rPr>
          <w:rFonts w:ascii="Times New Roman" w:hAnsi="Times New Roman"/>
          <w:noProof/>
          <w:sz w:val="24"/>
        </w:rPr>
      </w:pPr>
      <w:r w:rsidRPr="009B5734">
        <w:rPr>
          <w:rFonts w:ascii="Times New Roman" w:hAnsi="Times New Roman"/>
          <w:noProof/>
          <w:sz w:val="24"/>
        </w:rPr>
        <w:t xml:space="preserve">The policy options were established by the Commission in close cooperation with all </w:t>
      </w:r>
      <w:r w:rsidR="00692B34" w:rsidRPr="009B5734">
        <w:rPr>
          <w:rFonts w:ascii="Times New Roman" w:hAnsi="Times New Roman"/>
          <w:noProof/>
          <w:sz w:val="24"/>
        </w:rPr>
        <w:t xml:space="preserve">relevant </w:t>
      </w:r>
      <w:r w:rsidRPr="009B5734">
        <w:rPr>
          <w:rFonts w:ascii="Times New Roman" w:hAnsi="Times New Roman"/>
          <w:noProof/>
          <w:sz w:val="24"/>
        </w:rPr>
        <w:t xml:space="preserve">groups of stakeholders. </w:t>
      </w:r>
      <w:r w:rsidR="004C05CE" w:rsidRPr="009B5734">
        <w:rPr>
          <w:rFonts w:ascii="Times New Roman" w:hAnsi="Times New Roman"/>
          <w:noProof/>
          <w:sz w:val="24"/>
        </w:rPr>
        <w:t xml:space="preserve">Stakeholder opinion </w:t>
      </w:r>
      <w:r w:rsidR="002F79E4" w:rsidRPr="009B5734">
        <w:rPr>
          <w:rFonts w:ascii="Times New Roman" w:hAnsi="Times New Roman"/>
          <w:noProof/>
          <w:sz w:val="24"/>
        </w:rPr>
        <w:t xml:space="preserve">on possible options </w:t>
      </w:r>
      <w:r w:rsidR="004C05CE" w:rsidRPr="009B5734">
        <w:rPr>
          <w:rFonts w:ascii="Times New Roman" w:hAnsi="Times New Roman"/>
          <w:noProof/>
          <w:sz w:val="24"/>
        </w:rPr>
        <w:t>was sought at various stages of the development of the Impact Assessment</w:t>
      </w:r>
      <w:r w:rsidR="004C05CE" w:rsidRPr="009B5734">
        <w:rPr>
          <w:rStyle w:val="FootnoteReference"/>
          <w:rFonts w:ascii="Times New Roman" w:hAnsi="Times New Roman"/>
          <w:noProof/>
          <w:sz w:val="24"/>
        </w:rPr>
        <w:footnoteReference w:id="91"/>
      </w:r>
      <w:r w:rsidR="004C05CE" w:rsidRPr="009B5734">
        <w:rPr>
          <w:rFonts w:ascii="Times New Roman" w:hAnsi="Times New Roman"/>
          <w:noProof/>
          <w:sz w:val="24"/>
        </w:rPr>
        <w:t xml:space="preserve">. </w:t>
      </w:r>
      <w:r w:rsidR="003C7A7C" w:rsidRPr="009B5734">
        <w:rPr>
          <w:rFonts w:ascii="Times New Roman" w:hAnsi="Times New Roman"/>
          <w:noProof/>
          <w:sz w:val="24"/>
        </w:rPr>
        <w:t xml:space="preserve">As a follow-up to these consultations and progress made in the development of the Impact Assessment, the </w:t>
      </w:r>
      <w:r w:rsidR="008D5DBF" w:rsidRPr="009B5734">
        <w:rPr>
          <w:rFonts w:ascii="Times New Roman" w:hAnsi="Times New Roman"/>
          <w:noProof/>
          <w:sz w:val="24"/>
        </w:rPr>
        <w:t xml:space="preserve">main </w:t>
      </w:r>
      <w:r w:rsidR="003C7A7C" w:rsidRPr="009B5734">
        <w:rPr>
          <w:rFonts w:ascii="Times New Roman" w:hAnsi="Times New Roman"/>
          <w:noProof/>
          <w:sz w:val="24"/>
        </w:rPr>
        <w:t xml:space="preserve">options </w:t>
      </w:r>
      <w:r w:rsidR="008D5DBF" w:rsidRPr="009B5734">
        <w:rPr>
          <w:rFonts w:ascii="Times New Roman" w:hAnsi="Times New Roman"/>
          <w:noProof/>
          <w:sz w:val="24"/>
        </w:rPr>
        <w:t>included</w:t>
      </w:r>
      <w:r w:rsidR="003C7A7C" w:rsidRPr="009B5734">
        <w:rPr>
          <w:rFonts w:ascii="Times New Roman" w:hAnsi="Times New Roman"/>
          <w:noProof/>
          <w:sz w:val="24"/>
        </w:rPr>
        <w:t xml:space="preserve"> in the Inception Impact Assessment have been further </w:t>
      </w:r>
      <w:r w:rsidR="008D5DBF" w:rsidRPr="009B5734">
        <w:rPr>
          <w:rFonts w:ascii="Times New Roman" w:hAnsi="Times New Roman"/>
          <w:noProof/>
          <w:sz w:val="24"/>
        </w:rPr>
        <w:t xml:space="preserve">developed and </w:t>
      </w:r>
      <w:r w:rsidR="003C7A7C" w:rsidRPr="009B5734">
        <w:rPr>
          <w:rFonts w:ascii="Times New Roman" w:hAnsi="Times New Roman"/>
          <w:noProof/>
          <w:sz w:val="24"/>
        </w:rPr>
        <w:t>refined</w:t>
      </w:r>
      <w:r w:rsidR="00126612" w:rsidRPr="009B5734">
        <w:rPr>
          <w:rFonts w:ascii="Times New Roman" w:hAnsi="Times New Roman"/>
          <w:noProof/>
          <w:sz w:val="24"/>
        </w:rPr>
        <w:t xml:space="preserve">. Rather than focusing on the legal technique – which was the main differentiating factor in the </w:t>
      </w:r>
      <w:r w:rsidR="00F06F88" w:rsidRPr="009B5734">
        <w:rPr>
          <w:rFonts w:ascii="Times New Roman" w:hAnsi="Times New Roman"/>
          <w:noProof/>
          <w:sz w:val="24"/>
        </w:rPr>
        <w:t>three</w:t>
      </w:r>
      <w:r w:rsidR="008D5DBF" w:rsidRPr="009B5734">
        <w:rPr>
          <w:rFonts w:ascii="Times New Roman" w:hAnsi="Times New Roman"/>
          <w:noProof/>
          <w:sz w:val="24"/>
        </w:rPr>
        <w:t xml:space="preserve"> </w:t>
      </w:r>
      <w:r w:rsidR="00126612" w:rsidRPr="009B5734">
        <w:rPr>
          <w:rFonts w:ascii="Times New Roman" w:hAnsi="Times New Roman"/>
          <w:noProof/>
          <w:sz w:val="24"/>
        </w:rPr>
        <w:t xml:space="preserve">options outlined in the IIA – the options outlined in this Impact Assessment focus on </w:t>
      </w:r>
      <w:r w:rsidR="008D5DBF" w:rsidRPr="009B5734">
        <w:rPr>
          <w:rFonts w:ascii="Times New Roman" w:hAnsi="Times New Roman"/>
          <w:noProof/>
          <w:sz w:val="24"/>
        </w:rPr>
        <w:t xml:space="preserve">policy solutions for </w:t>
      </w:r>
      <w:r w:rsidR="00126612" w:rsidRPr="009B5734">
        <w:rPr>
          <w:rFonts w:ascii="Times New Roman" w:hAnsi="Times New Roman"/>
          <w:noProof/>
          <w:sz w:val="24"/>
        </w:rPr>
        <w:t>each</w:t>
      </w:r>
      <w:r w:rsidR="008D5DBF" w:rsidRPr="009B5734">
        <w:rPr>
          <w:rFonts w:ascii="Times New Roman" w:hAnsi="Times New Roman"/>
          <w:noProof/>
          <w:sz w:val="24"/>
        </w:rPr>
        <w:t xml:space="preserve"> of the</w:t>
      </w:r>
      <w:r w:rsidR="00126612" w:rsidRPr="009B5734">
        <w:rPr>
          <w:rFonts w:ascii="Times New Roman" w:hAnsi="Times New Roman"/>
          <w:noProof/>
          <w:sz w:val="24"/>
        </w:rPr>
        <w:t xml:space="preserve"> individual sub-problems</w:t>
      </w:r>
      <w:r w:rsidR="008D5DBF" w:rsidRPr="009B5734">
        <w:rPr>
          <w:rFonts w:ascii="Times New Roman" w:hAnsi="Times New Roman"/>
          <w:noProof/>
          <w:sz w:val="24"/>
        </w:rPr>
        <w:t xml:space="preserve"> identified</w:t>
      </w:r>
      <w:r w:rsidR="00126612" w:rsidRPr="009B5734">
        <w:rPr>
          <w:rFonts w:ascii="Times New Roman" w:hAnsi="Times New Roman"/>
          <w:noProof/>
          <w:sz w:val="24"/>
        </w:rPr>
        <w:t xml:space="preserve">. Such an approach also allows </w:t>
      </w:r>
      <w:r w:rsidR="00F94F37" w:rsidRPr="009B5734">
        <w:rPr>
          <w:rFonts w:ascii="Times New Roman" w:hAnsi="Times New Roman"/>
          <w:noProof/>
          <w:sz w:val="24"/>
        </w:rPr>
        <w:t>to ensure</w:t>
      </w:r>
      <w:r w:rsidR="00126612" w:rsidRPr="009B5734">
        <w:rPr>
          <w:rFonts w:ascii="Times New Roman" w:hAnsi="Times New Roman"/>
          <w:noProof/>
          <w:sz w:val="24"/>
        </w:rPr>
        <w:t xml:space="preserve"> complementarity with the ongoing work on the Green Claims and SPI initiatives referenced in </w:t>
      </w:r>
      <w:hyperlink w:anchor="_What_is_the" w:history="1">
        <w:r w:rsidR="00126612" w:rsidRPr="009B5734">
          <w:rPr>
            <w:rStyle w:val="Hyperlink"/>
            <w:rFonts w:ascii="Times New Roman" w:hAnsi="Times New Roman"/>
            <w:noProof/>
            <w:sz w:val="24"/>
          </w:rPr>
          <w:t xml:space="preserve">section </w:t>
        </w:r>
        <w:r w:rsidR="004001A0" w:rsidRPr="009B5734">
          <w:rPr>
            <w:rStyle w:val="Hyperlink"/>
            <w:rFonts w:ascii="Times New Roman" w:hAnsi="Times New Roman"/>
            <w:noProof/>
            <w:sz w:val="24"/>
          </w:rPr>
          <w:t>5.1</w:t>
        </w:r>
      </w:hyperlink>
      <w:r w:rsidR="00126612" w:rsidRPr="009B5734">
        <w:rPr>
          <w:rFonts w:ascii="Times New Roman" w:hAnsi="Times New Roman"/>
          <w:noProof/>
          <w:sz w:val="24"/>
        </w:rPr>
        <w:t xml:space="preserve">. </w:t>
      </w:r>
      <w:r w:rsidR="004001A0" w:rsidRPr="009B5734">
        <w:rPr>
          <w:rFonts w:ascii="Times New Roman" w:hAnsi="Times New Roman"/>
          <w:noProof/>
          <w:sz w:val="24"/>
        </w:rPr>
        <w:t>This complementarity</w:t>
      </w:r>
      <w:r w:rsidR="00F06F88" w:rsidRPr="009B5734">
        <w:rPr>
          <w:rFonts w:ascii="Times New Roman" w:hAnsi="Times New Roman"/>
          <w:noProof/>
          <w:sz w:val="24"/>
        </w:rPr>
        <w:t xml:space="preserve"> </w:t>
      </w:r>
      <w:r w:rsidR="004001A0" w:rsidRPr="009B5734">
        <w:rPr>
          <w:rFonts w:ascii="Times New Roman" w:hAnsi="Times New Roman"/>
          <w:noProof/>
          <w:sz w:val="24"/>
        </w:rPr>
        <w:t xml:space="preserve">is further outlined </w:t>
      </w:r>
      <w:r w:rsidR="00C868CC" w:rsidRPr="009B5734">
        <w:rPr>
          <w:rFonts w:ascii="Times New Roman" w:hAnsi="Times New Roman"/>
          <w:noProof/>
          <w:sz w:val="24"/>
        </w:rPr>
        <w:t>below</w:t>
      </w:r>
      <w:r w:rsidR="004001A0" w:rsidRPr="009B5734">
        <w:rPr>
          <w:rFonts w:ascii="Times New Roman" w:hAnsi="Times New Roman"/>
          <w:noProof/>
          <w:sz w:val="24"/>
        </w:rPr>
        <w:t xml:space="preserve"> in the description of the </w:t>
      </w:r>
      <w:r w:rsidR="00C868CC" w:rsidRPr="009B5734">
        <w:rPr>
          <w:rFonts w:ascii="Times New Roman" w:hAnsi="Times New Roman"/>
          <w:noProof/>
          <w:sz w:val="24"/>
        </w:rPr>
        <w:t xml:space="preserve">baseline from which each of the </w:t>
      </w:r>
      <w:r w:rsidR="004001A0" w:rsidRPr="009B5734">
        <w:rPr>
          <w:rFonts w:ascii="Times New Roman" w:hAnsi="Times New Roman"/>
          <w:noProof/>
          <w:sz w:val="24"/>
        </w:rPr>
        <w:t xml:space="preserve">options presented </w:t>
      </w:r>
      <w:r w:rsidR="00C868CC" w:rsidRPr="009B5734">
        <w:rPr>
          <w:rFonts w:ascii="Times New Roman" w:hAnsi="Times New Roman"/>
          <w:noProof/>
          <w:sz w:val="24"/>
        </w:rPr>
        <w:t>are assessed.</w:t>
      </w:r>
      <w:r w:rsidR="00BB0569" w:rsidRPr="009B5734">
        <w:rPr>
          <w:rFonts w:ascii="Times New Roman" w:hAnsi="Times New Roman"/>
          <w:noProof/>
          <w:sz w:val="24"/>
        </w:rPr>
        <w:t xml:space="preserve"> For a number of sub-problems identified, options were discarded at an early stage and are not presented in the tables below. These discarded options are presented in </w:t>
      </w:r>
      <w:hyperlink w:anchor="_Annex_11:_Options_1" w:history="1">
        <w:r w:rsidR="00BB0569" w:rsidRPr="009B5734">
          <w:rPr>
            <w:rStyle w:val="Hyperlink"/>
            <w:rFonts w:ascii="Times New Roman" w:hAnsi="Times New Roman"/>
            <w:noProof/>
            <w:sz w:val="24"/>
          </w:rPr>
          <w:t>Annex 11</w:t>
        </w:r>
      </w:hyperlink>
      <w:r w:rsidR="00BB0569" w:rsidRPr="009B5734">
        <w:rPr>
          <w:rFonts w:ascii="Times New Roman" w:hAnsi="Times New Roman"/>
          <w:noProof/>
          <w:sz w:val="24"/>
        </w:rPr>
        <w:t>.</w:t>
      </w:r>
    </w:p>
    <w:p w:rsidR="00764C43" w:rsidRPr="009B5734" w:rsidRDefault="00764C43" w:rsidP="003C39C2">
      <w:pPr>
        <w:spacing w:after="160"/>
        <w:ind w:left="0" w:firstLine="0"/>
        <w:rPr>
          <w:rFonts w:ascii="Times New Roman" w:eastAsia="Calibri" w:hAnsi="Times New Roman" w:cs="Times New Roman"/>
          <w:noProof/>
          <w:sz w:val="24"/>
          <w:szCs w:val="24"/>
        </w:rPr>
      </w:pPr>
      <w:r w:rsidRPr="44230C38">
        <w:rPr>
          <w:rFonts w:ascii="Times New Roman" w:hAnsi="Times New Roman"/>
          <w:noProof/>
          <w:sz w:val="24"/>
          <w:szCs w:val="24"/>
        </w:rPr>
        <w:t xml:space="preserve">Regarding the </w:t>
      </w:r>
      <w:r w:rsidRPr="00946905">
        <w:rPr>
          <w:rFonts w:ascii="Times New Roman" w:hAnsi="Times New Roman"/>
          <w:b/>
          <w:noProof/>
          <w:sz w:val="24"/>
          <w:szCs w:val="24"/>
        </w:rPr>
        <w:t>product scope</w:t>
      </w:r>
      <w:r w:rsidRPr="007E4C5D">
        <w:rPr>
          <w:rFonts w:ascii="Times New Roman" w:hAnsi="Times New Roman"/>
          <w:noProof/>
          <w:sz w:val="24"/>
          <w:szCs w:val="24"/>
        </w:rPr>
        <w:t xml:space="preserve"> analysed for </w:t>
      </w:r>
      <w:r w:rsidRPr="00946905">
        <w:rPr>
          <w:rFonts w:ascii="Times New Roman" w:hAnsi="Times New Roman"/>
          <w:b/>
          <w:noProof/>
          <w:sz w:val="24"/>
          <w:szCs w:val="24"/>
        </w:rPr>
        <w:t>Problem 1</w:t>
      </w:r>
      <w:r w:rsidRPr="44230C38">
        <w:rPr>
          <w:rFonts w:ascii="Times New Roman" w:hAnsi="Times New Roman"/>
          <w:noProof/>
          <w:sz w:val="24"/>
          <w:szCs w:val="24"/>
        </w:rPr>
        <w:t xml:space="preserve"> (Consumers lack reliable information </w:t>
      </w:r>
      <w:r w:rsidR="003A1412">
        <w:rPr>
          <w:rFonts w:ascii="Times New Roman" w:hAnsi="Times New Roman"/>
          <w:noProof/>
          <w:sz w:val="24"/>
          <w:szCs w:val="24"/>
        </w:rPr>
        <w:t>at the point of sale to make environmentally</w:t>
      </w:r>
      <w:r w:rsidRPr="44230C38">
        <w:rPr>
          <w:rFonts w:ascii="Times New Roman" w:hAnsi="Times New Roman"/>
          <w:noProof/>
          <w:sz w:val="24"/>
          <w:szCs w:val="24"/>
        </w:rPr>
        <w:t xml:space="preserve"> sustainable </w:t>
      </w:r>
      <w:r w:rsidR="003A1412">
        <w:rPr>
          <w:rFonts w:ascii="Times New Roman" w:hAnsi="Times New Roman"/>
          <w:noProof/>
          <w:sz w:val="24"/>
          <w:szCs w:val="24"/>
        </w:rPr>
        <w:t>consumption choices</w:t>
      </w:r>
      <w:r w:rsidRPr="44230C38">
        <w:rPr>
          <w:rFonts w:ascii="Times New Roman" w:hAnsi="Times New Roman"/>
          <w:noProof/>
          <w:sz w:val="24"/>
          <w:szCs w:val="24"/>
        </w:rPr>
        <w:t xml:space="preserve">), </w:t>
      </w:r>
      <w:r w:rsidR="00B2440C" w:rsidRPr="44230C38">
        <w:rPr>
          <w:rFonts w:ascii="Times New Roman" w:hAnsi="Times New Roman"/>
          <w:noProof/>
          <w:sz w:val="24"/>
          <w:szCs w:val="24"/>
        </w:rPr>
        <w:t xml:space="preserve">four different potential product scopes were considered. These were </w:t>
      </w:r>
      <w:r w:rsidR="00B2440C" w:rsidRPr="00946905">
        <w:rPr>
          <w:rFonts w:ascii="Times New Roman" w:hAnsi="Times New Roman"/>
          <w:b/>
          <w:bCs/>
          <w:noProof/>
          <w:sz w:val="24"/>
          <w:szCs w:val="24"/>
        </w:rPr>
        <w:t>narrow product scope</w:t>
      </w:r>
      <w:r w:rsidR="00B2440C" w:rsidRPr="44230C38">
        <w:rPr>
          <w:rFonts w:ascii="Times New Roman" w:hAnsi="Times New Roman"/>
          <w:noProof/>
          <w:sz w:val="24"/>
          <w:szCs w:val="24"/>
        </w:rPr>
        <w:t xml:space="preserve"> (i.e. all goods with digital content), </w:t>
      </w:r>
      <w:r w:rsidR="00B2440C" w:rsidRPr="00946905">
        <w:rPr>
          <w:rFonts w:ascii="Times New Roman" w:hAnsi="Times New Roman"/>
          <w:b/>
          <w:bCs/>
          <w:noProof/>
          <w:sz w:val="24"/>
          <w:szCs w:val="24"/>
        </w:rPr>
        <w:t>medium product scope</w:t>
      </w:r>
      <w:r w:rsidR="00B2440C" w:rsidRPr="44230C38">
        <w:rPr>
          <w:rFonts w:ascii="Times New Roman" w:hAnsi="Times New Roman"/>
          <w:noProof/>
          <w:sz w:val="24"/>
          <w:szCs w:val="24"/>
        </w:rPr>
        <w:t xml:space="preserve"> (i.e. all energy-using goods), </w:t>
      </w:r>
      <w:r w:rsidR="00B2440C" w:rsidRPr="00946905">
        <w:rPr>
          <w:rFonts w:ascii="Times New Roman" w:hAnsi="Times New Roman"/>
          <w:b/>
          <w:bCs/>
          <w:noProof/>
          <w:sz w:val="24"/>
          <w:szCs w:val="24"/>
        </w:rPr>
        <w:t>wide product scope</w:t>
      </w:r>
      <w:r w:rsidR="00B2440C" w:rsidRPr="44230C38">
        <w:rPr>
          <w:rFonts w:ascii="Times New Roman" w:hAnsi="Times New Roman"/>
          <w:noProof/>
          <w:sz w:val="24"/>
          <w:szCs w:val="24"/>
        </w:rPr>
        <w:t xml:space="preserve"> (i.e. all goods with assembled parts that move relative to one another, e.g., most furniture, some suitcases, some non-energy using toys, bicycles, </w:t>
      </w:r>
      <w:r w:rsidR="009B5734" w:rsidRPr="44230C38">
        <w:rPr>
          <w:rFonts w:ascii="Times New Roman" w:hAnsi="Times New Roman"/>
          <w:noProof/>
          <w:sz w:val="24"/>
          <w:szCs w:val="24"/>
        </w:rPr>
        <w:t>etc.</w:t>
      </w:r>
      <w:r w:rsidR="00B2440C" w:rsidRPr="44230C38">
        <w:rPr>
          <w:rFonts w:ascii="Times New Roman" w:hAnsi="Times New Roman"/>
          <w:noProof/>
          <w:sz w:val="24"/>
          <w:szCs w:val="24"/>
        </w:rPr>
        <w:t xml:space="preserve">), and </w:t>
      </w:r>
      <w:r w:rsidR="00B2440C" w:rsidRPr="00946905">
        <w:rPr>
          <w:rFonts w:ascii="Times New Roman" w:hAnsi="Times New Roman"/>
          <w:b/>
          <w:bCs/>
          <w:noProof/>
          <w:sz w:val="24"/>
          <w:szCs w:val="24"/>
        </w:rPr>
        <w:t>very wide product scope</w:t>
      </w:r>
      <w:r w:rsidR="00B2440C" w:rsidRPr="44230C38">
        <w:rPr>
          <w:rFonts w:ascii="Times New Roman" w:hAnsi="Times New Roman"/>
          <w:noProof/>
          <w:sz w:val="24"/>
          <w:szCs w:val="24"/>
        </w:rPr>
        <w:t xml:space="preserve"> (i.e. all consumer goods except consumables and fast moving ones, e.g. cloths, pans, bed linen). </w:t>
      </w:r>
      <w:r w:rsidR="00B2440C" w:rsidRPr="009B5734">
        <w:rPr>
          <w:rFonts w:ascii="Times New Roman" w:eastAsia="Calibri" w:hAnsi="Times New Roman" w:cs="Times New Roman"/>
          <w:noProof/>
          <w:sz w:val="24"/>
          <w:szCs w:val="24"/>
        </w:rPr>
        <w:t>E</w:t>
      </w:r>
      <w:r w:rsidRPr="009B5734">
        <w:rPr>
          <w:rFonts w:ascii="Times New Roman" w:eastAsia="Calibri" w:hAnsi="Times New Roman" w:cs="Times New Roman"/>
          <w:noProof/>
          <w:sz w:val="24"/>
          <w:szCs w:val="24"/>
        </w:rPr>
        <w:t xml:space="preserve">vidence regarding the existence of </w:t>
      </w:r>
      <w:r w:rsidR="0096316E" w:rsidRPr="009B5734">
        <w:rPr>
          <w:rFonts w:ascii="Times New Roman" w:eastAsia="Calibri" w:hAnsi="Times New Roman" w:cs="Times New Roman"/>
          <w:noProof/>
          <w:sz w:val="24"/>
          <w:szCs w:val="24"/>
        </w:rPr>
        <w:t>the problem</w:t>
      </w:r>
      <w:r w:rsidRPr="009B5734">
        <w:rPr>
          <w:rFonts w:ascii="Times New Roman" w:eastAsia="Calibri" w:hAnsi="Times New Roman" w:cs="Times New Roman"/>
          <w:noProof/>
          <w:sz w:val="24"/>
          <w:szCs w:val="24"/>
        </w:rPr>
        <w:t xml:space="preserve"> of limited durability and reparability, consumer expectations </w:t>
      </w:r>
      <w:r w:rsidR="00EF3B28" w:rsidRPr="009B5734">
        <w:rPr>
          <w:rFonts w:ascii="Times New Roman" w:eastAsia="Calibri" w:hAnsi="Times New Roman" w:cs="Times New Roman"/>
          <w:noProof/>
          <w:sz w:val="24"/>
          <w:szCs w:val="24"/>
        </w:rPr>
        <w:t xml:space="preserve">concerning the </w:t>
      </w:r>
      <w:r w:rsidRPr="009B5734">
        <w:rPr>
          <w:rFonts w:ascii="Times New Roman" w:eastAsia="Calibri" w:hAnsi="Times New Roman" w:cs="Times New Roman"/>
          <w:noProof/>
          <w:sz w:val="24"/>
          <w:szCs w:val="24"/>
        </w:rPr>
        <w:t xml:space="preserve">durability and reparability of goods (beyond the legal guarantee period), and consumer interest </w:t>
      </w:r>
      <w:r w:rsidRPr="009B5734">
        <w:rPr>
          <w:rFonts w:ascii="Times New Roman" w:eastAsia="Times New Roman" w:hAnsi="Times New Roman" w:cs="Times New Roman"/>
          <w:noProof/>
          <w:sz w:val="24"/>
          <w:szCs w:val="24"/>
          <w:lang w:eastAsia="en-GB"/>
        </w:rPr>
        <w:t xml:space="preserve">in receiving information on </w:t>
      </w:r>
      <w:r w:rsidR="0096316E" w:rsidRPr="009B5734">
        <w:rPr>
          <w:rFonts w:ascii="Times New Roman" w:eastAsia="Times New Roman" w:hAnsi="Times New Roman" w:cs="Times New Roman"/>
          <w:noProof/>
          <w:sz w:val="24"/>
          <w:szCs w:val="24"/>
          <w:lang w:eastAsia="en-GB"/>
        </w:rPr>
        <w:t>these aspects</w:t>
      </w:r>
      <w:r w:rsidRPr="009B5734">
        <w:rPr>
          <w:rFonts w:ascii="Times New Roman" w:eastAsia="Times New Roman" w:hAnsi="Times New Roman" w:cs="Times New Roman"/>
          <w:noProof/>
          <w:sz w:val="24"/>
          <w:szCs w:val="24"/>
          <w:lang w:eastAsia="en-GB"/>
        </w:rPr>
        <w:t>,</w:t>
      </w:r>
      <w:r w:rsidRPr="009B5734">
        <w:rPr>
          <w:rFonts w:ascii="Times New Roman" w:eastAsia="Calibri" w:hAnsi="Times New Roman" w:cs="Times New Roman"/>
          <w:noProof/>
          <w:sz w:val="24"/>
          <w:szCs w:val="24"/>
        </w:rPr>
        <w:t xml:space="preserve"> is mostly available for the </w:t>
      </w:r>
      <w:r w:rsidRPr="7F52AB9A">
        <w:rPr>
          <w:rFonts w:ascii="Times New Roman" w:eastAsia="Calibri" w:hAnsi="Times New Roman" w:cs="Times New Roman"/>
          <w:b/>
          <w:bCs/>
          <w:noProof/>
          <w:sz w:val="24"/>
          <w:szCs w:val="24"/>
        </w:rPr>
        <w:t>medium product scope</w:t>
      </w:r>
      <w:r w:rsidRPr="009B5734">
        <w:rPr>
          <w:rFonts w:ascii="Times New Roman" w:eastAsia="Calibri" w:hAnsi="Times New Roman" w:cs="Times New Roman"/>
          <w:noProof/>
          <w:sz w:val="24"/>
          <w:szCs w:val="24"/>
        </w:rPr>
        <w:t xml:space="preserve"> (i.e. energy</w:t>
      </w:r>
      <w:r w:rsidR="005B6C26">
        <w:rPr>
          <w:rFonts w:ascii="Times New Roman" w:eastAsia="Calibri" w:hAnsi="Times New Roman" w:cs="Times New Roman"/>
          <w:noProof/>
          <w:sz w:val="24"/>
          <w:szCs w:val="24"/>
        </w:rPr>
        <w:t>-</w:t>
      </w:r>
      <w:r w:rsidRPr="009B5734">
        <w:rPr>
          <w:rFonts w:ascii="Times New Roman" w:eastAsia="Calibri" w:hAnsi="Times New Roman" w:cs="Times New Roman"/>
          <w:noProof/>
          <w:sz w:val="24"/>
          <w:szCs w:val="24"/>
        </w:rPr>
        <w:t xml:space="preserve">using products); for the remaining types of products </w:t>
      </w:r>
      <w:r w:rsidR="00D77939" w:rsidRPr="009B5734">
        <w:rPr>
          <w:rFonts w:ascii="Times New Roman" w:eastAsia="Calibri" w:hAnsi="Times New Roman" w:cs="Times New Roman"/>
          <w:noProof/>
          <w:sz w:val="24"/>
          <w:szCs w:val="24"/>
        </w:rPr>
        <w:t xml:space="preserve">far less evidence is available. </w:t>
      </w:r>
      <w:r w:rsidRPr="009B5734">
        <w:rPr>
          <w:rFonts w:ascii="Times New Roman" w:eastAsia="Calibri" w:hAnsi="Times New Roman" w:cs="Times New Roman"/>
          <w:noProof/>
          <w:sz w:val="24"/>
          <w:szCs w:val="24"/>
        </w:rPr>
        <w:t xml:space="preserve">Furthermore, the availability of evidence can be considered a proxy for the size of the problem (and of the expected benefits if addressed) for the various product groups as it is reasonable to expect that research tends to focus on the most relevant problems/product categories. For this reason, while the available evidence allows for robust conclusions on the benefits of possible measures (to address sub-problem 1.2 and sub-problem 1.3) for the medium product scope, it is insufficient to soundly confirm them for a wider product scope. A detailed analysis of this assessment can be found in </w:t>
      </w:r>
      <w:hyperlink w:anchor="_Annex_13:_Analysis" w:history="1">
        <w:r w:rsidRPr="009B5734">
          <w:rPr>
            <w:rStyle w:val="Hyperlink"/>
            <w:rFonts w:ascii="Times New Roman" w:eastAsia="Calibri" w:hAnsi="Times New Roman" w:cs="Times New Roman"/>
            <w:noProof/>
            <w:sz w:val="24"/>
            <w:szCs w:val="24"/>
          </w:rPr>
          <w:t>Annex 13</w:t>
        </w:r>
      </w:hyperlink>
      <w:r w:rsidRPr="009B5734">
        <w:rPr>
          <w:rFonts w:ascii="Times New Roman" w:eastAsia="Calibri" w:hAnsi="Times New Roman" w:cs="Times New Roman"/>
          <w:noProof/>
          <w:sz w:val="24"/>
          <w:szCs w:val="24"/>
        </w:rPr>
        <w:t>.</w:t>
      </w:r>
      <w:r w:rsidR="00EF3B28" w:rsidRPr="009B5734">
        <w:rPr>
          <w:rFonts w:ascii="Times New Roman" w:eastAsia="Calibri" w:hAnsi="Times New Roman" w:cs="Times New Roman"/>
          <w:noProof/>
          <w:sz w:val="24"/>
          <w:szCs w:val="24"/>
        </w:rPr>
        <w:t xml:space="preserve"> Concerning option 1.3.E in particular, </w:t>
      </w:r>
      <w:r w:rsidR="00EF3B28" w:rsidRPr="00111BFE">
        <w:rPr>
          <w:rFonts w:ascii="Times New Roman" w:eastAsia="Calibri" w:hAnsi="Times New Roman" w:cs="Times New Roman"/>
          <w:b/>
          <w:bCs/>
          <w:noProof/>
          <w:sz w:val="24"/>
          <w:szCs w:val="24"/>
        </w:rPr>
        <w:t>no product scope</w:t>
      </w:r>
      <w:r w:rsidR="00EF3B28" w:rsidRPr="009B5734">
        <w:rPr>
          <w:rFonts w:ascii="Times New Roman" w:eastAsia="Calibri" w:hAnsi="Times New Roman" w:cs="Times New Roman"/>
          <w:noProof/>
          <w:sz w:val="24"/>
          <w:szCs w:val="24"/>
        </w:rPr>
        <w:t xml:space="preserve"> was defined as this option is designed to apply wherever the information in question is made available by the manufacturer or required to be made available under applicable EU or national law, regardless of the product in question.</w:t>
      </w:r>
    </w:p>
    <w:p w:rsidR="00764C43" w:rsidRPr="009B5734" w:rsidRDefault="00764C43" w:rsidP="003C39C2">
      <w:pPr>
        <w:spacing w:after="160"/>
        <w:ind w:left="0" w:firstLine="0"/>
        <w:rPr>
          <w:rFonts w:ascii="Times New Roman" w:eastAsia="Calibri" w:hAnsi="Times New Roman" w:cs="Times New Roman"/>
          <w:noProof/>
          <w:sz w:val="24"/>
          <w:szCs w:val="24"/>
        </w:rPr>
      </w:pPr>
      <w:r w:rsidRPr="009B5734">
        <w:rPr>
          <w:rFonts w:ascii="Times New Roman" w:eastAsia="Calibri" w:hAnsi="Times New Roman" w:cs="Times New Roman"/>
          <w:noProof/>
          <w:sz w:val="24"/>
          <w:szCs w:val="24"/>
        </w:rPr>
        <w:t xml:space="preserve">As regards </w:t>
      </w:r>
      <w:r w:rsidRPr="009B5734">
        <w:rPr>
          <w:rFonts w:ascii="Times New Roman" w:eastAsia="Calibri" w:hAnsi="Times New Roman" w:cs="Times New Roman"/>
          <w:b/>
          <w:noProof/>
          <w:sz w:val="24"/>
          <w:szCs w:val="24"/>
        </w:rPr>
        <w:t>Problem 2</w:t>
      </w:r>
      <w:r w:rsidRPr="009B5734">
        <w:rPr>
          <w:rFonts w:ascii="Times New Roman" w:eastAsia="Calibri" w:hAnsi="Times New Roman" w:cs="Times New Roman"/>
          <w:noProof/>
          <w:sz w:val="24"/>
          <w:szCs w:val="24"/>
        </w:rPr>
        <w:t xml:space="preserve"> (Consumers face misleading commercial practices </w:t>
      </w:r>
      <w:r w:rsidR="0080633B">
        <w:rPr>
          <w:rFonts w:ascii="Times New Roman" w:eastAsia="Calibri" w:hAnsi="Times New Roman" w:cs="Times New Roman"/>
          <w:noProof/>
          <w:sz w:val="24"/>
          <w:szCs w:val="24"/>
        </w:rPr>
        <w:t>related</w:t>
      </w:r>
      <w:r w:rsidRPr="009B5734">
        <w:rPr>
          <w:rFonts w:ascii="Times New Roman" w:eastAsia="Calibri" w:hAnsi="Times New Roman" w:cs="Times New Roman"/>
          <w:noProof/>
          <w:sz w:val="24"/>
          <w:szCs w:val="24"/>
        </w:rPr>
        <w:t xml:space="preserve"> to </w:t>
      </w:r>
      <w:r w:rsidR="0080633B">
        <w:rPr>
          <w:rFonts w:ascii="Times New Roman" w:eastAsia="Calibri" w:hAnsi="Times New Roman" w:cs="Times New Roman"/>
          <w:noProof/>
          <w:sz w:val="24"/>
          <w:szCs w:val="24"/>
        </w:rPr>
        <w:t>the sustainability of products</w:t>
      </w:r>
      <w:r w:rsidRPr="009B5734">
        <w:rPr>
          <w:rFonts w:ascii="Times New Roman" w:eastAsia="Calibri" w:hAnsi="Times New Roman" w:cs="Times New Roman"/>
          <w:noProof/>
          <w:sz w:val="24"/>
          <w:szCs w:val="24"/>
        </w:rPr>
        <w:t>), no specific product scope was analysed, as these practices and the options considered to address them apply regardless of product type.</w:t>
      </w:r>
    </w:p>
    <w:p w:rsidR="00004692" w:rsidRDefault="00004692" w:rsidP="008D65D2">
      <w:pPr>
        <w:pStyle w:val="Heading4"/>
        <w:tabs>
          <w:tab w:val="clear" w:pos="1920"/>
        </w:tabs>
        <w:ind w:left="0" w:firstLine="0"/>
        <w:rPr>
          <w:noProof/>
        </w:rPr>
      </w:pPr>
      <w:bookmarkStart w:id="143" w:name="_Toc58149033"/>
      <w:bookmarkStart w:id="144" w:name="_Toc58604066"/>
    </w:p>
    <w:p w:rsidR="002A55F3" w:rsidRPr="008E0AE8" w:rsidRDefault="00B63A7B" w:rsidP="008D65D2">
      <w:pPr>
        <w:spacing w:after="160"/>
        <w:ind w:left="0" w:firstLine="0"/>
        <w:rPr>
          <w:rFonts w:eastAsia="Calibri"/>
          <w:noProof/>
          <w:szCs w:val="24"/>
        </w:rPr>
        <w:sectPr w:rsidR="002A55F3" w:rsidRPr="008E0AE8" w:rsidSect="007A1ADE">
          <w:headerReference w:type="even" r:id="rId37"/>
          <w:headerReference w:type="default" r:id="rId38"/>
          <w:footerReference w:type="even" r:id="rId39"/>
          <w:footerReference w:type="default" r:id="rId40"/>
          <w:headerReference w:type="first" r:id="rId41"/>
          <w:footerReference w:type="first" r:id="rId42"/>
          <w:pgSz w:w="11906" w:h="16838"/>
          <w:pgMar w:top="1417" w:right="1417" w:bottom="1417" w:left="1701" w:header="567" w:footer="340" w:gutter="0"/>
          <w:cols w:space="708"/>
          <w:docGrid w:linePitch="360"/>
        </w:sectPr>
      </w:pPr>
      <w:r w:rsidRPr="008D65D2">
        <w:rPr>
          <w:rFonts w:ascii="Times New Roman" w:eastAsia="Calibri" w:hAnsi="Times New Roman" w:cs="Times New Roman"/>
          <w:noProof/>
          <w:sz w:val="24"/>
          <w:szCs w:val="24"/>
        </w:rPr>
        <w:t xml:space="preserve">In order to facilitate decision-making as regards the preferred combination of policy options, the options considered to address each of the individual sub-problems </w:t>
      </w:r>
      <w:r w:rsidR="00B95C37">
        <w:rPr>
          <w:rFonts w:ascii="Times New Roman" w:eastAsia="Calibri" w:hAnsi="Times New Roman" w:cs="Times New Roman"/>
          <w:noProof/>
          <w:sz w:val="24"/>
          <w:szCs w:val="24"/>
        </w:rPr>
        <w:t xml:space="preserve">under Problem 1 and Problem 2 </w:t>
      </w:r>
      <w:r w:rsidRPr="008D65D2">
        <w:rPr>
          <w:rFonts w:ascii="Times New Roman" w:eastAsia="Calibri" w:hAnsi="Times New Roman" w:cs="Times New Roman"/>
          <w:noProof/>
          <w:sz w:val="24"/>
          <w:szCs w:val="24"/>
        </w:rPr>
        <w:t>are structured in a way that their impacts can be easily compared, and that one preferred policy option can therefore be chosen to address each sub-problem. This allows, for each sub-problem, the option with the most positive impact to be chosen as the preferred policy option. The considerations regarding the delineation of the particular policy options for each individual sub-problem is further specified below for each sub-problem in turn.</w:t>
      </w:r>
    </w:p>
    <w:p w:rsidR="00070481" w:rsidRPr="009B5734" w:rsidRDefault="00A00208" w:rsidP="00A00208">
      <w:pPr>
        <w:pStyle w:val="Heading4"/>
        <w:rPr>
          <w:noProof/>
        </w:rPr>
      </w:pPr>
      <w:r w:rsidRPr="00A00208">
        <w:t>5.2.1.</w:t>
      </w:r>
      <w:r w:rsidRPr="00A00208">
        <w:tab/>
      </w:r>
      <w:r w:rsidR="00652ABF" w:rsidRPr="009B5734">
        <w:rPr>
          <w:noProof/>
        </w:rPr>
        <w:t>Problem 1: Consumer</w:t>
      </w:r>
      <w:r w:rsidR="00FD693D" w:rsidRPr="009B5734">
        <w:rPr>
          <w:noProof/>
        </w:rPr>
        <w:t>s</w:t>
      </w:r>
      <w:r w:rsidR="00652ABF" w:rsidRPr="009B5734">
        <w:rPr>
          <w:noProof/>
        </w:rPr>
        <w:t xml:space="preserve"> lack</w:t>
      </w:r>
      <w:r w:rsidR="00764C43" w:rsidRPr="009B5734">
        <w:rPr>
          <w:noProof/>
        </w:rPr>
        <w:t xml:space="preserve"> reliable</w:t>
      </w:r>
      <w:r w:rsidR="00652ABF" w:rsidRPr="009B5734">
        <w:rPr>
          <w:noProof/>
        </w:rPr>
        <w:t xml:space="preserve"> information </w:t>
      </w:r>
      <w:r w:rsidR="003A1412">
        <w:rPr>
          <w:noProof/>
        </w:rPr>
        <w:t>at the point of sale to make environmentally</w:t>
      </w:r>
      <w:r w:rsidR="00652ABF" w:rsidRPr="009B5734">
        <w:rPr>
          <w:noProof/>
        </w:rPr>
        <w:t xml:space="preserve"> sustainable </w:t>
      </w:r>
      <w:r w:rsidR="003A1412">
        <w:rPr>
          <w:noProof/>
        </w:rPr>
        <w:t>consumption choices</w:t>
      </w:r>
      <w:bookmarkEnd w:id="143"/>
      <w:bookmarkEnd w:id="144"/>
    </w:p>
    <w:p w:rsidR="0081600F" w:rsidRPr="009B5734" w:rsidRDefault="005B01AB" w:rsidP="006F0AB6">
      <w:pPr>
        <w:pStyle w:val="Heading5"/>
        <w:rPr>
          <w:rFonts w:ascii="Times New Roman" w:hAnsi="Times New Roman" w:cs="Times New Roman"/>
          <w:b w:val="0"/>
          <w:i w:val="0"/>
          <w:noProof/>
          <w:sz w:val="24"/>
        </w:rPr>
      </w:pPr>
      <w:bookmarkStart w:id="145" w:name="_Toc58149034"/>
      <w:bookmarkStart w:id="146" w:name="_Toc58222412"/>
      <w:bookmarkStart w:id="147" w:name="_Toc58603207"/>
      <w:bookmarkStart w:id="148" w:name="_Toc58604067"/>
      <w:bookmarkStart w:id="149" w:name="_Toc58605384"/>
      <w:bookmarkStart w:id="150" w:name="_Toc60734023"/>
      <w:r w:rsidRPr="009B5734">
        <w:rPr>
          <w:rFonts w:ascii="Times New Roman" w:hAnsi="Times New Roman" w:cs="Times New Roman"/>
          <w:b w:val="0"/>
          <w:i w:val="0"/>
          <w:noProof/>
          <w:sz w:val="24"/>
        </w:rPr>
        <w:t xml:space="preserve">5.2.1.1. </w:t>
      </w:r>
      <w:r w:rsidR="00652ABF" w:rsidRPr="009B5734">
        <w:rPr>
          <w:rFonts w:ascii="Times New Roman" w:hAnsi="Times New Roman" w:cs="Times New Roman"/>
          <w:b w:val="0"/>
          <w:i w:val="0"/>
          <w:noProof/>
          <w:sz w:val="24"/>
        </w:rPr>
        <w:t>Sub-</w:t>
      </w:r>
      <w:r w:rsidR="00804769" w:rsidRPr="009B5734">
        <w:rPr>
          <w:rFonts w:ascii="Times New Roman" w:hAnsi="Times New Roman" w:cs="Times New Roman"/>
          <w:b w:val="0"/>
          <w:i w:val="0"/>
          <w:noProof/>
          <w:sz w:val="24"/>
        </w:rPr>
        <w:t>p</w:t>
      </w:r>
      <w:r w:rsidR="00652ABF" w:rsidRPr="009B5734">
        <w:rPr>
          <w:rFonts w:ascii="Times New Roman" w:hAnsi="Times New Roman" w:cs="Times New Roman"/>
          <w:b w:val="0"/>
          <w:i w:val="0"/>
          <w:noProof/>
          <w:sz w:val="24"/>
        </w:rPr>
        <w:t xml:space="preserve">roblem 1.1: </w:t>
      </w:r>
      <w:r w:rsidR="00D60C0B" w:rsidRPr="009B5734">
        <w:rPr>
          <w:rFonts w:ascii="Times New Roman" w:hAnsi="Times New Roman" w:cs="Times New Roman"/>
          <w:b w:val="0"/>
          <w:i w:val="0"/>
          <w:noProof/>
          <w:sz w:val="24"/>
        </w:rPr>
        <w:t>Lack of reliable information</w:t>
      </w:r>
      <w:r w:rsidR="00652ABF" w:rsidRPr="009B5734">
        <w:rPr>
          <w:rFonts w:ascii="Times New Roman" w:hAnsi="Times New Roman" w:cs="Times New Roman"/>
          <w:b w:val="0"/>
          <w:i w:val="0"/>
          <w:noProof/>
          <w:sz w:val="24"/>
        </w:rPr>
        <w:t xml:space="preserve"> about products’ environmental characteristics</w:t>
      </w:r>
      <w:bookmarkEnd w:id="145"/>
      <w:bookmarkEnd w:id="146"/>
      <w:bookmarkEnd w:id="147"/>
      <w:bookmarkEnd w:id="148"/>
      <w:bookmarkEnd w:id="149"/>
      <w:bookmarkEnd w:id="150"/>
    </w:p>
    <w:p w:rsidR="00F3194B" w:rsidRPr="009B5734" w:rsidRDefault="00337491" w:rsidP="002E6444">
      <w:pPr>
        <w:pStyle w:val="Text2"/>
        <w:ind w:left="0" w:firstLine="0"/>
        <w:rPr>
          <w:noProof/>
        </w:rPr>
      </w:pPr>
      <w:r w:rsidRPr="009B5734">
        <w:rPr>
          <w:noProof/>
        </w:rPr>
        <w:t>For this sub-problem, a</w:t>
      </w:r>
      <w:r w:rsidR="00F76150" w:rsidRPr="009B5734">
        <w:rPr>
          <w:noProof/>
        </w:rPr>
        <w:t xml:space="preserve"> number of options have been discarded at an early stage, as their added v</w:t>
      </w:r>
      <w:r w:rsidR="00897492" w:rsidRPr="009B5734">
        <w:rPr>
          <w:noProof/>
        </w:rPr>
        <w:t>alue could not be demonstrated</w:t>
      </w:r>
      <w:r w:rsidR="00B95C37">
        <w:rPr>
          <w:noProof/>
        </w:rPr>
        <w:t xml:space="preserve"> if taken via a horizontal consumer law instrument</w:t>
      </w:r>
      <w:r w:rsidR="00897492" w:rsidRPr="009B5734">
        <w:rPr>
          <w:noProof/>
        </w:rPr>
        <w:t xml:space="preserve">. </w:t>
      </w:r>
      <w:r w:rsidR="00674DF4" w:rsidRPr="009B5734">
        <w:rPr>
          <w:noProof/>
        </w:rPr>
        <w:t>These options</w:t>
      </w:r>
      <w:r w:rsidR="00674DF4" w:rsidRPr="009B5734" w:rsidDel="00763B9C">
        <w:rPr>
          <w:noProof/>
        </w:rPr>
        <w:t xml:space="preserve"> </w:t>
      </w:r>
      <w:r w:rsidR="00674DF4" w:rsidRPr="009B5734">
        <w:rPr>
          <w:noProof/>
        </w:rPr>
        <w:t xml:space="preserve">are the following: </w:t>
      </w:r>
      <w:r w:rsidRPr="009B5734">
        <w:rPr>
          <w:noProof/>
        </w:rPr>
        <w:t xml:space="preserve">an </w:t>
      </w:r>
      <w:r w:rsidRPr="009B5734">
        <w:rPr>
          <w:b/>
          <w:noProof/>
        </w:rPr>
        <w:t>o</w:t>
      </w:r>
      <w:r w:rsidR="00674DF4" w:rsidRPr="009B5734">
        <w:rPr>
          <w:b/>
          <w:noProof/>
        </w:rPr>
        <w:t>bligation to inform on product’s environmental characteristics for all consumer products (goods and services)</w:t>
      </w:r>
      <w:r w:rsidR="00674DF4" w:rsidRPr="009B5734">
        <w:rPr>
          <w:noProof/>
        </w:rPr>
        <w:t xml:space="preserve">, </w:t>
      </w:r>
      <w:r w:rsidRPr="009B5734">
        <w:rPr>
          <w:noProof/>
        </w:rPr>
        <w:t xml:space="preserve">an </w:t>
      </w:r>
      <w:r w:rsidRPr="009B5734">
        <w:rPr>
          <w:b/>
          <w:noProof/>
        </w:rPr>
        <w:t>o</w:t>
      </w:r>
      <w:r w:rsidR="00674DF4" w:rsidRPr="009B5734">
        <w:rPr>
          <w:b/>
          <w:noProof/>
        </w:rPr>
        <w:t>bligation to warn on products with high negative impacts on the environment</w:t>
      </w:r>
      <w:r w:rsidR="00674DF4" w:rsidRPr="009B5734">
        <w:rPr>
          <w:noProof/>
        </w:rPr>
        <w:t xml:space="preserve">, </w:t>
      </w:r>
      <w:r w:rsidRPr="009B5734">
        <w:rPr>
          <w:noProof/>
        </w:rPr>
        <w:t xml:space="preserve">an </w:t>
      </w:r>
      <w:r w:rsidRPr="009B5734">
        <w:rPr>
          <w:b/>
          <w:noProof/>
        </w:rPr>
        <w:t>o</w:t>
      </w:r>
      <w:r w:rsidR="00674DF4" w:rsidRPr="009B5734">
        <w:rPr>
          <w:b/>
          <w:noProof/>
        </w:rPr>
        <w:t>bligation to warn when there is “no proof” of good environmental performance of the product</w:t>
      </w:r>
      <w:r w:rsidRPr="009B5734">
        <w:rPr>
          <w:noProof/>
        </w:rPr>
        <w:t xml:space="preserve">, and an </w:t>
      </w:r>
      <w:r w:rsidRPr="009B5734">
        <w:rPr>
          <w:b/>
          <w:noProof/>
        </w:rPr>
        <w:t>o</w:t>
      </w:r>
      <w:r w:rsidR="00674DF4" w:rsidRPr="009B5734">
        <w:rPr>
          <w:b/>
          <w:noProof/>
        </w:rPr>
        <w:t>bligation to inform on one single key environmental characteristic, i.e. related to climate change</w:t>
      </w:r>
      <w:r w:rsidRPr="009B5734">
        <w:rPr>
          <w:noProof/>
        </w:rPr>
        <w:t xml:space="preserve">. </w:t>
      </w:r>
      <w:r w:rsidR="00FC479E" w:rsidRPr="009B5734">
        <w:rPr>
          <w:noProof/>
        </w:rPr>
        <w:t xml:space="preserve">Further details </w:t>
      </w:r>
      <w:r w:rsidRPr="009B5734">
        <w:rPr>
          <w:noProof/>
        </w:rPr>
        <w:t>of these options and the reasons for discarding them</w:t>
      </w:r>
      <w:r w:rsidR="00FC479E" w:rsidRPr="009B5734">
        <w:rPr>
          <w:noProof/>
        </w:rPr>
        <w:t xml:space="preserve"> is provided in </w:t>
      </w:r>
      <w:hyperlink w:anchor="_Annex_11:_Options_1" w:history="1">
        <w:r w:rsidR="00FC479E" w:rsidRPr="009B5734">
          <w:rPr>
            <w:rStyle w:val="Hyperlink"/>
            <w:noProof/>
          </w:rPr>
          <w:t>Annex 11</w:t>
        </w:r>
      </w:hyperlink>
      <w:r w:rsidR="00FC479E" w:rsidRPr="009B5734">
        <w:rPr>
          <w:noProof/>
        </w:rPr>
        <w:t>.</w:t>
      </w:r>
      <w:r w:rsidR="00781996">
        <w:rPr>
          <w:noProof/>
        </w:rPr>
        <w:t xml:space="preserve"> In general, environmental characteristics of products are always specific to product groups. Depending on the product group, the relevant information on environmental characteristics to be provided at the point of sale differs significantly. For these reasons, it was </w:t>
      </w:r>
      <w:r w:rsidR="00F91447">
        <w:rPr>
          <w:noProof/>
        </w:rPr>
        <w:t>concluded</w:t>
      </w:r>
      <w:r w:rsidR="00781996">
        <w:rPr>
          <w:noProof/>
        </w:rPr>
        <w:t xml:space="preserve"> that a horizontal consumer law instrument would not be the appropriate place to introduce such requirements.</w:t>
      </w:r>
      <w:r w:rsidR="00897492" w:rsidRPr="009B5734">
        <w:rPr>
          <w:noProof/>
        </w:rPr>
        <w:t xml:space="preserve"> </w:t>
      </w:r>
      <w:r w:rsidRPr="009B5734">
        <w:rPr>
          <w:noProof/>
        </w:rPr>
        <w:t xml:space="preserve">Furthermore, the extent of this sub-problem as described in </w:t>
      </w:r>
      <w:hyperlink w:anchor="_Lack_of_reliable" w:history="1">
        <w:r w:rsidRPr="009B5734">
          <w:rPr>
            <w:rStyle w:val="Hyperlink"/>
            <w:noProof/>
          </w:rPr>
          <w:t>section 2.1.1</w:t>
        </w:r>
      </w:hyperlink>
      <w:r w:rsidRPr="009B5734">
        <w:rPr>
          <w:noProof/>
        </w:rPr>
        <w:t xml:space="preserve"> is expected to reduce significantly due to measures taken under the</w:t>
      </w:r>
      <w:r w:rsidR="00DC4EA0">
        <w:rPr>
          <w:noProof/>
        </w:rPr>
        <w:t xml:space="preserve"> </w:t>
      </w:r>
      <w:r w:rsidR="00DC4EA0" w:rsidRPr="00164A6B">
        <w:rPr>
          <w:noProof/>
        </w:rPr>
        <w:t>upcoming</w:t>
      </w:r>
      <w:r w:rsidRPr="009B5734">
        <w:rPr>
          <w:noProof/>
        </w:rPr>
        <w:t xml:space="preserve"> Green Claims Initiative and the SPI initiative. The Green Claims Initiative </w:t>
      </w:r>
      <w:r w:rsidR="00B5786B" w:rsidRPr="00164A6B">
        <w:rPr>
          <w:noProof/>
        </w:rPr>
        <w:t>aims to</w:t>
      </w:r>
      <w:r w:rsidR="00B5786B" w:rsidRPr="009B5734">
        <w:rPr>
          <w:noProof/>
        </w:rPr>
        <w:t xml:space="preserve"> </w:t>
      </w:r>
      <w:r w:rsidRPr="009B5734">
        <w:rPr>
          <w:noProof/>
        </w:rPr>
        <w:t xml:space="preserve">provide a common framework for those companies wishing to provide information on the environmental characteristics of their products. In </w:t>
      </w:r>
      <w:r w:rsidRPr="008D65D2">
        <w:rPr>
          <w:noProof/>
        </w:rPr>
        <w:t>the future, the SPI initiative, future eco-design information requirements and mandatory EU labelling schemes (</w:t>
      </w:r>
      <w:r w:rsidR="00B52DCD" w:rsidRPr="008D65D2">
        <w:rPr>
          <w:noProof/>
        </w:rPr>
        <w:t>e.g.</w:t>
      </w:r>
      <w:r w:rsidR="00781996" w:rsidRPr="008D65D2">
        <w:rPr>
          <w:noProof/>
        </w:rPr>
        <w:t xml:space="preserve"> </w:t>
      </w:r>
      <w:r w:rsidRPr="008D65D2">
        <w:rPr>
          <w:noProof/>
        </w:rPr>
        <w:t>EU energy label) will address this problem by  requiring mandatory information on certain environmental characteristics be provided for various product categories.</w:t>
      </w:r>
      <w:r w:rsidRPr="009B5734">
        <w:rPr>
          <w:noProof/>
        </w:rPr>
        <w:t xml:space="preserve"> </w:t>
      </w:r>
      <w:r w:rsidR="00DD688B">
        <w:rPr>
          <w:noProof/>
        </w:rPr>
        <w:t xml:space="preserve"> </w:t>
      </w:r>
      <w:r w:rsidR="00897492" w:rsidRPr="009B5734">
        <w:rPr>
          <w:noProof/>
        </w:rPr>
        <w:t xml:space="preserve">As a result </w:t>
      </w:r>
      <w:r w:rsidR="00897492" w:rsidRPr="009B5734">
        <w:rPr>
          <w:b/>
          <w:noProof/>
        </w:rPr>
        <w:t>no options will be selected to address this particular sub-problem as part of this Impact Assessment.</w:t>
      </w:r>
    </w:p>
    <w:p w:rsidR="009B5734" w:rsidRDefault="005B01AB" w:rsidP="008D65D2">
      <w:pPr>
        <w:pStyle w:val="Text2"/>
        <w:ind w:left="0" w:firstLine="0"/>
        <w:rPr>
          <w:b/>
          <w:i/>
          <w:noProof/>
        </w:rPr>
      </w:pPr>
      <w:bookmarkStart w:id="151" w:name="_Toc58149035"/>
      <w:bookmarkStart w:id="152" w:name="_Toc58222413"/>
      <w:bookmarkStart w:id="153" w:name="_Toc58603208"/>
      <w:bookmarkStart w:id="154" w:name="_Toc58604068"/>
      <w:bookmarkStart w:id="155" w:name="_Toc58605385"/>
      <w:r w:rsidRPr="009B5734">
        <w:rPr>
          <w:noProof/>
        </w:rPr>
        <w:t xml:space="preserve">5.2.1.2. </w:t>
      </w:r>
      <w:r w:rsidR="00652ABF" w:rsidRPr="009B5734">
        <w:rPr>
          <w:noProof/>
        </w:rPr>
        <w:t>Sub-</w:t>
      </w:r>
      <w:r w:rsidR="00804769" w:rsidRPr="009B5734">
        <w:rPr>
          <w:noProof/>
        </w:rPr>
        <w:t>p</w:t>
      </w:r>
      <w:r w:rsidR="00652ABF" w:rsidRPr="009B5734">
        <w:rPr>
          <w:noProof/>
        </w:rPr>
        <w:t xml:space="preserve">roblem 1.2: </w:t>
      </w:r>
      <w:r w:rsidR="00D60C0B" w:rsidRPr="009B5734">
        <w:rPr>
          <w:noProof/>
        </w:rPr>
        <w:t>Lack of reliable information</w:t>
      </w:r>
      <w:r w:rsidR="00652ABF" w:rsidRPr="009B5734">
        <w:rPr>
          <w:noProof/>
        </w:rPr>
        <w:t xml:space="preserve"> about products’ lifespan</w:t>
      </w:r>
      <w:bookmarkEnd w:id="151"/>
      <w:bookmarkEnd w:id="152"/>
      <w:bookmarkEnd w:id="153"/>
      <w:bookmarkEnd w:id="154"/>
      <w:bookmarkEnd w:id="155"/>
      <w:r w:rsidR="00E23B2B" w:rsidRPr="009B5734">
        <w:rPr>
          <w:b/>
          <w:i/>
          <w:noProof/>
        </w:rPr>
        <w:t xml:space="preserve"> </w:t>
      </w:r>
    </w:p>
    <w:p w:rsidR="00A86D06" w:rsidRDefault="00A86D06" w:rsidP="008D65D2">
      <w:pPr>
        <w:pStyle w:val="Text2"/>
        <w:ind w:left="0" w:firstLine="720"/>
        <w:rPr>
          <w:b/>
          <w:bCs/>
          <w:noProof/>
        </w:rPr>
      </w:pPr>
      <w:r w:rsidRPr="005D24D2">
        <w:rPr>
          <w:b/>
          <w:bCs/>
          <w:noProof/>
        </w:rPr>
        <w:t>What are the options considered in order to address this sub-problem?</w:t>
      </w:r>
    </w:p>
    <w:p w:rsidR="007C7420" w:rsidRPr="008D65D2" w:rsidRDefault="00DA64F4" w:rsidP="00B63A7B">
      <w:pPr>
        <w:pStyle w:val="Text2"/>
        <w:ind w:left="845" w:firstLine="0"/>
        <w:rPr>
          <w:noProof/>
        </w:rPr>
      </w:pPr>
      <w:r>
        <w:rPr>
          <w:bCs/>
          <w:noProof/>
        </w:rPr>
        <w:t>While the</w:t>
      </w:r>
      <w:r w:rsidRPr="008D65D2">
        <w:rPr>
          <w:bCs/>
          <w:noProof/>
        </w:rPr>
        <w:t xml:space="preserve"> three options presented below to</w:t>
      </w:r>
      <w:r>
        <w:rPr>
          <w:bCs/>
          <w:noProof/>
        </w:rPr>
        <w:t xml:space="preserve"> address this sub-problem</w:t>
      </w:r>
      <w:r w:rsidRPr="008D65D2">
        <w:rPr>
          <w:bCs/>
          <w:noProof/>
        </w:rPr>
        <w:t xml:space="preserve"> are not mutually </w:t>
      </w:r>
      <w:r>
        <w:rPr>
          <w:bCs/>
          <w:noProof/>
        </w:rPr>
        <w:t xml:space="preserve">exclusive, they are not considered in combination as this would entail significant duplication of impacts. The purpose of the </w:t>
      </w:r>
      <w:r w:rsidR="007A6D21">
        <w:rPr>
          <w:bCs/>
          <w:noProof/>
        </w:rPr>
        <w:t xml:space="preserve">division into three distinct </w:t>
      </w:r>
      <w:r w:rsidR="00B63A7B">
        <w:rPr>
          <w:bCs/>
          <w:noProof/>
        </w:rPr>
        <w:t xml:space="preserve">policy </w:t>
      </w:r>
      <w:r w:rsidR="007A6D21">
        <w:rPr>
          <w:bCs/>
          <w:noProof/>
        </w:rPr>
        <w:t>options is</w:t>
      </w:r>
      <w:r>
        <w:rPr>
          <w:bCs/>
          <w:noProof/>
        </w:rPr>
        <w:t xml:space="preserve"> to</w:t>
      </w:r>
      <w:r w:rsidR="007A6D21">
        <w:rPr>
          <w:bCs/>
          <w:noProof/>
        </w:rPr>
        <w:t xml:space="preserve"> calculate the impacts of the o</w:t>
      </w:r>
      <w:r>
        <w:rPr>
          <w:bCs/>
          <w:noProof/>
        </w:rPr>
        <w:t>ptions as accurately as possible</w:t>
      </w:r>
      <w:r w:rsidR="00B63A7B">
        <w:rPr>
          <w:bCs/>
          <w:noProof/>
        </w:rPr>
        <w:t>, and thus to facilitate a decision regarding the preferred policy option</w:t>
      </w:r>
      <w:r w:rsidR="007A6D21">
        <w:rPr>
          <w:bCs/>
          <w:noProof/>
        </w:rPr>
        <w:t>.</w:t>
      </w:r>
    </w:p>
    <w:tbl>
      <w:tblPr>
        <w:tblStyle w:val="TableGrid"/>
        <w:tblW w:w="0" w:type="auto"/>
        <w:tblLook w:val="04A0" w:firstRow="1" w:lastRow="0" w:firstColumn="1" w:lastColumn="0" w:noHBand="0" w:noVBand="1"/>
      </w:tblPr>
      <w:tblGrid>
        <w:gridCol w:w="2449"/>
        <w:gridCol w:w="4766"/>
        <w:gridCol w:w="2574"/>
        <w:gridCol w:w="2720"/>
        <w:gridCol w:w="1483"/>
      </w:tblGrid>
      <w:tr w:rsidR="00215F89" w:rsidRPr="009B5734" w:rsidTr="6B053803">
        <w:tc>
          <w:tcPr>
            <w:tcW w:w="2496" w:type="dxa"/>
            <w:shd w:val="clear" w:color="auto" w:fill="9BBB59" w:themeFill="accent3"/>
          </w:tcPr>
          <w:p w:rsidR="00BF25F0" w:rsidRPr="009B5734" w:rsidRDefault="00BF25F0" w:rsidP="00BF25F0">
            <w:pPr>
              <w:pStyle w:val="Text2"/>
              <w:ind w:left="0" w:firstLine="0"/>
              <w:rPr>
                <w:noProof/>
                <w:sz w:val="20"/>
              </w:rPr>
            </w:pPr>
          </w:p>
        </w:tc>
        <w:tc>
          <w:tcPr>
            <w:tcW w:w="4883" w:type="dxa"/>
            <w:shd w:val="clear" w:color="auto" w:fill="9BBB59" w:themeFill="accent3"/>
          </w:tcPr>
          <w:p w:rsidR="00BF25F0" w:rsidRPr="009B5734" w:rsidRDefault="00BF25F0" w:rsidP="00BF25F0">
            <w:pPr>
              <w:pStyle w:val="Text2"/>
              <w:ind w:left="0" w:firstLine="0"/>
              <w:rPr>
                <w:b/>
                <w:noProof/>
                <w:sz w:val="20"/>
              </w:rPr>
            </w:pPr>
            <w:r w:rsidRPr="009B5734">
              <w:rPr>
                <w:b/>
                <w:noProof/>
                <w:sz w:val="20"/>
              </w:rPr>
              <w:t>Description of the option</w:t>
            </w:r>
          </w:p>
        </w:tc>
        <w:tc>
          <w:tcPr>
            <w:tcW w:w="2611" w:type="dxa"/>
            <w:shd w:val="clear" w:color="auto" w:fill="9BBB59" w:themeFill="accent3"/>
          </w:tcPr>
          <w:p w:rsidR="00BF25F0" w:rsidRPr="009B5734" w:rsidRDefault="00BF25F0" w:rsidP="00BF25F0">
            <w:pPr>
              <w:pStyle w:val="Text2"/>
              <w:ind w:left="0" w:firstLine="0"/>
              <w:rPr>
                <w:b/>
                <w:noProof/>
                <w:sz w:val="20"/>
              </w:rPr>
            </w:pPr>
            <w:r w:rsidRPr="009B5734">
              <w:rPr>
                <w:b/>
                <w:noProof/>
                <w:sz w:val="20"/>
              </w:rPr>
              <w:t>Product scope</w:t>
            </w:r>
          </w:p>
        </w:tc>
        <w:tc>
          <w:tcPr>
            <w:tcW w:w="2736" w:type="dxa"/>
            <w:shd w:val="clear" w:color="auto" w:fill="9BBB59" w:themeFill="accent3"/>
          </w:tcPr>
          <w:p w:rsidR="00BF25F0" w:rsidRPr="009B5734" w:rsidRDefault="00BF25F0" w:rsidP="00BF25F0">
            <w:pPr>
              <w:pStyle w:val="Text2"/>
              <w:ind w:left="0" w:firstLine="0"/>
              <w:rPr>
                <w:b/>
                <w:noProof/>
                <w:sz w:val="20"/>
              </w:rPr>
            </w:pPr>
            <w:r w:rsidRPr="009B5734">
              <w:rPr>
                <w:b/>
                <w:noProof/>
                <w:sz w:val="20"/>
              </w:rPr>
              <w:t>Addressees</w:t>
            </w:r>
          </w:p>
        </w:tc>
        <w:tc>
          <w:tcPr>
            <w:tcW w:w="1492" w:type="dxa"/>
            <w:shd w:val="clear" w:color="auto" w:fill="9BBB59" w:themeFill="accent3"/>
          </w:tcPr>
          <w:p w:rsidR="00BF25F0" w:rsidRPr="009B5734" w:rsidRDefault="00BF25F0" w:rsidP="00BF25F0">
            <w:pPr>
              <w:pStyle w:val="Text2"/>
              <w:ind w:left="0" w:firstLine="0"/>
              <w:rPr>
                <w:b/>
                <w:noProof/>
                <w:sz w:val="20"/>
              </w:rPr>
            </w:pPr>
            <w:r w:rsidRPr="009B5734">
              <w:rPr>
                <w:b/>
                <w:noProof/>
                <w:sz w:val="20"/>
              </w:rPr>
              <w:t>Nature of intervention</w:t>
            </w:r>
          </w:p>
        </w:tc>
      </w:tr>
      <w:tr w:rsidR="00BF25F0" w:rsidRPr="009B5734" w:rsidTr="6B053803">
        <w:tc>
          <w:tcPr>
            <w:tcW w:w="2496" w:type="dxa"/>
            <w:shd w:val="clear" w:color="auto" w:fill="auto"/>
          </w:tcPr>
          <w:p w:rsidR="00BF25F0" w:rsidRPr="009B5734" w:rsidRDefault="00BF25F0" w:rsidP="00BF25F0">
            <w:pPr>
              <w:pStyle w:val="Text2"/>
              <w:ind w:left="0" w:firstLine="0"/>
              <w:rPr>
                <w:b/>
                <w:noProof/>
                <w:sz w:val="20"/>
              </w:rPr>
            </w:pPr>
            <w:r w:rsidRPr="009B5734">
              <w:rPr>
                <w:b/>
                <w:noProof/>
                <w:sz w:val="20"/>
              </w:rPr>
              <w:t>Option 1.2.A: Obligation to inform consumers about the expected lifespan of goods</w:t>
            </w:r>
          </w:p>
        </w:tc>
        <w:tc>
          <w:tcPr>
            <w:tcW w:w="4883" w:type="dxa"/>
          </w:tcPr>
          <w:p w:rsidR="00BF25F0" w:rsidRPr="004931D3" w:rsidRDefault="00BF25F0">
            <w:pPr>
              <w:pStyle w:val="Text2"/>
              <w:ind w:left="0" w:firstLine="0"/>
              <w:rPr>
                <w:noProof/>
                <w:sz w:val="20"/>
              </w:rPr>
            </w:pPr>
            <w:r w:rsidRPr="6B053803">
              <w:rPr>
                <w:noProof/>
                <w:sz w:val="20"/>
              </w:rPr>
              <w:t>Inform consumers at the point of sale about the expected/estimated lifespan/durability of goods, in number of years</w:t>
            </w:r>
            <w:r w:rsidRPr="6B053803">
              <w:rPr>
                <w:rStyle w:val="FootnoteReference"/>
                <w:noProof/>
                <w:sz w:val="20"/>
              </w:rPr>
              <w:footnoteReference w:id="92"/>
            </w:r>
            <w:r w:rsidRPr="6B053803">
              <w:rPr>
                <w:noProof/>
                <w:sz w:val="20"/>
              </w:rPr>
              <w:t>,</w:t>
            </w:r>
            <w:r w:rsidRPr="6B053803" w:rsidDel="004314D9">
              <w:rPr>
                <w:noProof/>
                <w:sz w:val="20"/>
              </w:rPr>
              <w:t xml:space="preserve"> </w:t>
            </w:r>
            <w:r w:rsidRPr="6B053803">
              <w:rPr>
                <w:noProof/>
                <w:sz w:val="20"/>
              </w:rPr>
              <w:t xml:space="preserve">number of </w:t>
            </w:r>
            <w:r w:rsidR="004F28C6" w:rsidRPr="6B053803">
              <w:rPr>
                <w:noProof/>
                <w:sz w:val="20"/>
              </w:rPr>
              <w:t xml:space="preserve">working </w:t>
            </w:r>
            <w:r w:rsidRPr="6B053803">
              <w:rPr>
                <w:noProof/>
                <w:sz w:val="20"/>
              </w:rPr>
              <w:t>cycles, other metrics inherent to the good or by means of a “durability index”</w:t>
            </w:r>
            <w:r w:rsidRPr="6B053803">
              <w:rPr>
                <w:rStyle w:val="FootnoteReference"/>
                <w:noProof/>
                <w:sz w:val="20"/>
              </w:rPr>
              <w:footnoteReference w:id="93"/>
            </w:r>
            <w:r w:rsidR="001601B0" w:rsidRPr="6B053803">
              <w:rPr>
                <w:noProof/>
                <w:sz w:val="20"/>
              </w:rPr>
              <w:t>.</w:t>
            </w:r>
            <w:r w:rsidR="00CF0C6D" w:rsidRPr="6B053803">
              <w:rPr>
                <w:noProof/>
                <w:sz w:val="20"/>
              </w:rPr>
              <w:t>When no EU harmonised standards</w:t>
            </w:r>
            <w:r w:rsidR="00CF0C6D" w:rsidRPr="6B053803">
              <w:rPr>
                <w:rStyle w:val="FootnoteReference"/>
                <w:noProof/>
                <w:sz w:val="20"/>
              </w:rPr>
              <w:footnoteReference w:id="94"/>
            </w:r>
            <w:r w:rsidR="00CF0C6D" w:rsidRPr="6B053803">
              <w:rPr>
                <w:noProof/>
                <w:sz w:val="20"/>
              </w:rPr>
              <w:t xml:space="preserve"> exist for the specific good’s category to determine </w:t>
            </w:r>
            <w:r w:rsidR="00CF0C6D" w:rsidRPr="6B053803" w:rsidDel="0022138F">
              <w:rPr>
                <w:noProof/>
                <w:sz w:val="20"/>
              </w:rPr>
              <w:t xml:space="preserve">the </w:t>
            </w:r>
            <w:r w:rsidR="00CF0C6D" w:rsidRPr="6B053803">
              <w:rPr>
                <w:noProof/>
                <w:sz w:val="20"/>
              </w:rPr>
              <w:t xml:space="preserve">expected durability for the good in question (as is already the case for e.g. light bulbs) or until they become available (e.g. to be developed under the future SPI or Ecodesign requirements), producers would be free to decide on the exact method to assess the </w:t>
            </w:r>
            <w:r w:rsidR="0011520C" w:rsidRPr="6B053803">
              <w:rPr>
                <w:noProof/>
                <w:sz w:val="20"/>
              </w:rPr>
              <w:t>expected lifespan of the goods.</w:t>
            </w:r>
          </w:p>
        </w:tc>
        <w:tc>
          <w:tcPr>
            <w:tcW w:w="2611" w:type="dxa"/>
          </w:tcPr>
          <w:p w:rsidR="00BF25F0" w:rsidRPr="009B5734" w:rsidRDefault="0008401C" w:rsidP="00BF25F0">
            <w:pPr>
              <w:pStyle w:val="Text2"/>
              <w:ind w:left="0" w:firstLine="0"/>
              <w:rPr>
                <w:noProof/>
                <w:sz w:val="20"/>
              </w:rPr>
            </w:pPr>
            <w:r w:rsidRPr="009B5734">
              <w:rPr>
                <w:noProof/>
                <w:sz w:val="20"/>
              </w:rPr>
              <w:t>M</w:t>
            </w:r>
            <w:r w:rsidR="00BF25F0" w:rsidRPr="009B5734">
              <w:rPr>
                <w:noProof/>
                <w:sz w:val="20"/>
              </w:rPr>
              <w:t>edium product scope</w:t>
            </w:r>
            <w:r w:rsidR="004209BD" w:rsidRPr="009B5734">
              <w:rPr>
                <w:noProof/>
                <w:sz w:val="20"/>
              </w:rPr>
              <w:t xml:space="preserve"> (</w:t>
            </w:r>
            <w:r w:rsidR="00F56377" w:rsidRPr="009B5734">
              <w:rPr>
                <w:noProof/>
                <w:sz w:val="20"/>
              </w:rPr>
              <w:t xml:space="preserve">i.e. all </w:t>
            </w:r>
            <w:r w:rsidR="004209BD" w:rsidRPr="009B5734">
              <w:rPr>
                <w:noProof/>
                <w:sz w:val="20"/>
              </w:rPr>
              <w:t>energy-using goods)</w:t>
            </w:r>
            <w:r w:rsidR="00B03D01" w:rsidRPr="009B5734">
              <w:rPr>
                <w:rStyle w:val="FootnoteReference"/>
                <w:noProof/>
                <w:sz w:val="20"/>
              </w:rPr>
              <w:footnoteReference w:id="95"/>
            </w:r>
          </w:p>
          <w:p w:rsidR="00C71971" w:rsidRPr="009B5734" w:rsidRDefault="00C71971" w:rsidP="00F56377">
            <w:pPr>
              <w:pStyle w:val="Text2"/>
              <w:ind w:left="0" w:firstLine="0"/>
              <w:rPr>
                <w:noProof/>
                <w:sz w:val="20"/>
              </w:rPr>
            </w:pPr>
          </w:p>
        </w:tc>
        <w:tc>
          <w:tcPr>
            <w:tcW w:w="2736" w:type="dxa"/>
          </w:tcPr>
          <w:p w:rsidR="00BF25F0" w:rsidRPr="009B5734" w:rsidRDefault="00BF25F0" w:rsidP="00415C83">
            <w:pPr>
              <w:pStyle w:val="Text2"/>
              <w:ind w:left="0" w:firstLine="0"/>
              <w:rPr>
                <w:noProof/>
                <w:sz w:val="20"/>
              </w:rPr>
            </w:pPr>
            <w:r w:rsidRPr="009B5734">
              <w:rPr>
                <w:noProof/>
                <w:sz w:val="20"/>
              </w:rPr>
              <w:t xml:space="preserve">Sellers, based on the information </w:t>
            </w:r>
            <w:r w:rsidR="00415C83" w:rsidRPr="009B5734">
              <w:rPr>
                <w:noProof/>
                <w:sz w:val="20"/>
              </w:rPr>
              <w:t>provided</w:t>
            </w:r>
            <w:r w:rsidRPr="009B5734">
              <w:rPr>
                <w:noProof/>
                <w:sz w:val="20"/>
              </w:rPr>
              <w:t xml:space="preserve"> by manufacturers (including </w:t>
            </w:r>
            <w:r w:rsidR="00134EA1" w:rsidRPr="009B5734">
              <w:rPr>
                <w:noProof/>
                <w:sz w:val="20"/>
              </w:rPr>
              <w:t xml:space="preserve">information about the </w:t>
            </w:r>
            <w:r w:rsidRPr="009B5734">
              <w:rPr>
                <w:noProof/>
                <w:sz w:val="20"/>
              </w:rPr>
              <w:t>methodology/assumptions used by manufacturers).</w:t>
            </w:r>
          </w:p>
        </w:tc>
        <w:tc>
          <w:tcPr>
            <w:tcW w:w="1492" w:type="dxa"/>
          </w:tcPr>
          <w:p w:rsidR="00BF25F0" w:rsidRPr="009B5734" w:rsidRDefault="00BF25F0" w:rsidP="00BF25F0">
            <w:pPr>
              <w:pStyle w:val="Text2"/>
              <w:ind w:left="0" w:firstLine="0"/>
              <w:rPr>
                <w:noProof/>
                <w:sz w:val="20"/>
              </w:rPr>
            </w:pPr>
            <w:r w:rsidRPr="009B5734">
              <w:rPr>
                <w:noProof/>
                <w:sz w:val="20"/>
              </w:rPr>
              <w:t>Amending the  Consumer Rights Directive</w:t>
            </w:r>
          </w:p>
        </w:tc>
      </w:tr>
      <w:tr w:rsidR="00BF25F0" w:rsidRPr="009B5734" w:rsidTr="6B053803">
        <w:tc>
          <w:tcPr>
            <w:tcW w:w="2496" w:type="dxa"/>
            <w:shd w:val="clear" w:color="auto" w:fill="auto"/>
          </w:tcPr>
          <w:p w:rsidR="00BF25F0" w:rsidRPr="009B5734" w:rsidRDefault="00BF25F0" w:rsidP="00BF25F0">
            <w:pPr>
              <w:pStyle w:val="Text2"/>
              <w:ind w:left="0" w:firstLine="0"/>
              <w:rPr>
                <w:b/>
                <w:noProof/>
                <w:sz w:val="20"/>
              </w:rPr>
            </w:pPr>
            <w:r w:rsidRPr="009B5734">
              <w:rPr>
                <w:b/>
                <w:noProof/>
                <w:sz w:val="20"/>
              </w:rPr>
              <w:t xml:space="preserve">Option 1.2.B: Obligation to inform consumers of the existence (or absence) of a producer’s commercial guarantee </w:t>
            </w:r>
            <w:r w:rsidR="004F28C6" w:rsidRPr="009B5734">
              <w:rPr>
                <w:b/>
                <w:noProof/>
                <w:sz w:val="20"/>
              </w:rPr>
              <w:t>of</w:t>
            </w:r>
            <w:r w:rsidRPr="009B5734">
              <w:rPr>
                <w:b/>
                <w:noProof/>
                <w:sz w:val="20"/>
              </w:rPr>
              <w:t xml:space="preserve"> durability</w:t>
            </w:r>
          </w:p>
        </w:tc>
        <w:tc>
          <w:tcPr>
            <w:tcW w:w="4883" w:type="dxa"/>
          </w:tcPr>
          <w:p w:rsidR="00BF25F0" w:rsidRPr="009B5734" w:rsidRDefault="00BF25F0" w:rsidP="00F710B3">
            <w:pPr>
              <w:pStyle w:val="Text2"/>
              <w:ind w:left="0" w:firstLine="0"/>
              <w:rPr>
                <w:noProof/>
                <w:sz w:val="20"/>
              </w:rPr>
            </w:pPr>
            <w:r w:rsidRPr="009B5734">
              <w:rPr>
                <w:noProof/>
                <w:sz w:val="20"/>
              </w:rPr>
              <w:t xml:space="preserve">Inform consumers at the point of sale of the existence or absence of a producer’s commercial guarantee </w:t>
            </w:r>
            <w:r w:rsidR="004F28C6" w:rsidRPr="009B5734">
              <w:rPr>
                <w:noProof/>
                <w:sz w:val="20"/>
              </w:rPr>
              <w:t>of</w:t>
            </w:r>
            <w:r w:rsidRPr="009B5734">
              <w:rPr>
                <w:noProof/>
                <w:sz w:val="20"/>
              </w:rPr>
              <w:t xml:space="preserve"> durability</w:t>
            </w:r>
            <w:r w:rsidRPr="009B5734">
              <w:rPr>
                <w:rStyle w:val="FootnoteReference"/>
                <w:noProof/>
                <w:sz w:val="20"/>
              </w:rPr>
              <w:footnoteReference w:id="96"/>
            </w:r>
            <w:r w:rsidRPr="009B5734">
              <w:rPr>
                <w:noProof/>
                <w:sz w:val="20"/>
              </w:rPr>
              <w:t xml:space="preserve"> – and of its length - for the entire good and for a duration of at least </w:t>
            </w:r>
            <w:r w:rsidR="006C51E0" w:rsidRPr="009B5734">
              <w:rPr>
                <w:noProof/>
                <w:sz w:val="20"/>
              </w:rPr>
              <w:t>two</w:t>
            </w:r>
            <w:r w:rsidRPr="009B5734">
              <w:rPr>
                <w:noProof/>
                <w:sz w:val="20"/>
              </w:rPr>
              <w:t xml:space="preserve"> years</w:t>
            </w:r>
            <w:r w:rsidR="00F710B3" w:rsidRPr="009B5734">
              <w:rPr>
                <w:noProof/>
                <w:sz w:val="20"/>
              </w:rPr>
              <w:t>. This commercial guarantee would serve as a proxy for</w:t>
            </w:r>
            <w:r w:rsidR="00655572" w:rsidRPr="009B5734">
              <w:rPr>
                <w:noProof/>
                <w:sz w:val="20"/>
              </w:rPr>
              <w:t xml:space="preserve"> </w:t>
            </w:r>
            <w:r w:rsidR="00F710B3" w:rsidRPr="009B5734">
              <w:rPr>
                <w:noProof/>
                <w:sz w:val="20"/>
              </w:rPr>
              <w:t>consumers to identify which products are expected to have a longer lifespan.</w:t>
            </w:r>
          </w:p>
        </w:tc>
        <w:tc>
          <w:tcPr>
            <w:tcW w:w="2611" w:type="dxa"/>
          </w:tcPr>
          <w:p w:rsidR="00BF25F0" w:rsidRPr="009B5734" w:rsidRDefault="00F56377" w:rsidP="00E24381">
            <w:pPr>
              <w:pStyle w:val="Text2"/>
              <w:ind w:left="0" w:firstLine="0"/>
              <w:rPr>
                <w:noProof/>
                <w:sz w:val="20"/>
              </w:rPr>
            </w:pPr>
            <w:r w:rsidRPr="009B5734">
              <w:rPr>
                <w:noProof/>
                <w:sz w:val="20"/>
              </w:rPr>
              <w:t>Medium product scope (i.e. all energy-using goods)</w:t>
            </w:r>
          </w:p>
        </w:tc>
        <w:tc>
          <w:tcPr>
            <w:tcW w:w="2736" w:type="dxa"/>
          </w:tcPr>
          <w:p w:rsidR="00BF25F0" w:rsidRPr="009B5734" w:rsidRDefault="00BF25F0" w:rsidP="00BF25F0">
            <w:pPr>
              <w:pStyle w:val="Text2"/>
              <w:ind w:left="0" w:firstLine="0"/>
              <w:rPr>
                <w:noProof/>
                <w:sz w:val="20"/>
              </w:rPr>
            </w:pPr>
            <w:r w:rsidRPr="009B5734">
              <w:rPr>
                <w:noProof/>
                <w:sz w:val="20"/>
              </w:rPr>
              <w:t>Sellers</w:t>
            </w:r>
            <w:r w:rsidR="00134EA1" w:rsidRPr="009B5734">
              <w:rPr>
                <w:noProof/>
                <w:sz w:val="20"/>
              </w:rPr>
              <w:t xml:space="preserve">, based on the information provided by the manufacturers. </w:t>
            </w:r>
            <w:r w:rsidRPr="009B5734">
              <w:rPr>
                <w:noProof/>
                <w:sz w:val="20"/>
              </w:rPr>
              <w:t xml:space="preserve"> </w:t>
            </w:r>
            <w:r w:rsidR="00134EA1" w:rsidRPr="009B5734">
              <w:rPr>
                <w:noProof/>
                <w:sz w:val="20"/>
              </w:rPr>
              <w:t xml:space="preserve">Sellers </w:t>
            </w:r>
            <w:r w:rsidRPr="009B5734">
              <w:rPr>
                <w:noProof/>
                <w:sz w:val="20"/>
              </w:rPr>
              <w:t>will inform consumers about the existence or absence, while the</w:t>
            </w:r>
            <w:r w:rsidR="001601B0" w:rsidRPr="009B5734">
              <w:rPr>
                <w:noProof/>
                <w:sz w:val="20"/>
              </w:rPr>
              <w:t xml:space="preserve"> guarantor will be the </w:t>
            </w:r>
            <w:r w:rsidR="00134EA1" w:rsidRPr="009B5734">
              <w:rPr>
                <w:noProof/>
                <w:sz w:val="20"/>
              </w:rPr>
              <w:t>manufacturer</w:t>
            </w:r>
            <w:r w:rsidR="001601B0" w:rsidRPr="009B5734">
              <w:rPr>
                <w:noProof/>
                <w:sz w:val="20"/>
              </w:rPr>
              <w:t>.</w:t>
            </w:r>
          </w:p>
        </w:tc>
        <w:tc>
          <w:tcPr>
            <w:tcW w:w="1492" w:type="dxa"/>
          </w:tcPr>
          <w:p w:rsidR="00BF25F0" w:rsidRPr="009B5734" w:rsidRDefault="00BF25F0" w:rsidP="00BF25F0">
            <w:pPr>
              <w:pStyle w:val="Text2"/>
              <w:ind w:left="0" w:firstLine="0"/>
              <w:rPr>
                <w:noProof/>
                <w:sz w:val="20"/>
              </w:rPr>
            </w:pPr>
            <w:r w:rsidRPr="009B5734">
              <w:rPr>
                <w:noProof/>
                <w:sz w:val="20"/>
              </w:rPr>
              <w:t>Amending the  Consumer Rights Directive</w:t>
            </w:r>
          </w:p>
        </w:tc>
      </w:tr>
      <w:tr w:rsidR="00BF25F0" w:rsidRPr="009B5734" w:rsidTr="6B053803">
        <w:tc>
          <w:tcPr>
            <w:tcW w:w="2496" w:type="dxa"/>
            <w:shd w:val="clear" w:color="auto" w:fill="auto"/>
          </w:tcPr>
          <w:p w:rsidR="00BF25F0" w:rsidRPr="009B5734" w:rsidRDefault="001E03CE" w:rsidP="001601B0">
            <w:pPr>
              <w:pStyle w:val="Text2"/>
              <w:ind w:left="0" w:firstLine="0"/>
              <w:rPr>
                <w:b/>
                <w:noProof/>
                <w:sz w:val="20"/>
              </w:rPr>
            </w:pPr>
            <w:r w:rsidRPr="009B5734">
              <w:rPr>
                <w:b/>
                <w:noProof/>
                <w:sz w:val="20"/>
              </w:rPr>
              <w:t>Option 1.2</w:t>
            </w:r>
            <w:r w:rsidR="00200DA5" w:rsidRPr="009B5734">
              <w:rPr>
                <w:b/>
                <w:noProof/>
                <w:sz w:val="20"/>
              </w:rPr>
              <w:t>.</w:t>
            </w:r>
            <w:r w:rsidRPr="009B5734">
              <w:rPr>
                <w:b/>
                <w:noProof/>
                <w:sz w:val="20"/>
              </w:rPr>
              <w:t xml:space="preserve">C: </w:t>
            </w:r>
            <w:r w:rsidR="00C71971" w:rsidRPr="009B5734">
              <w:rPr>
                <w:b/>
                <w:noProof/>
                <w:sz w:val="20"/>
              </w:rPr>
              <w:t xml:space="preserve">Option 1.2.B + </w:t>
            </w:r>
            <w:r w:rsidR="00BF25F0" w:rsidRPr="009B5734">
              <w:rPr>
                <w:b/>
                <w:noProof/>
                <w:sz w:val="20"/>
              </w:rPr>
              <w:t>Obligation to inform consumers on the period of time during which free software updates will be provided</w:t>
            </w:r>
          </w:p>
        </w:tc>
        <w:tc>
          <w:tcPr>
            <w:tcW w:w="4883" w:type="dxa"/>
          </w:tcPr>
          <w:p w:rsidR="00BF25F0" w:rsidRPr="009B5734" w:rsidRDefault="000D590A" w:rsidP="00841027">
            <w:pPr>
              <w:pStyle w:val="Text2"/>
              <w:ind w:left="0" w:firstLine="0"/>
              <w:rPr>
                <w:noProof/>
                <w:sz w:val="20"/>
              </w:rPr>
            </w:pPr>
            <w:r w:rsidRPr="009B5734">
              <w:rPr>
                <w:noProof/>
                <w:sz w:val="20"/>
              </w:rPr>
              <w:t>In addition to Option 1.2.B, i</w:t>
            </w:r>
            <w:r w:rsidR="00BF25F0" w:rsidRPr="009B5734">
              <w:rPr>
                <w:noProof/>
                <w:sz w:val="20"/>
              </w:rPr>
              <w:t xml:space="preserve">nform consumers at the point of sale about </w:t>
            </w:r>
            <w:r w:rsidR="00FB12DF" w:rsidRPr="009B5734">
              <w:rPr>
                <w:noProof/>
                <w:sz w:val="20"/>
              </w:rPr>
              <w:t>a</w:t>
            </w:r>
            <w:r w:rsidR="00FB12DF" w:rsidRPr="009B5734">
              <w:rPr>
                <w:noProof/>
                <w:color w:val="FF0000"/>
                <w:sz w:val="20"/>
              </w:rPr>
              <w:t xml:space="preserve"> </w:t>
            </w:r>
            <w:r w:rsidR="00BF25F0" w:rsidRPr="009B5734">
              <w:rPr>
                <w:noProof/>
                <w:sz w:val="20"/>
              </w:rPr>
              <w:t>minimum period of time (in number of years) during which the producer commits to provide free software updates, including security updates,</w:t>
            </w:r>
            <w:r w:rsidR="00415C83" w:rsidRPr="009B5734">
              <w:rPr>
                <w:noProof/>
                <w:color w:val="FF0000"/>
                <w:sz w:val="20"/>
              </w:rPr>
              <w:t xml:space="preserve"> </w:t>
            </w:r>
            <w:r w:rsidR="00BF25F0" w:rsidRPr="009B5734">
              <w:rPr>
                <w:noProof/>
                <w:sz w:val="20"/>
              </w:rPr>
              <w:t>for goods with digital elements as well as digital content and digital servi</w:t>
            </w:r>
            <w:r w:rsidR="001601B0" w:rsidRPr="009B5734">
              <w:rPr>
                <w:noProof/>
                <w:sz w:val="20"/>
              </w:rPr>
              <w:t>ces to keep them in conformity</w:t>
            </w:r>
            <w:r w:rsidR="00134EA1" w:rsidRPr="009B5734">
              <w:rPr>
                <w:noProof/>
                <w:sz w:val="20"/>
              </w:rPr>
              <w:t>, if this period is longer than the period of the producer’s commercial guarantee</w:t>
            </w:r>
            <w:r w:rsidR="00B52DCD" w:rsidRPr="009B5734">
              <w:rPr>
                <w:noProof/>
                <w:sz w:val="20"/>
              </w:rPr>
              <w:t xml:space="preserve"> of durability</w:t>
            </w:r>
            <w:r w:rsidR="00134EA1" w:rsidRPr="009B5734">
              <w:rPr>
                <w:noProof/>
                <w:sz w:val="20"/>
              </w:rPr>
              <w:t>.</w:t>
            </w:r>
          </w:p>
        </w:tc>
        <w:tc>
          <w:tcPr>
            <w:tcW w:w="2611" w:type="dxa"/>
          </w:tcPr>
          <w:p w:rsidR="00C71971" w:rsidRPr="009B5734" w:rsidRDefault="00C71971" w:rsidP="00BF25F0">
            <w:pPr>
              <w:ind w:left="0" w:firstLine="0"/>
              <w:rPr>
                <w:noProof/>
              </w:rPr>
            </w:pPr>
            <w:r w:rsidRPr="009B5734">
              <w:rPr>
                <w:noProof/>
              </w:rPr>
              <w:t>For option 1.2.B</w:t>
            </w:r>
            <w:r w:rsidR="00E24381" w:rsidRPr="009B5734">
              <w:rPr>
                <w:noProof/>
              </w:rPr>
              <w:t>,</w:t>
            </w:r>
            <w:r w:rsidR="00E24381" w:rsidRPr="009B5734" w:rsidDel="0008401C">
              <w:rPr>
                <w:noProof/>
              </w:rPr>
              <w:t xml:space="preserve"> </w:t>
            </w:r>
            <w:r w:rsidR="0008401C" w:rsidRPr="009B5734">
              <w:rPr>
                <w:noProof/>
              </w:rPr>
              <w:t>medium product scope (i.e. all energy-using goods)</w:t>
            </w:r>
            <w:r w:rsidR="00E24381" w:rsidRPr="009B5734">
              <w:rPr>
                <w:noProof/>
              </w:rPr>
              <w:t>.</w:t>
            </w:r>
          </w:p>
          <w:p w:rsidR="00E24381" w:rsidRPr="009B5734" w:rsidRDefault="00E24381" w:rsidP="00BF25F0">
            <w:pPr>
              <w:ind w:left="0" w:firstLine="0"/>
              <w:rPr>
                <w:noProof/>
              </w:rPr>
            </w:pPr>
          </w:p>
          <w:p w:rsidR="00BF25F0" w:rsidRPr="009B5734" w:rsidRDefault="00C71971" w:rsidP="0011520C">
            <w:pPr>
              <w:ind w:left="0" w:firstLine="0"/>
              <w:rPr>
                <w:noProof/>
              </w:rPr>
            </w:pPr>
            <w:r w:rsidRPr="009B5734">
              <w:rPr>
                <w:noProof/>
              </w:rPr>
              <w:t>F</w:t>
            </w:r>
            <w:r w:rsidR="00E24381" w:rsidRPr="009B5734">
              <w:rPr>
                <w:noProof/>
              </w:rPr>
              <w:t>or software updates,</w:t>
            </w:r>
            <w:r w:rsidR="00B03D01" w:rsidRPr="009B5734">
              <w:rPr>
                <w:noProof/>
              </w:rPr>
              <w:t xml:space="preserve"> only for</w:t>
            </w:r>
            <w:r w:rsidR="00E24381" w:rsidRPr="009B5734">
              <w:rPr>
                <w:noProof/>
              </w:rPr>
              <w:t xml:space="preserve"> </w:t>
            </w:r>
            <w:r w:rsidR="00B03D01" w:rsidRPr="009B5734">
              <w:rPr>
                <w:noProof/>
              </w:rPr>
              <w:t>g</w:t>
            </w:r>
            <w:r w:rsidR="00134A25" w:rsidRPr="009B5734">
              <w:rPr>
                <w:noProof/>
              </w:rPr>
              <w:t>oods with digital elements</w:t>
            </w:r>
            <w:r w:rsidR="00BF25F0" w:rsidRPr="009B5734">
              <w:rPr>
                <w:noProof/>
              </w:rPr>
              <w:t>)</w:t>
            </w:r>
            <w:r w:rsidR="00BF25F0" w:rsidRPr="009B5734">
              <w:rPr>
                <w:rStyle w:val="FootnoteReference"/>
                <w:noProof/>
              </w:rPr>
              <w:footnoteReference w:id="97"/>
            </w:r>
            <w:r w:rsidR="00BF25F0" w:rsidRPr="009B5734">
              <w:rPr>
                <w:noProof/>
              </w:rPr>
              <w:t xml:space="preserve"> and </w:t>
            </w:r>
            <w:r w:rsidR="00B03D01" w:rsidRPr="009B5734">
              <w:rPr>
                <w:noProof/>
              </w:rPr>
              <w:t>d</w:t>
            </w:r>
            <w:r w:rsidR="00BF25F0" w:rsidRPr="009B5734">
              <w:rPr>
                <w:noProof/>
              </w:rPr>
              <w:t>igital content/service</w:t>
            </w:r>
            <w:r w:rsidR="00BF25F0" w:rsidRPr="009B5734">
              <w:rPr>
                <w:rStyle w:val="FootnoteReference"/>
                <w:noProof/>
              </w:rPr>
              <w:footnoteReference w:id="98"/>
            </w:r>
            <w:r w:rsidR="00BF25F0" w:rsidRPr="009B5734">
              <w:rPr>
                <w:noProof/>
              </w:rPr>
              <w:t>.</w:t>
            </w:r>
          </w:p>
        </w:tc>
        <w:tc>
          <w:tcPr>
            <w:tcW w:w="2736" w:type="dxa"/>
          </w:tcPr>
          <w:p w:rsidR="00BF25F0" w:rsidRPr="009B5734" w:rsidRDefault="00BF25F0" w:rsidP="001601B0">
            <w:pPr>
              <w:pStyle w:val="Text2"/>
              <w:ind w:left="0" w:firstLine="0"/>
              <w:rPr>
                <w:noProof/>
                <w:sz w:val="20"/>
              </w:rPr>
            </w:pPr>
            <w:r w:rsidRPr="009B5734">
              <w:rPr>
                <w:noProof/>
                <w:sz w:val="20"/>
              </w:rPr>
              <w:t>Sellers, based on the information</w:t>
            </w:r>
            <w:r w:rsidR="001601B0" w:rsidRPr="009B5734">
              <w:rPr>
                <w:noProof/>
                <w:sz w:val="20"/>
              </w:rPr>
              <w:t xml:space="preserve"> provided by the manufacturers. </w:t>
            </w:r>
          </w:p>
        </w:tc>
        <w:tc>
          <w:tcPr>
            <w:tcW w:w="1492" w:type="dxa"/>
          </w:tcPr>
          <w:p w:rsidR="00BF25F0" w:rsidRPr="009B5734" w:rsidRDefault="00BF25F0" w:rsidP="00BF25F0">
            <w:pPr>
              <w:pStyle w:val="Text2"/>
              <w:ind w:left="0" w:firstLine="0"/>
              <w:rPr>
                <w:noProof/>
                <w:sz w:val="20"/>
              </w:rPr>
            </w:pPr>
            <w:r w:rsidRPr="009B5734">
              <w:rPr>
                <w:noProof/>
                <w:sz w:val="20"/>
              </w:rPr>
              <w:t>Amending the  Consumer Rights Directive</w:t>
            </w:r>
          </w:p>
        </w:tc>
      </w:tr>
    </w:tbl>
    <w:p w:rsidR="00843A23" w:rsidRPr="00946905" w:rsidRDefault="0011520C" w:rsidP="0011520C">
      <w:pPr>
        <w:pStyle w:val="Text2"/>
        <w:ind w:left="0" w:firstLine="0"/>
        <w:jc w:val="left"/>
        <w:rPr>
          <w:b/>
          <w:noProof/>
        </w:rPr>
      </w:pPr>
      <w:r w:rsidRPr="009B5734">
        <w:rPr>
          <w:b/>
          <w:noProof/>
        </w:rPr>
        <w:br/>
      </w:r>
      <w:r w:rsidR="00843A23" w:rsidRPr="00946905">
        <w:rPr>
          <w:b/>
          <w:noProof/>
        </w:rPr>
        <w:t>How do these options interact with the other initiatives in preparation?</w:t>
      </w:r>
      <w:r w:rsidRPr="009B5734">
        <w:rPr>
          <w:b/>
          <w:noProof/>
        </w:rPr>
        <w:br/>
      </w:r>
      <w:r w:rsidR="004D443C" w:rsidRPr="009B5734">
        <w:rPr>
          <w:noProof/>
        </w:rPr>
        <w:t>U</w:t>
      </w:r>
      <w:r w:rsidR="00843A23" w:rsidRPr="009B5734">
        <w:rPr>
          <w:noProof/>
        </w:rPr>
        <w:t xml:space="preserve">nder the </w:t>
      </w:r>
      <w:r w:rsidR="00843A23" w:rsidRPr="00946905">
        <w:rPr>
          <w:b/>
          <w:noProof/>
        </w:rPr>
        <w:t>Sustainable Products Initiative</w:t>
      </w:r>
      <w:r w:rsidR="00843A23" w:rsidRPr="009B5734">
        <w:rPr>
          <w:noProof/>
        </w:rPr>
        <w:t xml:space="preserve">, specific information requirements on the expected/estimated durability for specific product categories may become available, when considered feasible and appropriate, subject to future </w:t>
      </w:r>
      <w:r w:rsidR="3D4D62B3" w:rsidRPr="009B5734">
        <w:rPr>
          <w:noProof/>
        </w:rPr>
        <w:t>I</w:t>
      </w:r>
      <w:r w:rsidR="00843A23" w:rsidRPr="009B5734">
        <w:rPr>
          <w:noProof/>
        </w:rPr>
        <w:t xml:space="preserve">mpact </w:t>
      </w:r>
      <w:r w:rsidR="3D4D62B3" w:rsidRPr="009B5734">
        <w:rPr>
          <w:noProof/>
        </w:rPr>
        <w:t>A</w:t>
      </w:r>
      <w:r w:rsidR="00843A23" w:rsidRPr="009B5734">
        <w:rPr>
          <w:noProof/>
        </w:rPr>
        <w:t xml:space="preserve">ssessments of delegated acts (under the framework legislation)  and further </w:t>
      </w:r>
      <w:r w:rsidR="00AF0E44" w:rsidRPr="009B5734">
        <w:rPr>
          <w:noProof/>
        </w:rPr>
        <w:t>technical</w:t>
      </w:r>
      <w:r w:rsidR="00843A23" w:rsidRPr="009B5734">
        <w:rPr>
          <w:noProof/>
        </w:rPr>
        <w:t xml:space="preserve"> work</w:t>
      </w:r>
      <w:r w:rsidR="004933C3" w:rsidRPr="009B5734">
        <w:rPr>
          <w:noProof/>
        </w:rPr>
        <w:t xml:space="preserve"> (see sub-option 4a in the Impact Assessment for the Sustainable Products Initiative)</w:t>
      </w:r>
      <w:r w:rsidR="00843A23" w:rsidRPr="009B5734">
        <w:rPr>
          <w:noProof/>
        </w:rPr>
        <w:t xml:space="preserve">. </w:t>
      </w:r>
      <w:r w:rsidR="004933C3" w:rsidRPr="009B5734">
        <w:rPr>
          <w:noProof/>
        </w:rPr>
        <w:t xml:space="preserve">This information could furthermore be made available to consumers in the form of a Digital Product Passport (see sub-option 4b of the Impact Assessment for the Sustainable Products Initiative). </w:t>
      </w:r>
      <w:r w:rsidR="00F2769B" w:rsidRPr="009B5734">
        <w:rPr>
          <w:noProof/>
        </w:rPr>
        <w:t>As such measures would not specifically require the information to be presented in a clear and legible way at the point of sale</w:t>
      </w:r>
      <w:r w:rsidR="00843A23" w:rsidRPr="009B5734">
        <w:rPr>
          <w:noProof/>
        </w:rPr>
        <w:t>,</w:t>
      </w:r>
      <w:r w:rsidR="00F2769B" w:rsidRPr="009B5734">
        <w:rPr>
          <w:noProof/>
        </w:rPr>
        <w:t xml:space="preserve"> and would be implemented gradually and by product category,</w:t>
      </w:r>
      <w:r w:rsidR="00843A23" w:rsidRPr="009B5734">
        <w:rPr>
          <w:noProof/>
        </w:rPr>
        <w:t xml:space="preserve"> the extent of the problem and its consequences is expected to remain unchanged for </w:t>
      </w:r>
      <w:r w:rsidR="00AF0E44" w:rsidRPr="009B5734">
        <w:rPr>
          <w:noProof/>
        </w:rPr>
        <w:t>many</w:t>
      </w:r>
      <w:r w:rsidR="00843A23" w:rsidRPr="009B5734">
        <w:rPr>
          <w:noProof/>
        </w:rPr>
        <w:t xml:space="preserve"> products. </w:t>
      </w:r>
    </w:p>
    <w:p w:rsidR="00E27EEC" w:rsidRPr="009B5734" w:rsidRDefault="005B01AB" w:rsidP="00337491">
      <w:pPr>
        <w:pStyle w:val="Heading5"/>
        <w:rPr>
          <w:rFonts w:ascii="Times New Roman" w:hAnsi="Times New Roman" w:cs="Times New Roman"/>
          <w:b w:val="0"/>
          <w:i w:val="0"/>
          <w:noProof/>
          <w:sz w:val="24"/>
        </w:rPr>
      </w:pPr>
      <w:r w:rsidRPr="009B5734">
        <w:rPr>
          <w:rFonts w:ascii="Times New Roman" w:hAnsi="Times New Roman" w:cs="Times New Roman"/>
          <w:b w:val="0"/>
          <w:i w:val="0"/>
          <w:noProof/>
          <w:sz w:val="24"/>
        </w:rPr>
        <w:t xml:space="preserve">5.2.1.3. </w:t>
      </w:r>
      <w:r w:rsidR="00652ABF" w:rsidRPr="009B5734">
        <w:rPr>
          <w:rFonts w:ascii="Times New Roman" w:hAnsi="Times New Roman" w:cs="Times New Roman"/>
          <w:b w:val="0"/>
          <w:i w:val="0"/>
          <w:noProof/>
          <w:sz w:val="24"/>
        </w:rPr>
        <w:t>Sub-</w:t>
      </w:r>
      <w:r w:rsidR="00804769" w:rsidRPr="009B5734">
        <w:rPr>
          <w:rFonts w:ascii="Times New Roman" w:hAnsi="Times New Roman" w:cs="Times New Roman"/>
          <w:b w:val="0"/>
          <w:i w:val="0"/>
          <w:noProof/>
          <w:sz w:val="24"/>
        </w:rPr>
        <w:t>p</w:t>
      </w:r>
      <w:r w:rsidR="00652ABF" w:rsidRPr="009B5734">
        <w:rPr>
          <w:rFonts w:ascii="Times New Roman" w:hAnsi="Times New Roman" w:cs="Times New Roman"/>
          <w:b w:val="0"/>
          <w:i w:val="0"/>
          <w:noProof/>
          <w:sz w:val="24"/>
        </w:rPr>
        <w:t xml:space="preserve">roblem 1.3: </w:t>
      </w:r>
      <w:r w:rsidR="00D60C0B" w:rsidRPr="009B5734">
        <w:rPr>
          <w:rFonts w:ascii="Times New Roman" w:hAnsi="Times New Roman" w:cs="Times New Roman"/>
          <w:b w:val="0"/>
          <w:i w:val="0"/>
          <w:noProof/>
          <w:sz w:val="24"/>
        </w:rPr>
        <w:t>Lack of reliable information</w:t>
      </w:r>
      <w:r w:rsidR="00652ABF" w:rsidRPr="009B5734">
        <w:rPr>
          <w:rFonts w:ascii="Times New Roman" w:hAnsi="Times New Roman" w:cs="Times New Roman"/>
          <w:b w:val="0"/>
          <w:i w:val="0"/>
          <w:noProof/>
          <w:sz w:val="24"/>
        </w:rPr>
        <w:t xml:space="preserve"> about products’ reparability</w:t>
      </w:r>
    </w:p>
    <w:p w:rsidR="00337491" w:rsidRPr="009B5734" w:rsidRDefault="00337491" w:rsidP="00337491">
      <w:pPr>
        <w:pStyle w:val="BodyText"/>
        <w:rPr>
          <w:noProof/>
        </w:rPr>
      </w:pPr>
    </w:p>
    <w:p w:rsidR="00A86D06" w:rsidRDefault="00A86D06">
      <w:pPr>
        <w:pStyle w:val="Text2"/>
        <w:ind w:left="845" w:firstLine="0"/>
        <w:rPr>
          <w:b/>
          <w:bCs/>
          <w:noProof/>
        </w:rPr>
      </w:pPr>
      <w:r w:rsidRPr="005D24D2">
        <w:rPr>
          <w:b/>
          <w:bCs/>
          <w:noProof/>
        </w:rPr>
        <w:t>What are the options considered in order to address this sub-problem?</w:t>
      </w:r>
    </w:p>
    <w:p w:rsidR="007A6D21" w:rsidRPr="008D65D2" w:rsidRDefault="007A6D21" w:rsidP="008D65D2">
      <w:pPr>
        <w:pStyle w:val="Text2"/>
        <w:ind w:left="0" w:firstLine="0"/>
        <w:rPr>
          <w:noProof/>
        </w:rPr>
      </w:pPr>
      <w:r w:rsidRPr="008D65D2">
        <w:rPr>
          <w:noProof/>
        </w:rPr>
        <w:t xml:space="preserve">The structure followed </w:t>
      </w:r>
      <w:r>
        <w:rPr>
          <w:noProof/>
        </w:rPr>
        <w:t>by the presentation of the options for this sub-problem</w:t>
      </w:r>
      <w:r w:rsidR="00B63A7B">
        <w:rPr>
          <w:noProof/>
        </w:rPr>
        <w:t xml:space="preserve"> is as follows: Options 1.3.A, 1.3.B., 1.3.C and 1.3.D are all complementary, while option 1.3.E entails a combination of 1.3.A, 1.3.B, 1.3.C and 1.3.D with slight modifications. </w:t>
      </w:r>
      <w:r w:rsidR="00B63A7B">
        <w:rPr>
          <w:bCs/>
          <w:noProof/>
        </w:rPr>
        <w:t>The purpose of the division into five distinct policy options is to calculate the impacts of the options as accurately as possible, and thus to facilitate a decision regarding the preferred policy option.</w:t>
      </w:r>
    </w:p>
    <w:tbl>
      <w:tblPr>
        <w:tblStyle w:val="TableGrid"/>
        <w:tblW w:w="0" w:type="auto"/>
        <w:tblLook w:val="04A0" w:firstRow="1" w:lastRow="0" w:firstColumn="1" w:lastColumn="0" w:noHBand="0" w:noVBand="1"/>
      </w:tblPr>
      <w:tblGrid>
        <w:gridCol w:w="2817"/>
        <w:gridCol w:w="5348"/>
        <w:gridCol w:w="2361"/>
        <w:gridCol w:w="2101"/>
        <w:gridCol w:w="1365"/>
      </w:tblGrid>
      <w:tr w:rsidR="00790CCA" w:rsidRPr="009B5734" w:rsidTr="6B053803">
        <w:trPr>
          <w:trHeight w:val="868"/>
        </w:trPr>
        <w:tc>
          <w:tcPr>
            <w:tcW w:w="2843" w:type="dxa"/>
            <w:shd w:val="clear" w:color="auto" w:fill="9BBB59" w:themeFill="accent3"/>
          </w:tcPr>
          <w:p w:rsidR="00743A4D" w:rsidRPr="009B5734" w:rsidRDefault="00743A4D" w:rsidP="00D7738F">
            <w:pPr>
              <w:ind w:left="0" w:firstLine="0"/>
              <w:rPr>
                <w:noProof/>
              </w:rPr>
            </w:pPr>
          </w:p>
        </w:tc>
        <w:tc>
          <w:tcPr>
            <w:tcW w:w="5487" w:type="dxa"/>
            <w:shd w:val="clear" w:color="auto" w:fill="9BBB59" w:themeFill="accent3"/>
          </w:tcPr>
          <w:p w:rsidR="00743A4D" w:rsidRPr="009B5734" w:rsidRDefault="00743A4D" w:rsidP="00D7738F">
            <w:pPr>
              <w:ind w:left="0" w:firstLine="0"/>
              <w:rPr>
                <w:b/>
                <w:noProof/>
              </w:rPr>
            </w:pPr>
            <w:r w:rsidRPr="009B5734">
              <w:rPr>
                <w:b/>
                <w:noProof/>
                <w:sz w:val="22"/>
              </w:rPr>
              <w:t>Description of the option</w:t>
            </w:r>
          </w:p>
        </w:tc>
        <w:tc>
          <w:tcPr>
            <w:tcW w:w="2410" w:type="dxa"/>
            <w:shd w:val="clear" w:color="auto" w:fill="9BBB59" w:themeFill="accent3"/>
          </w:tcPr>
          <w:p w:rsidR="00743A4D" w:rsidRPr="009B5734" w:rsidRDefault="00743A4D" w:rsidP="00D7738F">
            <w:pPr>
              <w:ind w:left="0" w:firstLine="0"/>
              <w:rPr>
                <w:b/>
                <w:noProof/>
              </w:rPr>
            </w:pPr>
            <w:r w:rsidRPr="009B5734">
              <w:rPr>
                <w:b/>
                <w:noProof/>
                <w:sz w:val="22"/>
              </w:rPr>
              <w:t>Product scope</w:t>
            </w:r>
          </w:p>
        </w:tc>
        <w:tc>
          <w:tcPr>
            <w:tcW w:w="2126" w:type="dxa"/>
            <w:shd w:val="clear" w:color="auto" w:fill="9BBB59" w:themeFill="accent3"/>
          </w:tcPr>
          <w:p w:rsidR="00743A4D" w:rsidRPr="009B5734" w:rsidRDefault="00743A4D" w:rsidP="00D7738F">
            <w:pPr>
              <w:ind w:left="0" w:firstLine="0"/>
              <w:rPr>
                <w:b/>
                <w:noProof/>
              </w:rPr>
            </w:pPr>
            <w:r w:rsidRPr="009B5734">
              <w:rPr>
                <w:b/>
                <w:noProof/>
                <w:sz w:val="22"/>
              </w:rPr>
              <w:t>Addressees</w:t>
            </w:r>
          </w:p>
        </w:tc>
        <w:tc>
          <w:tcPr>
            <w:tcW w:w="1352" w:type="dxa"/>
            <w:shd w:val="clear" w:color="auto" w:fill="9BBB59" w:themeFill="accent3"/>
          </w:tcPr>
          <w:p w:rsidR="00743A4D" w:rsidRPr="009B5734" w:rsidRDefault="00743A4D" w:rsidP="00D7738F">
            <w:pPr>
              <w:ind w:left="0" w:firstLine="0"/>
              <w:rPr>
                <w:b/>
                <w:noProof/>
              </w:rPr>
            </w:pPr>
            <w:r w:rsidRPr="009B5734">
              <w:rPr>
                <w:b/>
                <w:noProof/>
                <w:sz w:val="22"/>
              </w:rPr>
              <w:t>Nature of intervention</w:t>
            </w:r>
          </w:p>
        </w:tc>
      </w:tr>
      <w:tr w:rsidR="00743A4D" w:rsidRPr="009B5734" w:rsidTr="6B053803">
        <w:tc>
          <w:tcPr>
            <w:tcW w:w="2843" w:type="dxa"/>
          </w:tcPr>
          <w:p w:rsidR="00743A4D" w:rsidRPr="009B5734" w:rsidRDefault="0012211B" w:rsidP="00D7738F">
            <w:pPr>
              <w:ind w:left="0" w:firstLine="0"/>
              <w:rPr>
                <w:b/>
                <w:noProof/>
              </w:rPr>
            </w:pPr>
            <w:r w:rsidRPr="009B5734">
              <w:rPr>
                <w:b/>
                <w:noProof/>
                <w:sz w:val="22"/>
                <w:szCs w:val="22"/>
              </w:rPr>
              <w:t>Option 1.3.A:</w:t>
            </w:r>
            <w:r w:rsidR="00743A4D" w:rsidRPr="009B5734">
              <w:rPr>
                <w:b/>
                <w:noProof/>
                <w:sz w:val="22"/>
                <w:szCs w:val="22"/>
              </w:rPr>
              <w:t xml:space="preserve"> Provision of updated, user-friendly repair and user manuals</w:t>
            </w:r>
          </w:p>
        </w:tc>
        <w:tc>
          <w:tcPr>
            <w:tcW w:w="5487" w:type="dxa"/>
          </w:tcPr>
          <w:p w:rsidR="00743A4D" w:rsidRPr="009B5734" w:rsidRDefault="00743A4D" w:rsidP="00D47126">
            <w:pPr>
              <w:pStyle w:val="Text2"/>
              <w:ind w:left="0" w:firstLine="0"/>
              <w:rPr>
                <w:noProof/>
                <w:sz w:val="20"/>
              </w:rPr>
            </w:pPr>
            <w:r w:rsidRPr="009B5734">
              <w:rPr>
                <w:noProof/>
                <w:sz w:val="20"/>
              </w:rPr>
              <w:t>Provide consumers with a user-friendly repair and use</w:t>
            </w:r>
            <w:r w:rsidR="00152AA8" w:rsidRPr="009B5734">
              <w:rPr>
                <w:noProof/>
                <w:sz w:val="20"/>
              </w:rPr>
              <w:t>r manual at the point of sale</w:t>
            </w:r>
            <w:r w:rsidR="003B7848" w:rsidRPr="009B5734">
              <w:rPr>
                <w:noProof/>
                <w:sz w:val="20"/>
              </w:rPr>
              <w:t xml:space="preserve"> (paper or digital version)</w:t>
            </w:r>
            <w:r w:rsidR="00152AA8" w:rsidRPr="009B5734">
              <w:rPr>
                <w:noProof/>
                <w:sz w:val="20"/>
              </w:rPr>
              <w:t xml:space="preserve">. </w:t>
            </w:r>
            <w:r w:rsidRPr="009B5734">
              <w:rPr>
                <w:noProof/>
                <w:sz w:val="20"/>
              </w:rPr>
              <w:t xml:space="preserve">In case the seller did not receive the manual, the consumer would be informed in a prominent way that this </w:t>
            </w:r>
            <w:r w:rsidR="00D47126" w:rsidRPr="009B5734">
              <w:rPr>
                <w:noProof/>
                <w:sz w:val="20"/>
              </w:rPr>
              <w:t xml:space="preserve">manual </w:t>
            </w:r>
            <w:r w:rsidRPr="009B5734">
              <w:rPr>
                <w:noProof/>
                <w:sz w:val="20"/>
              </w:rPr>
              <w:t>is not available.</w:t>
            </w:r>
          </w:p>
        </w:tc>
        <w:tc>
          <w:tcPr>
            <w:tcW w:w="2410" w:type="dxa"/>
          </w:tcPr>
          <w:p w:rsidR="00B03D01" w:rsidRPr="009B5734" w:rsidRDefault="00B03D01">
            <w:pPr>
              <w:pStyle w:val="Text2"/>
              <w:ind w:left="0" w:firstLine="0"/>
              <w:rPr>
                <w:noProof/>
              </w:rPr>
            </w:pPr>
            <w:r w:rsidRPr="009B5734">
              <w:rPr>
                <w:noProof/>
                <w:sz w:val="20"/>
              </w:rPr>
              <w:t>Medium product scope (i.e. all energy-using goods)</w:t>
            </w:r>
            <w:r w:rsidRPr="009B5734">
              <w:rPr>
                <w:rStyle w:val="FootnoteReference"/>
                <w:noProof/>
                <w:sz w:val="20"/>
              </w:rPr>
              <w:footnoteReference w:id="99"/>
            </w:r>
          </w:p>
        </w:tc>
        <w:tc>
          <w:tcPr>
            <w:tcW w:w="2126" w:type="dxa"/>
          </w:tcPr>
          <w:p w:rsidR="00743A4D" w:rsidRPr="009B5734" w:rsidRDefault="00743A4D" w:rsidP="00743A4D">
            <w:pPr>
              <w:pStyle w:val="Text2"/>
              <w:ind w:left="0" w:firstLine="0"/>
              <w:rPr>
                <w:noProof/>
                <w:sz w:val="20"/>
              </w:rPr>
            </w:pPr>
            <w:r w:rsidRPr="009B5734">
              <w:rPr>
                <w:noProof/>
                <w:sz w:val="20"/>
              </w:rPr>
              <w:t>Sellers, but the manual is to be developed and provided by manufacturers.</w:t>
            </w:r>
          </w:p>
          <w:p w:rsidR="00743A4D" w:rsidRPr="009B5734" w:rsidRDefault="00743A4D" w:rsidP="00D7738F">
            <w:pPr>
              <w:ind w:left="0" w:firstLine="0"/>
              <w:rPr>
                <w:noProof/>
              </w:rPr>
            </w:pPr>
          </w:p>
        </w:tc>
        <w:tc>
          <w:tcPr>
            <w:tcW w:w="1352" w:type="dxa"/>
          </w:tcPr>
          <w:p w:rsidR="00743A4D" w:rsidRPr="009B5734" w:rsidRDefault="00743A4D" w:rsidP="00D7738F">
            <w:pPr>
              <w:ind w:left="0" w:firstLine="0"/>
              <w:rPr>
                <w:noProof/>
              </w:rPr>
            </w:pPr>
            <w:r w:rsidRPr="009B5734">
              <w:rPr>
                <w:noProof/>
              </w:rPr>
              <w:t>Amending the  Consumer Rights Directive</w:t>
            </w:r>
          </w:p>
        </w:tc>
      </w:tr>
      <w:tr w:rsidR="00743A4D" w:rsidRPr="009B5734" w:rsidTr="6B053803">
        <w:tc>
          <w:tcPr>
            <w:tcW w:w="2843" w:type="dxa"/>
          </w:tcPr>
          <w:p w:rsidR="00743A4D" w:rsidRPr="009B5734" w:rsidRDefault="00743A4D" w:rsidP="00D7738F">
            <w:pPr>
              <w:ind w:left="0" w:firstLine="0"/>
              <w:rPr>
                <w:b/>
                <w:noProof/>
              </w:rPr>
            </w:pPr>
            <w:r w:rsidRPr="009B5734">
              <w:rPr>
                <w:b/>
                <w:noProof/>
                <w:sz w:val="22"/>
                <w:szCs w:val="22"/>
              </w:rPr>
              <w:t>Option 1.3.B</w:t>
            </w:r>
            <w:r w:rsidR="0012211B" w:rsidRPr="009B5734">
              <w:rPr>
                <w:b/>
                <w:noProof/>
                <w:sz w:val="22"/>
                <w:szCs w:val="22"/>
              </w:rPr>
              <w:t>:</w:t>
            </w:r>
            <w:r w:rsidRPr="009B5734">
              <w:rPr>
                <w:b/>
                <w:noProof/>
                <w:sz w:val="22"/>
                <w:szCs w:val="22"/>
              </w:rPr>
              <w:t xml:space="preserve"> Provision of information about how long and which spare parts are available</w:t>
            </w:r>
          </w:p>
        </w:tc>
        <w:tc>
          <w:tcPr>
            <w:tcW w:w="5487" w:type="dxa"/>
          </w:tcPr>
          <w:p w:rsidR="00743A4D" w:rsidRPr="009B5734" w:rsidRDefault="00743A4D" w:rsidP="00D47126">
            <w:pPr>
              <w:pStyle w:val="Text2"/>
              <w:ind w:left="0" w:firstLine="0"/>
              <w:rPr>
                <w:noProof/>
                <w:sz w:val="20"/>
              </w:rPr>
            </w:pPr>
            <w:r w:rsidRPr="009B5734">
              <w:rPr>
                <w:noProof/>
                <w:sz w:val="20"/>
              </w:rPr>
              <w:t>Inform consumers at the point of sale about the spare parts that the manufacturer will make available and for how long they will remain available</w:t>
            </w:r>
            <w:r w:rsidRPr="009B5734" w:rsidDel="008D1D53">
              <w:rPr>
                <w:noProof/>
                <w:sz w:val="20"/>
              </w:rPr>
              <w:t>.</w:t>
            </w:r>
            <w:r w:rsidR="00152AA8" w:rsidRPr="009B5734">
              <w:rPr>
                <w:noProof/>
                <w:sz w:val="20"/>
              </w:rPr>
              <w:t xml:space="preserve"> </w:t>
            </w:r>
            <w:r w:rsidRPr="009B5734">
              <w:rPr>
                <w:noProof/>
                <w:sz w:val="20"/>
              </w:rPr>
              <w:t xml:space="preserve">In case the seller did not receive the information, the consumer would be informed in a prominent way that this </w:t>
            </w:r>
            <w:r w:rsidR="00D47126" w:rsidRPr="009B5734">
              <w:rPr>
                <w:noProof/>
                <w:sz w:val="20"/>
              </w:rPr>
              <w:t xml:space="preserve">commitment </w:t>
            </w:r>
            <w:r w:rsidRPr="009B5734">
              <w:rPr>
                <w:noProof/>
                <w:sz w:val="20"/>
              </w:rPr>
              <w:t>is not available.</w:t>
            </w:r>
          </w:p>
        </w:tc>
        <w:tc>
          <w:tcPr>
            <w:tcW w:w="2410" w:type="dxa"/>
          </w:tcPr>
          <w:p w:rsidR="00743A4D" w:rsidRPr="009B5734" w:rsidRDefault="00B03D01" w:rsidP="00743A4D">
            <w:pPr>
              <w:ind w:left="0" w:firstLine="0"/>
              <w:rPr>
                <w:noProof/>
              </w:rPr>
            </w:pPr>
            <w:r w:rsidRPr="009B5734">
              <w:rPr>
                <w:noProof/>
              </w:rPr>
              <w:t>Medium product scope (i.e. all energy-using goods)</w:t>
            </w:r>
          </w:p>
        </w:tc>
        <w:tc>
          <w:tcPr>
            <w:tcW w:w="2126" w:type="dxa"/>
          </w:tcPr>
          <w:p w:rsidR="00743A4D" w:rsidRPr="009B5734" w:rsidRDefault="00743A4D" w:rsidP="00F55313">
            <w:pPr>
              <w:pStyle w:val="Text2"/>
              <w:ind w:left="0" w:firstLine="0"/>
              <w:rPr>
                <w:noProof/>
                <w:sz w:val="20"/>
              </w:rPr>
            </w:pPr>
            <w:r w:rsidRPr="009B5734">
              <w:rPr>
                <w:noProof/>
                <w:sz w:val="20"/>
              </w:rPr>
              <w:t xml:space="preserve">Sellers, but </w:t>
            </w:r>
            <w:r w:rsidR="00810E67" w:rsidRPr="009B5734">
              <w:rPr>
                <w:noProof/>
                <w:sz w:val="20"/>
              </w:rPr>
              <w:t>the information is to be</w:t>
            </w:r>
            <w:r w:rsidRPr="009B5734">
              <w:rPr>
                <w:noProof/>
                <w:sz w:val="20"/>
              </w:rPr>
              <w:t xml:space="preserve"> provided </w:t>
            </w:r>
            <w:r w:rsidR="00810E67" w:rsidRPr="009B5734">
              <w:rPr>
                <w:noProof/>
                <w:sz w:val="20"/>
              </w:rPr>
              <w:t xml:space="preserve">to the seller </w:t>
            </w:r>
            <w:r w:rsidRPr="009B5734">
              <w:rPr>
                <w:noProof/>
                <w:sz w:val="20"/>
              </w:rPr>
              <w:t>by manufacturers.</w:t>
            </w:r>
          </w:p>
        </w:tc>
        <w:tc>
          <w:tcPr>
            <w:tcW w:w="1352" w:type="dxa"/>
          </w:tcPr>
          <w:p w:rsidR="00743A4D" w:rsidRPr="009B5734" w:rsidRDefault="00743A4D" w:rsidP="00D7738F">
            <w:pPr>
              <w:ind w:left="0" w:firstLine="0"/>
              <w:rPr>
                <w:noProof/>
              </w:rPr>
            </w:pPr>
            <w:r w:rsidRPr="009B5734">
              <w:rPr>
                <w:noProof/>
              </w:rPr>
              <w:t>Amending the  Consumer Rights Directive</w:t>
            </w:r>
          </w:p>
        </w:tc>
      </w:tr>
      <w:tr w:rsidR="00743A4D" w:rsidRPr="009B5734" w:rsidTr="6B053803">
        <w:tc>
          <w:tcPr>
            <w:tcW w:w="2843" w:type="dxa"/>
          </w:tcPr>
          <w:p w:rsidR="00743A4D" w:rsidRPr="009B5734" w:rsidRDefault="00743A4D" w:rsidP="00743A4D">
            <w:pPr>
              <w:pStyle w:val="Text2"/>
              <w:ind w:left="0" w:firstLine="0"/>
              <w:rPr>
                <w:b/>
                <w:noProof/>
                <w:sz w:val="22"/>
                <w:szCs w:val="22"/>
              </w:rPr>
            </w:pPr>
            <w:r w:rsidRPr="009B5734">
              <w:rPr>
                <w:b/>
                <w:noProof/>
                <w:sz w:val="22"/>
                <w:szCs w:val="22"/>
              </w:rPr>
              <w:t>Option 1.3.C</w:t>
            </w:r>
            <w:r w:rsidR="0012211B" w:rsidRPr="009B5734">
              <w:rPr>
                <w:b/>
                <w:noProof/>
                <w:sz w:val="22"/>
                <w:szCs w:val="22"/>
              </w:rPr>
              <w:t>:</w:t>
            </w:r>
            <w:r w:rsidRPr="009B5734">
              <w:rPr>
                <w:b/>
                <w:noProof/>
                <w:sz w:val="22"/>
                <w:szCs w:val="22"/>
              </w:rPr>
              <w:t xml:space="preserve"> Provision of information on availability of repair services</w:t>
            </w:r>
          </w:p>
          <w:p w:rsidR="00743A4D" w:rsidRPr="009B5734" w:rsidRDefault="00743A4D" w:rsidP="00D7738F">
            <w:pPr>
              <w:ind w:left="0" w:firstLine="0"/>
              <w:rPr>
                <w:b/>
                <w:noProof/>
                <w:sz w:val="22"/>
                <w:szCs w:val="22"/>
              </w:rPr>
            </w:pPr>
          </w:p>
        </w:tc>
        <w:tc>
          <w:tcPr>
            <w:tcW w:w="5487" w:type="dxa"/>
          </w:tcPr>
          <w:p w:rsidR="00743A4D" w:rsidRPr="009B5734" w:rsidRDefault="00743A4D" w:rsidP="00515DE5">
            <w:pPr>
              <w:ind w:left="0" w:firstLine="0"/>
              <w:rPr>
                <w:noProof/>
              </w:rPr>
            </w:pPr>
            <w:r w:rsidRPr="009B5734">
              <w:rPr>
                <w:noProof/>
              </w:rPr>
              <w:t>Inform consumers at the point of sale of the availability of repair services. The seller would be free to decide whether it will refer to either manufacturers’ authorised repairers or independent repairers or to both.</w:t>
            </w:r>
            <w:r w:rsidR="00515DE5" w:rsidRPr="009B5734">
              <w:rPr>
                <w:noProof/>
              </w:rPr>
              <w:t xml:space="preserve"> In case no repair services are available, the consumer would be informed in a prominent way that such services are not available.</w:t>
            </w:r>
          </w:p>
        </w:tc>
        <w:tc>
          <w:tcPr>
            <w:tcW w:w="2410" w:type="dxa"/>
          </w:tcPr>
          <w:p w:rsidR="00743A4D" w:rsidRPr="009B5734" w:rsidRDefault="00B03D01" w:rsidP="00743A4D">
            <w:pPr>
              <w:ind w:left="0" w:firstLine="0"/>
              <w:rPr>
                <w:noProof/>
              </w:rPr>
            </w:pPr>
            <w:r w:rsidRPr="009B5734">
              <w:rPr>
                <w:noProof/>
              </w:rPr>
              <w:t>Medium product scope (i.e. all energy-using goods)</w:t>
            </w:r>
          </w:p>
        </w:tc>
        <w:tc>
          <w:tcPr>
            <w:tcW w:w="2126" w:type="dxa"/>
          </w:tcPr>
          <w:p w:rsidR="00743A4D" w:rsidRPr="009B5734" w:rsidRDefault="00743A4D" w:rsidP="00D7738F">
            <w:pPr>
              <w:ind w:left="0" w:firstLine="0"/>
              <w:rPr>
                <w:noProof/>
              </w:rPr>
            </w:pPr>
            <w:r w:rsidRPr="009B5734">
              <w:rPr>
                <w:noProof/>
              </w:rPr>
              <w:t>Sellers</w:t>
            </w:r>
          </w:p>
        </w:tc>
        <w:tc>
          <w:tcPr>
            <w:tcW w:w="1352" w:type="dxa"/>
          </w:tcPr>
          <w:p w:rsidR="00743A4D" w:rsidRPr="009B5734" w:rsidRDefault="00743A4D" w:rsidP="00D7738F">
            <w:pPr>
              <w:ind w:left="0" w:firstLine="0"/>
              <w:rPr>
                <w:noProof/>
              </w:rPr>
            </w:pPr>
            <w:r w:rsidRPr="009B5734">
              <w:rPr>
                <w:noProof/>
              </w:rPr>
              <w:t>Amending the  Consumer Rights Directive</w:t>
            </w:r>
          </w:p>
        </w:tc>
      </w:tr>
      <w:tr w:rsidR="00743A4D" w:rsidRPr="009B5734" w:rsidTr="6B053803">
        <w:tc>
          <w:tcPr>
            <w:tcW w:w="2843" w:type="dxa"/>
          </w:tcPr>
          <w:p w:rsidR="00743A4D" w:rsidRPr="009B5734" w:rsidRDefault="00743A4D" w:rsidP="00D7738F">
            <w:pPr>
              <w:ind w:left="0" w:firstLine="0"/>
              <w:rPr>
                <w:b/>
                <w:noProof/>
                <w:sz w:val="22"/>
                <w:szCs w:val="22"/>
              </w:rPr>
            </w:pPr>
            <w:r w:rsidRPr="009B5734">
              <w:rPr>
                <w:b/>
                <w:noProof/>
                <w:sz w:val="22"/>
                <w:szCs w:val="22"/>
              </w:rPr>
              <w:t>Option 1.3.D</w:t>
            </w:r>
            <w:r w:rsidR="0012211B" w:rsidRPr="009B5734">
              <w:rPr>
                <w:b/>
                <w:noProof/>
                <w:sz w:val="22"/>
                <w:szCs w:val="22"/>
              </w:rPr>
              <w:t>:</w:t>
            </w:r>
            <w:r w:rsidRPr="009B5734">
              <w:rPr>
                <w:b/>
                <w:noProof/>
                <w:sz w:val="22"/>
                <w:szCs w:val="22"/>
              </w:rPr>
              <w:t xml:space="preserve"> </w:t>
            </w:r>
            <w:r w:rsidRPr="009B5734">
              <w:rPr>
                <w:b/>
                <w:noProof/>
                <w:sz w:val="22"/>
              </w:rPr>
              <w:t>Reparability Scoring Index</w:t>
            </w:r>
          </w:p>
        </w:tc>
        <w:tc>
          <w:tcPr>
            <w:tcW w:w="5487" w:type="dxa"/>
          </w:tcPr>
          <w:p w:rsidR="00743A4D" w:rsidRPr="004931D3" w:rsidRDefault="00743A4D">
            <w:pPr>
              <w:pStyle w:val="Text2"/>
              <w:ind w:left="0" w:firstLine="0"/>
              <w:rPr>
                <w:noProof/>
                <w:sz w:val="20"/>
              </w:rPr>
            </w:pPr>
            <w:r w:rsidRPr="6B053803">
              <w:rPr>
                <w:noProof/>
                <w:sz w:val="20"/>
              </w:rPr>
              <w:t>Provide consumers, at the point of sale, with a repair scoring index, showing how reparable a product is (for example, with 3 to 5 classes</w:t>
            </w:r>
            <w:r w:rsidR="003406C3" w:rsidRPr="6B053803">
              <w:rPr>
                <w:noProof/>
                <w:sz w:val="20"/>
              </w:rPr>
              <w:t xml:space="preserve">). </w:t>
            </w:r>
            <w:r w:rsidRPr="6B053803">
              <w:rPr>
                <w:noProof/>
                <w:sz w:val="20"/>
              </w:rPr>
              <w:t xml:space="preserve">Until precise measurement and calculation methods are provided for specific product categories under EU legislation such as Ecodesign or SPI, manufacturers would be required to apply the </w:t>
            </w:r>
            <w:r w:rsidRPr="005D24D2">
              <w:rPr>
                <w:i/>
                <w:iCs/>
                <w:noProof/>
                <w:sz w:val="20"/>
              </w:rPr>
              <w:t>general</w:t>
            </w:r>
            <w:r w:rsidRPr="6B053803">
              <w:rPr>
                <w:noProof/>
                <w:sz w:val="20"/>
              </w:rPr>
              <w:t xml:space="preserve"> method developed by the Joint Research Centre</w:t>
            </w:r>
            <w:r w:rsidRPr="6B053803">
              <w:rPr>
                <w:rStyle w:val="FootnoteReference"/>
                <w:noProof/>
                <w:sz w:val="20"/>
              </w:rPr>
              <w:footnoteReference w:id="100"/>
            </w:r>
            <w:r w:rsidRPr="6B053803">
              <w:rPr>
                <w:noProof/>
                <w:sz w:val="20"/>
              </w:rPr>
              <w:t>.</w:t>
            </w:r>
          </w:p>
        </w:tc>
        <w:tc>
          <w:tcPr>
            <w:tcW w:w="2410" w:type="dxa"/>
          </w:tcPr>
          <w:p w:rsidR="00743A4D" w:rsidRPr="009B5734" w:rsidRDefault="00B03D01" w:rsidP="00743A4D">
            <w:pPr>
              <w:ind w:left="0" w:firstLine="0"/>
              <w:rPr>
                <w:noProof/>
              </w:rPr>
            </w:pPr>
            <w:r w:rsidRPr="009B5734">
              <w:rPr>
                <w:noProof/>
              </w:rPr>
              <w:t>Medium product scope (i.e. all energy-using goods)</w:t>
            </w:r>
          </w:p>
        </w:tc>
        <w:tc>
          <w:tcPr>
            <w:tcW w:w="2126" w:type="dxa"/>
          </w:tcPr>
          <w:p w:rsidR="00743A4D" w:rsidRPr="009B5734" w:rsidRDefault="00743A4D" w:rsidP="00B85846">
            <w:pPr>
              <w:ind w:left="0" w:firstLine="0"/>
              <w:rPr>
                <w:noProof/>
              </w:rPr>
            </w:pPr>
            <w:r w:rsidRPr="009B5734">
              <w:rPr>
                <w:noProof/>
              </w:rPr>
              <w:t>Sellers, but the assessment to establish the scoring would be carried out by the manufacturer</w:t>
            </w:r>
          </w:p>
        </w:tc>
        <w:tc>
          <w:tcPr>
            <w:tcW w:w="1352" w:type="dxa"/>
          </w:tcPr>
          <w:p w:rsidR="00743A4D" w:rsidRPr="009B5734" w:rsidRDefault="00743A4D" w:rsidP="00D7738F">
            <w:pPr>
              <w:ind w:left="0" w:firstLine="0"/>
              <w:rPr>
                <w:noProof/>
              </w:rPr>
            </w:pPr>
            <w:r w:rsidRPr="009B5734">
              <w:rPr>
                <w:noProof/>
              </w:rPr>
              <w:t>Amending the  Consumer Rights Directive</w:t>
            </w:r>
          </w:p>
        </w:tc>
      </w:tr>
      <w:tr w:rsidR="00743A4D" w:rsidRPr="009B5734" w:rsidTr="6B053803">
        <w:tc>
          <w:tcPr>
            <w:tcW w:w="2843" w:type="dxa"/>
          </w:tcPr>
          <w:p w:rsidR="00743A4D" w:rsidRPr="009B5734" w:rsidRDefault="00743A4D" w:rsidP="00D47126">
            <w:pPr>
              <w:ind w:left="0" w:firstLine="0"/>
              <w:rPr>
                <w:b/>
                <w:noProof/>
              </w:rPr>
            </w:pPr>
            <w:r w:rsidRPr="009B5734">
              <w:rPr>
                <w:b/>
                <w:noProof/>
                <w:sz w:val="22"/>
                <w:szCs w:val="22"/>
              </w:rPr>
              <w:t>Option 1.3.E</w:t>
            </w:r>
            <w:r w:rsidR="0012211B" w:rsidRPr="009B5734">
              <w:rPr>
                <w:b/>
                <w:noProof/>
                <w:sz w:val="22"/>
                <w:szCs w:val="22"/>
              </w:rPr>
              <w:t>:</w:t>
            </w:r>
            <w:r w:rsidRPr="009B5734">
              <w:rPr>
                <w:b/>
                <w:noProof/>
                <w:sz w:val="22"/>
                <w:szCs w:val="22"/>
              </w:rPr>
              <w:t xml:space="preserve"> Provision of Repair Scoring Index, or other relevant repair information on a where applicable</w:t>
            </w:r>
            <w:r w:rsidR="00D47126" w:rsidRPr="009B5734">
              <w:rPr>
                <w:b/>
                <w:noProof/>
                <w:sz w:val="22"/>
                <w:szCs w:val="22"/>
              </w:rPr>
              <w:t>/</w:t>
            </w:r>
            <w:r w:rsidRPr="009B5734">
              <w:rPr>
                <w:b/>
                <w:noProof/>
                <w:sz w:val="22"/>
                <w:szCs w:val="22"/>
              </w:rPr>
              <w:t>available basis</w:t>
            </w:r>
          </w:p>
        </w:tc>
        <w:tc>
          <w:tcPr>
            <w:tcW w:w="5487" w:type="dxa"/>
          </w:tcPr>
          <w:p w:rsidR="00743A4D" w:rsidRPr="009B5734" w:rsidRDefault="00513805" w:rsidP="00513805">
            <w:pPr>
              <w:pStyle w:val="Text2"/>
              <w:ind w:left="0" w:firstLine="0"/>
              <w:rPr>
                <w:noProof/>
                <w:sz w:val="20"/>
              </w:rPr>
            </w:pPr>
            <w:r w:rsidRPr="009B5734">
              <w:rPr>
                <w:noProof/>
                <w:sz w:val="20"/>
              </w:rPr>
              <w:t>Provide consumers, at the point of sale, with a repair scoring index, showing how reparable a product is (for example, with 3 to 5 classes), whenever this is available or required for that product in accordance with EU or national applicable laws. When no such repair scoring index is required or available, provide consumers at the point of sale with other relevant repair information when made available by the manufacturer, such as information about the availability of spare parts, including a procedure for ordering them, information about the availability of repair services, or the availability of a repair manual.</w:t>
            </w:r>
          </w:p>
        </w:tc>
        <w:tc>
          <w:tcPr>
            <w:tcW w:w="2410" w:type="dxa"/>
          </w:tcPr>
          <w:p w:rsidR="00743A4D" w:rsidRPr="009B5734" w:rsidRDefault="00520F00" w:rsidP="00743A4D">
            <w:pPr>
              <w:ind w:left="0" w:firstLine="0"/>
              <w:rPr>
                <w:noProof/>
                <w:highlight w:val="yellow"/>
              </w:rPr>
            </w:pPr>
            <w:r w:rsidRPr="009B5734">
              <w:rPr>
                <w:noProof/>
              </w:rPr>
              <w:t>Open product scope</w:t>
            </w:r>
            <w:r w:rsidR="00C90DAB" w:rsidRPr="009B5734">
              <w:rPr>
                <w:noProof/>
              </w:rPr>
              <w:t xml:space="preserve"> (i.e. product scope is not defined)</w:t>
            </w:r>
          </w:p>
        </w:tc>
        <w:tc>
          <w:tcPr>
            <w:tcW w:w="2126" w:type="dxa"/>
          </w:tcPr>
          <w:p w:rsidR="00743A4D" w:rsidRPr="009B5734" w:rsidRDefault="00743A4D" w:rsidP="00743A4D">
            <w:pPr>
              <w:ind w:left="0" w:firstLine="0"/>
              <w:rPr>
                <w:noProof/>
              </w:rPr>
            </w:pPr>
            <w:r w:rsidRPr="009B5734">
              <w:rPr>
                <w:noProof/>
              </w:rPr>
              <w:t xml:space="preserve">Sellers, based on the information </w:t>
            </w:r>
            <w:r w:rsidR="00810E67" w:rsidRPr="009B5734">
              <w:rPr>
                <w:noProof/>
              </w:rPr>
              <w:t xml:space="preserve">to </w:t>
            </w:r>
            <w:r w:rsidRPr="009B5734">
              <w:rPr>
                <w:noProof/>
              </w:rPr>
              <w:t>be provided by the manufacturers.</w:t>
            </w:r>
          </w:p>
        </w:tc>
        <w:tc>
          <w:tcPr>
            <w:tcW w:w="1352" w:type="dxa"/>
          </w:tcPr>
          <w:p w:rsidR="00743A4D" w:rsidRPr="009B5734" w:rsidRDefault="00743A4D" w:rsidP="00743A4D">
            <w:pPr>
              <w:ind w:left="0" w:firstLine="0"/>
              <w:rPr>
                <w:noProof/>
              </w:rPr>
            </w:pPr>
            <w:r w:rsidRPr="009B5734">
              <w:rPr>
                <w:noProof/>
              </w:rPr>
              <w:t>Amending the  Consumer Rights Directive</w:t>
            </w:r>
          </w:p>
        </w:tc>
      </w:tr>
    </w:tbl>
    <w:p w:rsidR="00D77939" w:rsidRPr="00C310D8" w:rsidRDefault="0011520C" w:rsidP="0011520C">
      <w:pPr>
        <w:pStyle w:val="Text2"/>
        <w:ind w:left="0" w:firstLine="0"/>
        <w:jc w:val="left"/>
        <w:rPr>
          <w:noProof/>
        </w:rPr>
      </w:pPr>
      <w:r w:rsidRPr="009B5734">
        <w:rPr>
          <w:noProof/>
        </w:rPr>
        <w:br/>
      </w:r>
      <w:r w:rsidR="00843A23" w:rsidRPr="00946905">
        <w:rPr>
          <w:b/>
          <w:noProof/>
        </w:rPr>
        <w:t>How do these options interact with the ot</w:t>
      </w:r>
      <w:r w:rsidRPr="00946905">
        <w:rPr>
          <w:b/>
          <w:noProof/>
        </w:rPr>
        <w:t>her initiatives in preparation?</w:t>
      </w:r>
      <w:r w:rsidRPr="009B5734">
        <w:rPr>
          <w:b/>
          <w:noProof/>
        </w:rPr>
        <w:br/>
      </w:r>
      <w:r w:rsidR="00843A23" w:rsidRPr="009B5734">
        <w:rPr>
          <w:noProof/>
        </w:rPr>
        <w:t xml:space="preserve">Under the </w:t>
      </w:r>
      <w:r w:rsidR="00843A23" w:rsidRPr="00946905">
        <w:rPr>
          <w:b/>
          <w:noProof/>
        </w:rPr>
        <w:t xml:space="preserve">Sustainable Products </w:t>
      </w:r>
      <w:r w:rsidR="006C51E0" w:rsidRPr="00946905">
        <w:rPr>
          <w:b/>
          <w:noProof/>
        </w:rPr>
        <w:t>I</w:t>
      </w:r>
      <w:r w:rsidR="00843A23" w:rsidRPr="00946905">
        <w:rPr>
          <w:b/>
          <w:noProof/>
        </w:rPr>
        <w:t>nitiative</w:t>
      </w:r>
      <w:r w:rsidR="00843A23" w:rsidRPr="009B5734">
        <w:rPr>
          <w:noProof/>
        </w:rPr>
        <w:t xml:space="preserve">, specific information requirements on </w:t>
      </w:r>
      <w:r w:rsidR="004933C3" w:rsidRPr="009B5734">
        <w:rPr>
          <w:noProof/>
        </w:rPr>
        <w:t>specific</w:t>
      </w:r>
      <w:r w:rsidR="00843A23" w:rsidRPr="009B5734">
        <w:rPr>
          <w:noProof/>
        </w:rPr>
        <w:t xml:space="preserve"> product</w:t>
      </w:r>
      <w:r w:rsidR="004933C3" w:rsidRPr="009B5734">
        <w:rPr>
          <w:noProof/>
        </w:rPr>
        <w:t xml:space="preserve"> categories may become available, when considered feasible and appropriate, subject to future </w:t>
      </w:r>
      <w:r w:rsidR="3D4D62B3" w:rsidRPr="009B5734">
        <w:rPr>
          <w:noProof/>
        </w:rPr>
        <w:t>I</w:t>
      </w:r>
      <w:r w:rsidR="004933C3" w:rsidRPr="009B5734">
        <w:rPr>
          <w:noProof/>
        </w:rPr>
        <w:t xml:space="preserve">mpact </w:t>
      </w:r>
      <w:r w:rsidR="3D4D62B3" w:rsidRPr="009B5734">
        <w:rPr>
          <w:noProof/>
        </w:rPr>
        <w:t>A</w:t>
      </w:r>
      <w:r w:rsidR="004933C3" w:rsidRPr="009B5734">
        <w:rPr>
          <w:noProof/>
        </w:rPr>
        <w:t xml:space="preserve">ssessments of delegated acts (under the framework legislation)  and further standardisation work (see sub-option 4a of the Impact Assessment for the Sustainable Products Initiative). This information could furthermore be made available to consumers in the form of a Digital Product Passport (see sub-option 4b of the Impact Assessment for the Sustainable Products Initiative). </w:t>
      </w:r>
      <w:r w:rsidR="00F2769B" w:rsidRPr="009B5734">
        <w:rPr>
          <w:noProof/>
        </w:rPr>
        <w:t xml:space="preserve">As such measures would not specifically require the information to be presented in a clear and legible way at the point of sale, and would be implemented gradually and by product category, the extent of the problem and its consequences is expected to remain unchanged for most products. </w:t>
      </w:r>
    </w:p>
    <w:p w:rsidR="006A04E2" w:rsidRPr="009B5734" w:rsidDel="00E77CEF" w:rsidRDefault="00A00208" w:rsidP="00A00208">
      <w:pPr>
        <w:pStyle w:val="Heading4"/>
        <w:rPr>
          <w:noProof/>
        </w:rPr>
      </w:pPr>
      <w:r w:rsidRPr="00A00208">
        <w:t>5.2.2.</w:t>
      </w:r>
      <w:r w:rsidRPr="00A00208">
        <w:tab/>
      </w:r>
      <w:r w:rsidR="00652ABF" w:rsidRPr="009B5734" w:rsidDel="00E77CEF">
        <w:rPr>
          <w:noProof/>
        </w:rPr>
        <w:t xml:space="preserve">Problem 2: Consumers face </w:t>
      </w:r>
      <w:r w:rsidR="00832DAC" w:rsidRPr="009B5734">
        <w:rPr>
          <w:noProof/>
        </w:rPr>
        <w:t>misleading commercial</w:t>
      </w:r>
      <w:r w:rsidR="00652ABF" w:rsidRPr="009B5734" w:rsidDel="00E77CEF">
        <w:rPr>
          <w:noProof/>
        </w:rPr>
        <w:t xml:space="preserve"> practices </w:t>
      </w:r>
      <w:r w:rsidR="0080633B">
        <w:rPr>
          <w:noProof/>
        </w:rPr>
        <w:t>related</w:t>
      </w:r>
      <w:r w:rsidR="00652ABF" w:rsidRPr="009B5734" w:rsidDel="00E77CEF">
        <w:rPr>
          <w:noProof/>
        </w:rPr>
        <w:t xml:space="preserve"> to </w:t>
      </w:r>
      <w:r w:rsidR="0080633B">
        <w:rPr>
          <w:noProof/>
        </w:rPr>
        <w:t>the sustainability of products</w:t>
      </w:r>
    </w:p>
    <w:p w:rsidR="00004692" w:rsidRPr="009B5734" w:rsidRDefault="005B01AB" w:rsidP="00337491">
      <w:pPr>
        <w:pStyle w:val="Heading5"/>
        <w:rPr>
          <w:rFonts w:ascii="Times New Roman" w:hAnsi="Times New Roman" w:cs="Times New Roman"/>
          <w:b w:val="0"/>
          <w:i w:val="0"/>
          <w:noProof/>
          <w:sz w:val="24"/>
        </w:rPr>
      </w:pPr>
      <w:r w:rsidRPr="009B5734">
        <w:rPr>
          <w:rFonts w:ascii="Times New Roman" w:hAnsi="Times New Roman" w:cs="Times New Roman"/>
          <w:b w:val="0"/>
          <w:i w:val="0"/>
          <w:noProof/>
          <w:sz w:val="24"/>
        </w:rPr>
        <w:t xml:space="preserve">5.2.2.1. </w:t>
      </w:r>
      <w:r w:rsidR="00652ABF" w:rsidRPr="009B5734">
        <w:rPr>
          <w:rFonts w:ascii="Times New Roman" w:hAnsi="Times New Roman" w:cs="Times New Roman"/>
          <w:b w:val="0"/>
          <w:i w:val="0"/>
          <w:noProof/>
          <w:sz w:val="24"/>
        </w:rPr>
        <w:t xml:space="preserve">Sub-problem 2.1: Consumers are sold products that do not last as long as they </w:t>
      </w:r>
      <w:r w:rsidR="00BF4AC8" w:rsidRPr="009B5734">
        <w:rPr>
          <w:rFonts w:ascii="Times New Roman" w:hAnsi="Times New Roman" w:cs="Times New Roman"/>
          <w:b w:val="0"/>
          <w:i w:val="0"/>
          <w:noProof/>
          <w:sz w:val="24"/>
        </w:rPr>
        <w:t>could</w:t>
      </w:r>
      <w:r w:rsidR="00652ABF" w:rsidRPr="009B5734">
        <w:rPr>
          <w:rFonts w:ascii="Times New Roman" w:hAnsi="Times New Roman" w:cs="Times New Roman"/>
          <w:b w:val="0"/>
          <w:i w:val="0"/>
          <w:noProof/>
          <w:sz w:val="24"/>
        </w:rPr>
        <w:t xml:space="preserve"> and consumers expect</w:t>
      </w:r>
    </w:p>
    <w:p w:rsidR="003B589D" w:rsidRDefault="00810E67">
      <w:pPr>
        <w:pStyle w:val="BodyText"/>
        <w:rPr>
          <w:rFonts w:ascii="Times New Roman" w:hAnsi="Times New Roman"/>
          <w:b/>
          <w:bCs/>
          <w:noProof/>
          <w:sz w:val="24"/>
        </w:rPr>
      </w:pPr>
      <w:r w:rsidRPr="005D24D2">
        <w:rPr>
          <w:rFonts w:ascii="Times New Roman" w:hAnsi="Times New Roman"/>
          <w:b/>
          <w:bCs/>
          <w:noProof/>
          <w:sz w:val="24"/>
        </w:rPr>
        <w:t xml:space="preserve">What are the options considered </w:t>
      </w:r>
      <w:r w:rsidR="00A86D06" w:rsidRPr="005D24D2">
        <w:rPr>
          <w:rFonts w:ascii="Times New Roman" w:hAnsi="Times New Roman"/>
          <w:b/>
          <w:bCs/>
          <w:noProof/>
          <w:sz w:val="24"/>
        </w:rPr>
        <w:t>in order to address</w:t>
      </w:r>
      <w:r w:rsidRPr="005D24D2">
        <w:rPr>
          <w:rFonts w:ascii="Times New Roman" w:hAnsi="Times New Roman"/>
          <w:b/>
          <w:bCs/>
          <w:noProof/>
          <w:sz w:val="24"/>
        </w:rPr>
        <w:t xml:space="preserve"> this sub-problem?</w:t>
      </w:r>
    </w:p>
    <w:p w:rsidR="007A6D21" w:rsidRPr="008D65D2" w:rsidRDefault="007A6D21" w:rsidP="008D65D2">
      <w:pPr>
        <w:pStyle w:val="BodyText"/>
        <w:ind w:left="0" w:firstLine="0"/>
        <w:rPr>
          <w:rFonts w:ascii="Times New Roman" w:hAnsi="Times New Roman"/>
          <w:noProof/>
          <w:sz w:val="24"/>
        </w:rPr>
      </w:pPr>
      <w:r w:rsidRPr="008D65D2">
        <w:rPr>
          <w:rFonts w:ascii="Times New Roman" w:hAnsi="Times New Roman"/>
          <w:noProof/>
          <w:sz w:val="24"/>
        </w:rPr>
        <w:t xml:space="preserve">While the </w:t>
      </w:r>
      <w:r>
        <w:rPr>
          <w:rFonts w:ascii="Times New Roman" w:hAnsi="Times New Roman"/>
          <w:noProof/>
          <w:sz w:val="24"/>
        </w:rPr>
        <w:t>two</w:t>
      </w:r>
      <w:r w:rsidRPr="008D65D2">
        <w:rPr>
          <w:rFonts w:ascii="Times New Roman" w:hAnsi="Times New Roman"/>
          <w:noProof/>
          <w:sz w:val="24"/>
        </w:rPr>
        <w:t xml:space="preserve"> options presented below to address this sub-problem are not mutually exclusive, they are not considered in combination as this would entail significant duplication of impacts. The purpose of the division into </w:t>
      </w:r>
      <w:r>
        <w:rPr>
          <w:rFonts w:ascii="Times New Roman" w:hAnsi="Times New Roman"/>
          <w:noProof/>
          <w:sz w:val="24"/>
        </w:rPr>
        <w:t>two</w:t>
      </w:r>
      <w:r w:rsidRPr="008D65D2">
        <w:rPr>
          <w:rFonts w:ascii="Times New Roman" w:hAnsi="Times New Roman"/>
          <w:noProof/>
          <w:sz w:val="24"/>
        </w:rPr>
        <w:t xml:space="preserve"> distinct </w:t>
      </w:r>
      <w:r w:rsidR="00B63A7B">
        <w:rPr>
          <w:rFonts w:ascii="Times New Roman" w:hAnsi="Times New Roman"/>
          <w:noProof/>
          <w:sz w:val="24"/>
        </w:rPr>
        <w:t xml:space="preserve">policy </w:t>
      </w:r>
      <w:r w:rsidRPr="008D65D2">
        <w:rPr>
          <w:rFonts w:ascii="Times New Roman" w:hAnsi="Times New Roman"/>
          <w:noProof/>
          <w:sz w:val="24"/>
        </w:rPr>
        <w:t>options is to calculate the impacts of the options as accurately as possible</w:t>
      </w:r>
      <w:r w:rsidR="00B63A7B">
        <w:rPr>
          <w:rFonts w:ascii="Times New Roman" w:hAnsi="Times New Roman"/>
          <w:noProof/>
          <w:sz w:val="24"/>
        </w:rPr>
        <w:t xml:space="preserve">, </w:t>
      </w:r>
      <w:r w:rsidR="00B63A7B" w:rsidRPr="008D65D2">
        <w:rPr>
          <w:rFonts w:ascii="Times New Roman" w:hAnsi="Times New Roman"/>
          <w:noProof/>
          <w:sz w:val="24"/>
        </w:rPr>
        <w:t>and thus to facilitate a decision regarding the preferred policy option</w:t>
      </w:r>
      <w:r w:rsidRPr="008D65D2">
        <w:rPr>
          <w:rFonts w:ascii="Times New Roman" w:hAnsi="Times New Roman"/>
          <w:noProof/>
          <w:sz w:val="24"/>
        </w:rPr>
        <w:t xml:space="preserve">. </w:t>
      </w:r>
    </w:p>
    <w:tbl>
      <w:tblPr>
        <w:tblStyle w:val="TableGrid"/>
        <w:tblW w:w="0" w:type="auto"/>
        <w:tblLook w:val="04A0" w:firstRow="1" w:lastRow="0" w:firstColumn="1" w:lastColumn="0" w:noHBand="0" w:noVBand="1"/>
      </w:tblPr>
      <w:tblGrid>
        <w:gridCol w:w="2800"/>
        <w:gridCol w:w="5508"/>
        <w:gridCol w:w="2368"/>
        <w:gridCol w:w="1829"/>
        <w:gridCol w:w="1487"/>
      </w:tblGrid>
      <w:tr w:rsidR="00790CCA" w:rsidRPr="009B5734" w:rsidTr="6B053803">
        <w:tc>
          <w:tcPr>
            <w:tcW w:w="2843" w:type="dxa"/>
            <w:shd w:val="clear" w:color="auto" w:fill="9BBB59" w:themeFill="accent3"/>
          </w:tcPr>
          <w:p w:rsidR="0017406C" w:rsidRPr="009B5734" w:rsidRDefault="0017406C" w:rsidP="0017406C">
            <w:pPr>
              <w:pStyle w:val="Text2"/>
              <w:ind w:left="0" w:firstLine="0"/>
              <w:rPr>
                <w:b/>
                <w:noProof/>
                <w:sz w:val="20"/>
              </w:rPr>
            </w:pPr>
          </w:p>
        </w:tc>
        <w:tc>
          <w:tcPr>
            <w:tcW w:w="5629" w:type="dxa"/>
            <w:shd w:val="clear" w:color="auto" w:fill="9BBB59" w:themeFill="accent3"/>
          </w:tcPr>
          <w:p w:rsidR="0017406C" w:rsidRPr="009B5734" w:rsidRDefault="0017406C" w:rsidP="0017406C">
            <w:pPr>
              <w:pStyle w:val="Text2"/>
              <w:ind w:left="0" w:firstLine="0"/>
              <w:rPr>
                <w:b/>
                <w:noProof/>
                <w:sz w:val="20"/>
              </w:rPr>
            </w:pPr>
            <w:r w:rsidRPr="009B5734">
              <w:rPr>
                <w:b/>
                <w:noProof/>
                <w:sz w:val="20"/>
              </w:rPr>
              <w:t>Description of the option</w:t>
            </w:r>
          </w:p>
        </w:tc>
        <w:tc>
          <w:tcPr>
            <w:tcW w:w="2409" w:type="dxa"/>
            <w:shd w:val="clear" w:color="auto" w:fill="9BBB59" w:themeFill="accent3"/>
          </w:tcPr>
          <w:p w:rsidR="0017406C" w:rsidRPr="009B5734" w:rsidRDefault="0017406C" w:rsidP="0017406C">
            <w:pPr>
              <w:pStyle w:val="Text2"/>
              <w:ind w:left="0" w:firstLine="0"/>
              <w:rPr>
                <w:b/>
                <w:noProof/>
                <w:sz w:val="20"/>
              </w:rPr>
            </w:pPr>
            <w:r w:rsidRPr="009B5734">
              <w:rPr>
                <w:b/>
                <w:noProof/>
                <w:sz w:val="20"/>
              </w:rPr>
              <w:t>Product scope</w:t>
            </w:r>
          </w:p>
        </w:tc>
        <w:tc>
          <w:tcPr>
            <w:tcW w:w="1843" w:type="dxa"/>
            <w:shd w:val="clear" w:color="auto" w:fill="9BBB59" w:themeFill="accent3"/>
          </w:tcPr>
          <w:p w:rsidR="0017406C" w:rsidRPr="009B5734" w:rsidRDefault="0017406C" w:rsidP="0017406C">
            <w:pPr>
              <w:pStyle w:val="Text2"/>
              <w:ind w:left="0" w:firstLine="0"/>
              <w:rPr>
                <w:b/>
                <w:noProof/>
                <w:sz w:val="20"/>
              </w:rPr>
            </w:pPr>
            <w:r w:rsidRPr="009B5734">
              <w:rPr>
                <w:b/>
                <w:noProof/>
                <w:sz w:val="20"/>
              </w:rPr>
              <w:t>Addressees</w:t>
            </w:r>
          </w:p>
        </w:tc>
        <w:tc>
          <w:tcPr>
            <w:tcW w:w="1494" w:type="dxa"/>
            <w:shd w:val="clear" w:color="auto" w:fill="9BBB59" w:themeFill="accent3"/>
          </w:tcPr>
          <w:p w:rsidR="0017406C" w:rsidRPr="009B5734" w:rsidRDefault="0017406C" w:rsidP="0017406C">
            <w:pPr>
              <w:pStyle w:val="Text2"/>
              <w:ind w:left="0" w:firstLine="0"/>
              <w:rPr>
                <w:b/>
                <w:noProof/>
                <w:sz w:val="20"/>
              </w:rPr>
            </w:pPr>
            <w:r w:rsidRPr="009B5734">
              <w:rPr>
                <w:b/>
                <w:noProof/>
                <w:sz w:val="20"/>
              </w:rPr>
              <w:t>Nature of intervention</w:t>
            </w:r>
          </w:p>
        </w:tc>
      </w:tr>
      <w:tr w:rsidR="0017406C" w:rsidRPr="009B5734" w:rsidTr="6B053803">
        <w:tc>
          <w:tcPr>
            <w:tcW w:w="2843" w:type="dxa"/>
          </w:tcPr>
          <w:p w:rsidR="0017406C" w:rsidRPr="009B5734" w:rsidRDefault="0017406C" w:rsidP="0017406C">
            <w:pPr>
              <w:pStyle w:val="Text2"/>
              <w:ind w:left="0" w:firstLine="0"/>
              <w:rPr>
                <w:b/>
                <w:noProof/>
                <w:sz w:val="22"/>
                <w:szCs w:val="22"/>
              </w:rPr>
            </w:pPr>
            <w:r w:rsidRPr="009B5734">
              <w:rPr>
                <w:b/>
                <w:noProof/>
                <w:sz w:val="22"/>
                <w:szCs w:val="22"/>
              </w:rPr>
              <w:t>Option 2.1.</w:t>
            </w:r>
            <w:r w:rsidR="000623E5" w:rsidRPr="009B5734">
              <w:rPr>
                <w:b/>
                <w:noProof/>
                <w:sz w:val="22"/>
                <w:szCs w:val="22"/>
              </w:rPr>
              <w:t>A</w:t>
            </w:r>
            <w:r w:rsidRPr="009B5734">
              <w:rPr>
                <w:b/>
                <w:noProof/>
                <w:sz w:val="22"/>
                <w:szCs w:val="22"/>
              </w:rPr>
              <w:t>: Collection of evidence on early failures of products identified by authorised entities</w:t>
            </w:r>
          </w:p>
        </w:tc>
        <w:tc>
          <w:tcPr>
            <w:tcW w:w="5629" w:type="dxa"/>
          </w:tcPr>
          <w:p w:rsidR="00D6101D" w:rsidRPr="009B5734" w:rsidRDefault="00EB36BE" w:rsidP="00EB36BE">
            <w:pPr>
              <w:ind w:left="0" w:firstLine="0"/>
              <w:rPr>
                <w:noProof/>
              </w:rPr>
            </w:pPr>
            <w:r w:rsidRPr="009B5734">
              <w:rPr>
                <w:noProof/>
              </w:rPr>
              <w:t xml:space="preserve">In all EU 27 countries, </w:t>
            </w:r>
            <w:r w:rsidR="00702D16" w:rsidRPr="009B5734">
              <w:rPr>
                <w:noProof/>
              </w:rPr>
              <w:t xml:space="preserve">a </w:t>
            </w:r>
            <w:r w:rsidRPr="009B5734">
              <w:rPr>
                <w:noProof/>
              </w:rPr>
              <w:t>c</w:t>
            </w:r>
            <w:r w:rsidR="0017406C" w:rsidRPr="009B5734">
              <w:rPr>
                <w:noProof/>
              </w:rPr>
              <w:t xml:space="preserve">ollection by third party “authorised entities” (such as  consumer organisations, market monitoring bodies, nominated by Member States) of evidence (results of independent testing, based on consumer complaints etc.) on certain aspects of the product’s design that could cause an early failure of the product, thus reducing its lifespan. </w:t>
            </w:r>
            <w:r w:rsidR="00500B9D" w:rsidRPr="009B5734">
              <w:rPr>
                <w:noProof/>
              </w:rPr>
              <w:t xml:space="preserve">The authorised entities would be asked to make this information available to the public via appropriate communication channels (e.g. website </w:t>
            </w:r>
            <w:r w:rsidR="009B5734" w:rsidRPr="009B5734">
              <w:rPr>
                <w:noProof/>
              </w:rPr>
              <w:t>etc.</w:t>
            </w:r>
            <w:r w:rsidR="00500B9D" w:rsidRPr="009B5734">
              <w:rPr>
                <w:noProof/>
              </w:rPr>
              <w:t>).</w:t>
            </w:r>
          </w:p>
        </w:tc>
        <w:tc>
          <w:tcPr>
            <w:tcW w:w="2409" w:type="dxa"/>
          </w:tcPr>
          <w:p w:rsidR="0017406C" w:rsidRPr="009B5734" w:rsidRDefault="0017406C" w:rsidP="0017406C">
            <w:pPr>
              <w:pStyle w:val="Text2"/>
              <w:ind w:left="0" w:firstLine="0"/>
              <w:rPr>
                <w:noProof/>
                <w:sz w:val="20"/>
              </w:rPr>
            </w:pPr>
            <w:r w:rsidRPr="009B5734">
              <w:rPr>
                <w:noProof/>
                <w:sz w:val="20"/>
              </w:rPr>
              <w:t>Fully horizontal product scope but due to its nature would only be applicable to specific cases involving durable consumer goods</w:t>
            </w:r>
            <w:r w:rsidRPr="009B5734" w:rsidDel="00D76314">
              <w:rPr>
                <w:noProof/>
                <w:sz w:val="20"/>
              </w:rPr>
              <w:t xml:space="preserve"> </w:t>
            </w:r>
          </w:p>
          <w:p w:rsidR="0017406C" w:rsidRPr="009B5734" w:rsidRDefault="0017406C" w:rsidP="0017406C">
            <w:pPr>
              <w:pStyle w:val="Text2"/>
              <w:ind w:left="0" w:firstLine="0"/>
              <w:rPr>
                <w:b/>
                <w:noProof/>
                <w:sz w:val="20"/>
              </w:rPr>
            </w:pPr>
          </w:p>
        </w:tc>
        <w:tc>
          <w:tcPr>
            <w:tcW w:w="1843" w:type="dxa"/>
          </w:tcPr>
          <w:p w:rsidR="0017406C" w:rsidRPr="009B5734" w:rsidRDefault="0017406C" w:rsidP="0017406C">
            <w:pPr>
              <w:pStyle w:val="Text2"/>
              <w:ind w:left="0" w:firstLine="0"/>
              <w:rPr>
                <w:b/>
                <w:noProof/>
                <w:sz w:val="20"/>
              </w:rPr>
            </w:pPr>
            <w:r w:rsidRPr="009B5734">
              <w:rPr>
                <w:noProof/>
                <w:sz w:val="20"/>
              </w:rPr>
              <w:t>Authorised entities collecting this evidence, nominated by Member States.</w:t>
            </w:r>
          </w:p>
        </w:tc>
        <w:tc>
          <w:tcPr>
            <w:tcW w:w="1494" w:type="dxa"/>
          </w:tcPr>
          <w:p w:rsidR="0017406C" w:rsidRPr="009B5734" w:rsidRDefault="0017406C" w:rsidP="0017406C">
            <w:pPr>
              <w:pStyle w:val="Text2"/>
              <w:ind w:left="0" w:firstLine="0"/>
              <w:rPr>
                <w:noProof/>
                <w:sz w:val="20"/>
              </w:rPr>
            </w:pPr>
            <w:r w:rsidRPr="009B5734">
              <w:rPr>
                <w:noProof/>
                <w:sz w:val="20"/>
              </w:rPr>
              <w:t>New provisions</w:t>
            </w:r>
            <w:r w:rsidR="00262A36" w:rsidRPr="009B5734">
              <w:rPr>
                <w:noProof/>
                <w:sz w:val="20"/>
              </w:rPr>
              <w:t xml:space="preserve"> in a separate </w:t>
            </w:r>
            <w:r w:rsidR="00713896" w:rsidRPr="009B5734">
              <w:rPr>
                <w:noProof/>
                <w:sz w:val="20"/>
              </w:rPr>
              <w:t>instrument</w:t>
            </w:r>
          </w:p>
          <w:p w:rsidR="0017406C" w:rsidRPr="009B5734" w:rsidRDefault="0017406C" w:rsidP="0017406C">
            <w:pPr>
              <w:pStyle w:val="Text2"/>
              <w:ind w:left="0" w:firstLine="0"/>
              <w:rPr>
                <w:b/>
                <w:noProof/>
                <w:sz w:val="20"/>
              </w:rPr>
            </w:pPr>
          </w:p>
        </w:tc>
      </w:tr>
      <w:tr w:rsidR="0017406C" w:rsidRPr="009B5734" w:rsidTr="6B053803">
        <w:tc>
          <w:tcPr>
            <w:tcW w:w="2843" w:type="dxa"/>
          </w:tcPr>
          <w:p w:rsidR="0017406C" w:rsidRPr="009B5734" w:rsidRDefault="0017406C" w:rsidP="0017406C">
            <w:pPr>
              <w:pStyle w:val="Text2"/>
              <w:ind w:left="0" w:firstLine="0"/>
              <w:rPr>
                <w:b/>
                <w:noProof/>
                <w:sz w:val="22"/>
                <w:szCs w:val="22"/>
              </w:rPr>
            </w:pPr>
            <w:r w:rsidRPr="009B5734">
              <w:rPr>
                <w:b/>
                <w:noProof/>
                <w:sz w:val="22"/>
                <w:szCs w:val="22"/>
              </w:rPr>
              <w:t>Option 2.1.</w:t>
            </w:r>
            <w:r w:rsidR="000623E5" w:rsidRPr="009B5734">
              <w:rPr>
                <w:b/>
                <w:noProof/>
                <w:sz w:val="22"/>
                <w:szCs w:val="22"/>
              </w:rPr>
              <w:t>B</w:t>
            </w:r>
            <w:r w:rsidRPr="009B5734">
              <w:rPr>
                <w:b/>
                <w:noProof/>
                <w:sz w:val="22"/>
                <w:szCs w:val="22"/>
              </w:rPr>
              <w:t>: Ban of certain identified practices associated with early obsolescence</w:t>
            </w:r>
          </w:p>
        </w:tc>
        <w:tc>
          <w:tcPr>
            <w:tcW w:w="5629" w:type="dxa"/>
          </w:tcPr>
          <w:p w:rsidR="0017406C" w:rsidRPr="009B5734" w:rsidRDefault="0017406C" w:rsidP="0039042B">
            <w:pPr>
              <w:ind w:left="0" w:firstLine="0"/>
              <w:rPr>
                <w:noProof/>
                <w:szCs w:val="24"/>
              </w:rPr>
            </w:pPr>
            <w:r w:rsidRPr="009B5734">
              <w:rPr>
                <w:noProof/>
              </w:rPr>
              <w:t xml:space="preserve">Ban of specifically identified </w:t>
            </w:r>
            <w:r w:rsidR="00AA4411" w:rsidRPr="009B5734">
              <w:rPr>
                <w:noProof/>
              </w:rPr>
              <w:t xml:space="preserve">early </w:t>
            </w:r>
            <w:r w:rsidRPr="009B5734">
              <w:rPr>
                <w:noProof/>
              </w:rPr>
              <w:t xml:space="preserve">obsolescence practices such as </w:t>
            </w:r>
            <w:r w:rsidR="00AA4411" w:rsidRPr="009B5734">
              <w:rPr>
                <w:noProof/>
              </w:rPr>
              <w:t>providing</w:t>
            </w:r>
            <w:r w:rsidRPr="009B5734">
              <w:rPr>
                <w:noProof/>
              </w:rPr>
              <w:t xml:space="preserve"> software updates resulting in slowing down goods with digital elements or digital content/service without clearly informing the consumer thereof; not providing software updates which are needed for the proper functioning of the device (in accordance with legal requirements</w:t>
            </w:r>
            <w:r w:rsidRPr="009B5734">
              <w:rPr>
                <w:rStyle w:val="FootnoteReference"/>
                <w:noProof/>
              </w:rPr>
              <w:footnoteReference w:id="101"/>
            </w:r>
            <w:r w:rsidRPr="009B5734">
              <w:rPr>
                <w:noProof/>
              </w:rPr>
              <w:t xml:space="preserve">); marketing of goods without disclosing the fact that these goods have been designed with a view to limit their durability; marketing of goods without disclosing the fact that they do not allow disassembly </w:t>
            </w:r>
            <w:r w:rsidR="00713896" w:rsidRPr="009B5734">
              <w:rPr>
                <w:noProof/>
              </w:rPr>
              <w:t xml:space="preserve">or </w:t>
            </w:r>
            <w:r w:rsidRPr="009B5734">
              <w:rPr>
                <w:noProof/>
              </w:rPr>
              <w:t>repair (in accordance with legal requirements)</w:t>
            </w:r>
            <w:r w:rsidR="0039042B" w:rsidRPr="009B5734">
              <w:rPr>
                <w:noProof/>
              </w:rPr>
              <w:t xml:space="preserve"> such as not allowing the battery or the screen to be replaced by the user</w:t>
            </w:r>
            <w:r w:rsidR="0039042B" w:rsidRPr="009B5734">
              <w:rPr>
                <w:rStyle w:val="FootnoteReference"/>
                <w:noProof/>
                <w:vertAlign w:val="baseline"/>
              </w:rPr>
              <w:t xml:space="preserve"> </w:t>
            </w:r>
            <w:r w:rsidRPr="009B5734">
              <w:rPr>
                <w:rStyle w:val="FootnoteReference"/>
                <w:noProof/>
              </w:rPr>
              <w:footnoteReference w:id="102"/>
            </w:r>
            <w:r w:rsidR="000017B7">
              <w:rPr>
                <w:rStyle w:val="FootnoteReference"/>
                <w:noProof/>
                <w:vertAlign w:val="baseline"/>
              </w:rPr>
              <w:t xml:space="preserve">; </w:t>
            </w:r>
            <w:r w:rsidR="000017B7">
              <w:rPr>
                <w:noProof/>
              </w:rPr>
              <w:t>m</w:t>
            </w:r>
            <w:r w:rsidR="000017B7" w:rsidRPr="000006E7">
              <w:rPr>
                <w:noProof/>
              </w:rPr>
              <w:t>arketing of goods that are designed in a way to induce the consumer into replacing their consumable</w:t>
            </w:r>
            <w:r w:rsidR="000017B7" w:rsidRPr="000006E7">
              <w:rPr>
                <w:b/>
                <w:bCs/>
                <w:noProof/>
              </w:rPr>
              <w:t>s</w:t>
            </w:r>
            <w:r w:rsidR="000017B7" w:rsidRPr="000006E7">
              <w:rPr>
                <w:noProof/>
              </w:rPr>
              <w:t xml:space="preserve"> earlier </w:t>
            </w:r>
            <w:r w:rsidR="000017B7" w:rsidRPr="00DA30E4">
              <w:rPr>
                <w:bCs/>
                <w:noProof/>
              </w:rPr>
              <w:t>than</w:t>
            </w:r>
            <w:r w:rsidR="000017B7" w:rsidRPr="000006E7">
              <w:rPr>
                <w:b/>
                <w:bCs/>
                <w:noProof/>
              </w:rPr>
              <w:t xml:space="preserve"> </w:t>
            </w:r>
            <w:r w:rsidR="000017B7" w:rsidRPr="000006E7">
              <w:rPr>
                <w:noProof/>
              </w:rPr>
              <w:t xml:space="preserve">for technical or other valid reasons </w:t>
            </w:r>
            <w:r w:rsidR="000017B7" w:rsidRPr="00A73572">
              <w:rPr>
                <w:noProof/>
              </w:rPr>
              <w:t>is necessary,</w:t>
            </w:r>
            <w:r w:rsidR="000017B7" w:rsidRPr="000006E7">
              <w:rPr>
                <w:noProof/>
              </w:rPr>
              <w:t xml:space="preserve"> </w:t>
            </w:r>
            <w:r w:rsidR="000017B7" w:rsidRPr="00A73572">
              <w:rPr>
                <w:noProof/>
              </w:rPr>
              <w:t>or to prevent the use of consumables provided by alternative producers without informing the consumer thereof</w:t>
            </w:r>
            <w:r w:rsidRPr="009B5734">
              <w:rPr>
                <w:noProof/>
              </w:rPr>
              <w:t>.</w:t>
            </w:r>
          </w:p>
        </w:tc>
        <w:tc>
          <w:tcPr>
            <w:tcW w:w="2409" w:type="dxa"/>
          </w:tcPr>
          <w:p w:rsidR="0017406C" w:rsidRPr="009B5734" w:rsidRDefault="0017406C" w:rsidP="0017406C">
            <w:pPr>
              <w:pStyle w:val="Text2"/>
              <w:ind w:left="0" w:firstLine="0"/>
              <w:rPr>
                <w:noProof/>
                <w:sz w:val="20"/>
              </w:rPr>
            </w:pPr>
            <w:r w:rsidRPr="009B5734">
              <w:rPr>
                <w:noProof/>
                <w:sz w:val="20"/>
              </w:rPr>
              <w:t>Fully horizontal product scope but due to its nature would only be applicable to specific cases involving durable consumer goods</w:t>
            </w:r>
            <w:r w:rsidRPr="009B5734" w:rsidDel="00D76314">
              <w:rPr>
                <w:noProof/>
                <w:sz w:val="20"/>
              </w:rPr>
              <w:t xml:space="preserve"> </w:t>
            </w:r>
          </w:p>
          <w:p w:rsidR="0017406C" w:rsidRPr="009B5734" w:rsidRDefault="0017406C" w:rsidP="0017406C">
            <w:pPr>
              <w:pStyle w:val="Text2"/>
              <w:ind w:left="0" w:firstLine="0"/>
              <w:rPr>
                <w:noProof/>
                <w:sz w:val="20"/>
              </w:rPr>
            </w:pPr>
          </w:p>
          <w:p w:rsidR="0017406C" w:rsidRPr="009B5734" w:rsidRDefault="0017406C" w:rsidP="0017406C">
            <w:pPr>
              <w:pStyle w:val="Text2"/>
              <w:ind w:left="0" w:firstLine="0"/>
              <w:rPr>
                <w:b/>
                <w:noProof/>
                <w:sz w:val="20"/>
              </w:rPr>
            </w:pPr>
          </w:p>
        </w:tc>
        <w:tc>
          <w:tcPr>
            <w:tcW w:w="1843" w:type="dxa"/>
          </w:tcPr>
          <w:p w:rsidR="0017406C" w:rsidRPr="009B5734" w:rsidRDefault="0017406C" w:rsidP="0017406C">
            <w:pPr>
              <w:pStyle w:val="Text2"/>
              <w:ind w:left="0" w:firstLine="0"/>
              <w:rPr>
                <w:b/>
                <w:noProof/>
                <w:sz w:val="20"/>
              </w:rPr>
            </w:pPr>
            <w:r w:rsidRPr="009B5734">
              <w:rPr>
                <w:noProof/>
                <w:sz w:val="20"/>
              </w:rPr>
              <w:t xml:space="preserve">Traders that are </w:t>
            </w:r>
            <w:r w:rsidR="003D1FD3" w:rsidRPr="009B5734">
              <w:rPr>
                <w:noProof/>
                <w:sz w:val="20"/>
              </w:rPr>
              <w:t>engaged in</w:t>
            </w:r>
            <w:r w:rsidRPr="009B5734">
              <w:rPr>
                <w:noProof/>
                <w:sz w:val="20"/>
              </w:rPr>
              <w:t xml:space="preserve"> these practices</w:t>
            </w:r>
            <w:r w:rsidR="003D1FD3" w:rsidRPr="009B5734">
              <w:rPr>
                <w:noProof/>
                <w:sz w:val="20"/>
              </w:rPr>
              <w:t xml:space="preserve"> towards consumers</w:t>
            </w:r>
            <w:r w:rsidRPr="009B5734">
              <w:rPr>
                <w:noProof/>
                <w:sz w:val="20"/>
              </w:rPr>
              <w:t>, in</w:t>
            </w:r>
            <w:r w:rsidR="003D1FD3" w:rsidRPr="009B5734">
              <w:rPr>
                <w:noProof/>
                <w:sz w:val="20"/>
              </w:rPr>
              <w:t>cluding</w:t>
            </w:r>
            <w:r w:rsidRPr="009B5734">
              <w:rPr>
                <w:noProof/>
                <w:sz w:val="20"/>
              </w:rPr>
              <w:t xml:space="preserve"> manufacturers</w:t>
            </w:r>
          </w:p>
        </w:tc>
        <w:tc>
          <w:tcPr>
            <w:tcW w:w="1494" w:type="dxa"/>
          </w:tcPr>
          <w:p w:rsidR="0017406C" w:rsidRPr="009B5734" w:rsidRDefault="0017406C" w:rsidP="0017406C">
            <w:pPr>
              <w:pStyle w:val="Text2"/>
              <w:ind w:left="0" w:firstLine="0"/>
              <w:rPr>
                <w:b/>
                <w:noProof/>
                <w:sz w:val="20"/>
              </w:rPr>
            </w:pPr>
            <w:r w:rsidRPr="009B5734">
              <w:rPr>
                <w:noProof/>
                <w:sz w:val="20"/>
              </w:rPr>
              <w:t>Amending Unfair Commercial Practices Directive</w:t>
            </w:r>
          </w:p>
        </w:tc>
      </w:tr>
    </w:tbl>
    <w:p w:rsidR="0011520C" w:rsidRPr="009B5734" w:rsidRDefault="0011520C" w:rsidP="0011520C">
      <w:pPr>
        <w:pStyle w:val="Text2"/>
        <w:ind w:left="0" w:firstLine="0"/>
        <w:jc w:val="left"/>
        <w:rPr>
          <w:b/>
          <w:noProof/>
        </w:rPr>
      </w:pPr>
    </w:p>
    <w:p w:rsidR="00843A23" w:rsidRPr="00946905" w:rsidRDefault="00843A23" w:rsidP="0011520C">
      <w:pPr>
        <w:pStyle w:val="Text2"/>
        <w:ind w:left="0" w:firstLine="0"/>
        <w:jc w:val="left"/>
        <w:rPr>
          <w:b/>
          <w:noProof/>
        </w:rPr>
      </w:pPr>
      <w:r w:rsidRPr="00946905">
        <w:rPr>
          <w:b/>
          <w:noProof/>
        </w:rPr>
        <w:t>How do these option interact with ot</w:t>
      </w:r>
      <w:r w:rsidR="0011520C" w:rsidRPr="00946905">
        <w:rPr>
          <w:b/>
          <w:noProof/>
        </w:rPr>
        <w:t>her initiatives in preparation?</w:t>
      </w:r>
      <w:r w:rsidR="0011520C" w:rsidRPr="009B5734">
        <w:rPr>
          <w:b/>
          <w:noProof/>
        </w:rPr>
        <w:br/>
      </w:r>
      <w:r w:rsidRPr="009B5734">
        <w:rPr>
          <w:noProof/>
        </w:rPr>
        <w:t xml:space="preserve">Some changes are expected regarding the extent of the problem and its consequences thanks to the improvements concerning the durability of some products (or some of the product components) and their reparability as a consequence of the </w:t>
      </w:r>
      <w:r w:rsidRPr="00946905">
        <w:rPr>
          <w:b/>
          <w:noProof/>
        </w:rPr>
        <w:t>Sustainable Products Initiative</w:t>
      </w:r>
      <w:r w:rsidR="00A9258E" w:rsidRPr="00946905">
        <w:rPr>
          <w:b/>
          <w:noProof/>
        </w:rPr>
        <w:t xml:space="preserve">, </w:t>
      </w:r>
      <w:r w:rsidR="00A9258E" w:rsidRPr="009B5734">
        <w:rPr>
          <w:noProof/>
        </w:rPr>
        <w:t xml:space="preserve">when considered feasible and appropriate, subject to future </w:t>
      </w:r>
      <w:r w:rsidR="528A0238" w:rsidRPr="009B5734">
        <w:rPr>
          <w:noProof/>
        </w:rPr>
        <w:t>I</w:t>
      </w:r>
      <w:r w:rsidR="00A9258E" w:rsidRPr="009B5734">
        <w:rPr>
          <w:noProof/>
        </w:rPr>
        <w:t xml:space="preserve">mpact </w:t>
      </w:r>
      <w:r w:rsidR="528A0238" w:rsidRPr="009B5734">
        <w:rPr>
          <w:noProof/>
        </w:rPr>
        <w:t>A</w:t>
      </w:r>
      <w:r w:rsidR="00A9258E" w:rsidRPr="009B5734">
        <w:rPr>
          <w:noProof/>
        </w:rPr>
        <w:t>ssessments of delegated acts and further technical work</w:t>
      </w:r>
      <w:r w:rsidR="00F2769B" w:rsidRPr="009B5734">
        <w:rPr>
          <w:noProof/>
        </w:rPr>
        <w:t xml:space="preserve"> (see sub-option 3a in the Impact Assessment for the Sustainable Products Initiative)</w:t>
      </w:r>
      <w:r w:rsidR="00A9258E" w:rsidRPr="009B5734">
        <w:rPr>
          <w:noProof/>
        </w:rPr>
        <w:t>.</w:t>
      </w:r>
      <w:r w:rsidR="00F2769B" w:rsidRPr="009B5734">
        <w:rPr>
          <w:noProof/>
        </w:rPr>
        <w:t xml:space="preserve"> As such measures would be implemented gradually and by product category, the extent of the problem and its consequences is expected to remain unchanged for most products.</w:t>
      </w:r>
    </w:p>
    <w:p w:rsidR="0026791B" w:rsidRPr="009B5734" w:rsidRDefault="00C15F27" w:rsidP="00C15F27">
      <w:pPr>
        <w:pStyle w:val="Text2"/>
        <w:ind w:left="0" w:firstLine="0"/>
        <w:jc w:val="left"/>
        <w:rPr>
          <w:noProof/>
        </w:rPr>
      </w:pPr>
      <w:r w:rsidRPr="009B5734">
        <w:rPr>
          <w:b/>
          <w:noProof/>
        </w:rPr>
        <w:t>Options discarded at an early stage</w:t>
      </w:r>
      <w:r w:rsidRPr="009B5734">
        <w:rPr>
          <w:b/>
          <w:noProof/>
        </w:rPr>
        <w:br/>
      </w:r>
      <w:r w:rsidRPr="009B5734">
        <w:rPr>
          <w:noProof/>
        </w:rPr>
        <w:t>Further to the options considered above, for this sub-problem the following options were discarded at an early stage as their added value could not be demonstrated: a</w:t>
      </w:r>
      <w:r w:rsidR="00C00147">
        <w:rPr>
          <w:noProof/>
        </w:rPr>
        <w:t xml:space="preserve"> </w:t>
      </w:r>
      <w:r w:rsidR="00C00147" w:rsidRPr="008D65D2">
        <w:rPr>
          <w:b/>
          <w:noProof/>
        </w:rPr>
        <w:t xml:space="preserve">general </w:t>
      </w:r>
      <w:r w:rsidRPr="009B5734">
        <w:rPr>
          <w:b/>
          <w:noProof/>
        </w:rPr>
        <w:t>ban of planned/intentional/deliberate obsolescence</w:t>
      </w:r>
      <w:r w:rsidR="0026791B" w:rsidRPr="009B5734">
        <w:rPr>
          <w:rStyle w:val="FootnoteReference"/>
          <w:noProof/>
        </w:rPr>
        <w:footnoteReference w:id="103"/>
      </w:r>
      <w:r w:rsidRPr="009B5734">
        <w:rPr>
          <w:noProof/>
        </w:rPr>
        <w:t xml:space="preserve">, and </w:t>
      </w:r>
      <w:r w:rsidRPr="009B5734">
        <w:rPr>
          <w:b/>
          <w:noProof/>
        </w:rPr>
        <w:t>setting minimum lifetimes per product category</w:t>
      </w:r>
      <w:r w:rsidRPr="009B5734">
        <w:rPr>
          <w:noProof/>
        </w:rPr>
        <w:t xml:space="preserve">. Additional details of the content of these discarded options and the reasons for discarding them is provided in </w:t>
      </w:r>
      <w:hyperlink w:anchor="_Sub-problem_2.1:_Consumers" w:history="1">
        <w:r w:rsidRPr="009B5734">
          <w:rPr>
            <w:rStyle w:val="Hyperlink"/>
            <w:noProof/>
          </w:rPr>
          <w:t>Annex 11</w:t>
        </w:r>
      </w:hyperlink>
      <w:r w:rsidRPr="009B5734">
        <w:rPr>
          <w:noProof/>
        </w:rPr>
        <w:t>.</w:t>
      </w:r>
    </w:p>
    <w:p w:rsidR="001E6F24" w:rsidRPr="009B5734" w:rsidRDefault="00C15F27" w:rsidP="00C15F27">
      <w:pPr>
        <w:pStyle w:val="Heading5"/>
        <w:rPr>
          <w:rFonts w:ascii="Times New Roman" w:hAnsi="Times New Roman" w:cs="Times New Roman"/>
          <w:b w:val="0"/>
          <w:i w:val="0"/>
          <w:noProof/>
          <w:sz w:val="24"/>
        </w:rPr>
      </w:pPr>
      <w:r w:rsidRPr="009B5734">
        <w:rPr>
          <w:rFonts w:ascii="Times New Roman" w:hAnsi="Times New Roman" w:cs="Times New Roman"/>
          <w:b w:val="0"/>
          <w:i w:val="0"/>
          <w:noProof/>
          <w:sz w:val="24"/>
        </w:rPr>
        <w:t xml:space="preserve"> </w:t>
      </w:r>
      <w:r w:rsidR="001E6F24" w:rsidRPr="009B5734">
        <w:rPr>
          <w:rFonts w:ascii="Times New Roman" w:hAnsi="Times New Roman" w:cs="Times New Roman"/>
          <w:b w:val="0"/>
          <w:i w:val="0"/>
          <w:noProof/>
          <w:sz w:val="24"/>
        </w:rPr>
        <w:t>5.2.2.2. Sub-problem 2.2: Consumers are faced with the practice of making unclear or not well-substantiated green claims (“Greenwashing”)</w:t>
      </w:r>
    </w:p>
    <w:p w:rsidR="00192CDB" w:rsidRDefault="00192CDB">
      <w:pPr>
        <w:pStyle w:val="Text2"/>
        <w:ind w:left="480" w:firstLine="0"/>
        <w:rPr>
          <w:b/>
          <w:bCs/>
          <w:noProof/>
        </w:rPr>
      </w:pPr>
      <w:r w:rsidRPr="005D24D2">
        <w:rPr>
          <w:b/>
          <w:bCs/>
          <w:noProof/>
        </w:rPr>
        <w:t xml:space="preserve">What are the options considered </w:t>
      </w:r>
      <w:r w:rsidR="00A86D06" w:rsidRPr="005D24D2">
        <w:rPr>
          <w:b/>
          <w:bCs/>
          <w:noProof/>
        </w:rPr>
        <w:t>in order to address</w:t>
      </w:r>
      <w:r w:rsidRPr="005D24D2">
        <w:rPr>
          <w:b/>
          <w:bCs/>
          <w:noProof/>
        </w:rPr>
        <w:t xml:space="preserve"> this sub-problem?</w:t>
      </w:r>
    </w:p>
    <w:p w:rsidR="00B63A7B" w:rsidRPr="008D65D2" w:rsidRDefault="00B63A7B" w:rsidP="008D65D2">
      <w:pPr>
        <w:pStyle w:val="Text2"/>
        <w:ind w:left="0" w:firstLine="0"/>
        <w:rPr>
          <w:noProof/>
        </w:rPr>
      </w:pPr>
      <w:r w:rsidRPr="008D65D2">
        <w:rPr>
          <w:noProof/>
        </w:rPr>
        <w:t xml:space="preserve">The options 2.2.A and 2.2B presented below to address this sub-problem are complementary. </w:t>
      </w:r>
      <w:r>
        <w:rPr>
          <w:noProof/>
        </w:rPr>
        <w:t xml:space="preserve">Option 2.2.C entails a combination of options 2.2A and 2.2.B. </w:t>
      </w:r>
      <w:r w:rsidRPr="008D65D2">
        <w:rPr>
          <w:noProof/>
        </w:rPr>
        <w:t xml:space="preserve">The purpose of the division into three distinct options is to calculate the impacts of the options as accurately as possible, </w:t>
      </w:r>
      <w:r w:rsidRPr="00B63A7B">
        <w:rPr>
          <w:noProof/>
        </w:rPr>
        <w:t>and thus to facilitate a decision regarding the preferred policy option</w:t>
      </w:r>
      <w:r w:rsidRPr="008D65D2">
        <w:rPr>
          <w:noProof/>
        </w:rPr>
        <w:t>.</w:t>
      </w:r>
    </w:p>
    <w:tbl>
      <w:tblPr>
        <w:tblStyle w:val="TableGrid"/>
        <w:tblW w:w="12587" w:type="dxa"/>
        <w:tblInd w:w="-5" w:type="dxa"/>
        <w:tblLayout w:type="fixed"/>
        <w:tblLook w:val="04A0" w:firstRow="1" w:lastRow="0" w:firstColumn="1" w:lastColumn="0" w:noHBand="0" w:noVBand="1"/>
      </w:tblPr>
      <w:tblGrid>
        <w:gridCol w:w="1443"/>
        <w:gridCol w:w="5900"/>
        <w:gridCol w:w="1842"/>
        <w:gridCol w:w="1418"/>
        <w:gridCol w:w="1984"/>
      </w:tblGrid>
      <w:tr w:rsidR="003D2B81" w:rsidRPr="009B5734" w:rsidTr="001B04A6">
        <w:tc>
          <w:tcPr>
            <w:tcW w:w="1443" w:type="dxa"/>
            <w:shd w:val="clear" w:color="auto" w:fill="9BBB59" w:themeFill="accent3"/>
          </w:tcPr>
          <w:p w:rsidR="00192CDB" w:rsidRPr="009B5734" w:rsidRDefault="00192CDB" w:rsidP="003D226E">
            <w:pPr>
              <w:pStyle w:val="Text2"/>
              <w:ind w:left="0" w:firstLine="0"/>
              <w:rPr>
                <w:noProof/>
                <w:sz w:val="20"/>
              </w:rPr>
            </w:pPr>
          </w:p>
        </w:tc>
        <w:tc>
          <w:tcPr>
            <w:tcW w:w="5900" w:type="dxa"/>
            <w:shd w:val="clear" w:color="auto" w:fill="9BBB59" w:themeFill="accent3"/>
          </w:tcPr>
          <w:p w:rsidR="00192CDB" w:rsidRPr="009B5734" w:rsidRDefault="00192CDB" w:rsidP="003D226E">
            <w:pPr>
              <w:pStyle w:val="Text2"/>
              <w:ind w:left="0" w:firstLine="0"/>
              <w:rPr>
                <w:b/>
                <w:noProof/>
                <w:sz w:val="20"/>
              </w:rPr>
            </w:pPr>
            <w:r w:rsidRPr="009B5734">
              <w:rPr>
                <w:b/>
                <w:noProof/>
                <w:sz w:val="20"/>
              </w:rPr>
              <w:t>Description of option</w:t>
            </w:r>
          </w:p>
        </w:tc>
        <w:tc>
          <w:tcPr>
            <w:tcW w:w="1842" w:type="dxa"/>
            <w:shd w:val="clear" w:color="auto" w:fill="9BBB59" w:themeFill="accent3"/>
          </w:tcPr>
          <w:p w:rsidR="00192CDB" w:rsidRPr="009B5734" w:rsidRDefault="00192CDB" w:rsidP="003D226E">
            <w:pPr>
              <w:pStyle w:val="Text2"/>
              <w:ind w:left="0" w:firstLine="0"/>
              <w:rPr>
                <w:b/>
                <w:noProof/>
                <w:sz w:val="20"/>
              </w:rPr>
            </w:pPr>
            <w:r w:rsidRPr="009B5734">
              <w:rPr>
                <w:b/>
                <w:noProof/>
                <w:sz w:val="20"/>
              </w:rPr>
              <w:t>Product scope</w:t>
            </w:r>
          </w:p>
        </w:tc>
        <w:tc>
          <w:tcPr>
            <w:tcW w:w="1418" w:type="dxa"/>
            <w:shd w:val="clear" w:color="auto" w:fill="9BBB59" w:themeFill="accent3"/>
          </w:tcPr>
          <w:p w:rsidR="00192CDB" w:rsidRPr="009B5734" w:rsidRDefault="00192CDB" w:rsidP="003D226E">
            <w:pPr>
              <w:pStyle w:val="Text2"/>
              <w:ind w:left="0" w:firstLine="0"/>
              <w:rPr>
                <w:b/>
                <w:noProof/>
                <w:sz w:val="20"/>
              </w:rPr>
            </w:pPr>
            <w:r w:rsidRPr="009B5734">
              <w:rPr>
                <w:b/>
                <w:noProof/>
                <w:sz w:val="20"/>
              </w:rPr>
              <w:t>Addressees</w:t>
            </w:r>
          </w:p>
        </w:tc>
        <w:tc>
          <w:tcPr>
            <w:tcW w:w="1984" w:type="dxa"/>
            <w:shd w:val="clear" w:color="auto" w:fill="9BBB59" w:themeFill="accent3"/>
          </w:tcPr>
          <w:p w:rsidR="00192CDB" w:rsidRPr="009B5734" w:rsidRDefault="00192CDB" w:rsidP="003D226E">
            <w:pPr>
              <w:pStyle w:val="Text2"/>
              <w:ind w:left="0" w:firstLine="0"/>
              <w:rPr>
                <w:b/>
                <w:noProof/>
                <w:sz w:val="20"/>
              </w:rPr>
            </w:pPr>
            <w:r w:rsidRPr="009B5734">
              <w:rPr>
                <w:b/>
                <w:noProof/>
                <w:sz w:val="20"/>
              </w:rPr>
              <w:t>Nature of intervention</w:t>
            </w:r>
          </w:p>
        </w:tc>
      </w:tr>
      <w:tr w:rsidR="003D2B81" w:rsidRPr="009B5734" w:rsidTr="001B04A6">
        <w:tc>
          <w:tcPr>
            <w:tcW w:w="1443" w:type="dxa"/>
          </w:tcPr>
          <w:p w:rsidR="00192CDB" w:rsidRPr="009B5734" w:rsidRDefault="00192CDB" w:rsidP="003D226E">
            <w:pPr>
              <w:pStyle w:val="Text2"/>
              <w:ind w:left="0" w:firstLine="0"/>
              <w:rPr>
                <w:b/>
                <w:noProof/>
                <w:sz w:val="22"/>
                <w:szCs w:val="22"/>
              </w:rPr>
            </w:pPr>
            <w:r w:rsidRPr="009B5734">
              <w:rPr>
                <w:b/>
                <w:noProof/>
                <w:sz w:val="22"/>
                <w:szCs w:val="22"/>
              </w:rPr>
              <w:t xml:space="preserve">Option 2.2.A: Ban of general /vague environmental claims  </w:t>
            </w:r>
          </w:p>
        </w:tc>
        <w:tc>
          <w:tcPr>
            <w:tcW w:w="5900" w:type="dxa"/>
          </w:tcPr>
          <w:p w:rsidR="00192CDB" w:rsidRPr="009B5734" w:rsidRDefault="00192CDB" w:rsidP="00DB0FB8">
            <w:pPr>
              <w:ind w:left="0" w:hanging="39"/>
              <w:rPr>
                <w:noProof/>
              </w:rPr>
            </w:pPr>
            <w:r w:rsidRPr="009B5734">
              <w:rPr>
                <w:noProof/>
              </w:rPr>
              <w:t>Ban of general/vague environmental claims (e.g., “eco-friendly”, “green”, “good for the environment”,</w:t>
            </w:r>
            <w:r w:rsidRPr="009B5734" w:rsidDel="007F7A9A">
              <w:rPr>
                <w:noProof/>
              </w:rPr>
              <w:t xml:space="preserve"> “</w:t>
            </w:r>
            <w:r w:rsidRPr="009B5734">
              <w:rPr>
                <w:noProof/>
              </w:rPr>
              <w:t xml:space="preserve">friend of nature”, etc.) unless the product or trader obtained recognised </w:t>
            </w:r>
            <w:r w:rsidRPr="004C3056">
              <w:rPr>
                <w:noProof/>
              </w:rPr>
              <w:t xml:space="preserve">excellent </w:t>
            </w:r>
            <w:r w:rsidR="00DC4EA0" w:rsidRPr="004C3056">
              <w:rPr>
                <w:noProof/>
              </w:rPr>
              <w:t xml:space="preserve">environmental </w:t>
            </w:r>
            <w:r w:rsidRPr="004C3056">
              <w:rPr>
                <w:noProof/>
              </w:rPr>
              <w:t>performance</w:t>
            </w:r>
            <w:r w:rsidRPr="009B5734">
              <w:rPr>
                <w:noProof/>
              </w:rPr>
              <w:t xml:space="preserve"> in accordance with applicable EU laws</w:t>
            </w:r>
            <w:r w:rsidR="001D555B" w:rsidRPr="009B5734">
              <w:rPr>
                <w:rStyle w:val="FootnoteReference"/>
                <w:noProof/>
              </w:rPr>
              <w:footnoteReference w:id="104"/>
            </w:r>
            <w:r w:rsidRPr="009B5734">
              <w:rPr>
                <w:noProof/>
              </w:rPr>
              <w:t xml:space="preserve">. </w:t>
            </w:r>
          </w:p>
        </w:tc>
        <w:tc>
          <w:tcPr>
            <w:tcW w:w="1842" w:type="dxa"/>
          </w:tcPr>
          <w:p w:rsidR="00192CDB" w:rsidRPr="009B5734" w:rsidRDefault="00AD0A78" w:rsidP="003D226E">
            <w:pPr>
              <w:pStyle w:val="Text2"/>
              <w:ind w:left="0" w:firstLine="0"/>
              <w:rPr>
                <w:noProof/>
                <w:sz w:val="20"/>
              </w:rPr>
            </w:pPr>
            <w:r w:rsidRPr="009B5734">
              <w:rPr>
                <w:noProof/>
                <w:sz w:val="20"/>
              </w:rPr>
              <w:t>All products presenting a general/vague environmental claim.</w:t>
            </w:r>
          </w:p>
        </w:tc>
        <w:tc>
          <w:tcPr>
            <w:tcW w:w="1418" w:type="dxa"/>
          </w:tcPr>
          <w:p w:rsidR="00192CDB" w:rsidRPr="009B5734" w:rsidRDefault="00AD0A78" w:rsidP="003D226E">
            <w:pPr>
              <w:pStyle w:val="Text2"/>
              <w:ind w:left="0" w:firstLine="0"/>
              <w:rPr>
                <w:noProof/>
                <w:sz w:val="20"/>
              </w:rPr>
            </w:pPr>
            <w:r w:rsidRPr="009B5734">
              <w:rPr>
                <w:noProof/>
                <w:sz w:val="20"/>
              </w:rPr>
              <w:t xml:space="preserve">Any trader </w:t>
            </w:r>
            <w:r w:rsidR="00073269" w:rsidRPr="009B5734">
              <w:rPr>
                <w:noProof/>
                <w:sz w:val="20"/>
              </w:rPr>
              <w:t>engaged in</w:t>
            </w:r>
            <w:r w:rsidRPr="009B5734">
              <w:rPr>
                <w:noProof/>
                <w:sz w:val="20"/>
              </w:rPr>
              <w:t xml:space="preserve"> </w:t>
            </w:r>
            <w:r w:rsidR="00073269" w:rsidRPr="009B5734">
              <w:rPr>
                <w:noProof/>
                <w:sz w:val="20"/>
              </w:rPr>
              <w:t>such</w:t>
            </w:r>
            <w:r w:rsidRPr="009B5734">
              <w:rPr>
                <w:noProof/>
                <w:sz w:val="20"/>
              </w:rPr>
              <w:t xml:space="preserve"> practices</w:t>
            </w:r>
          </w:p>
        </w:tc>
        <w:tc>
          <w:tcPr>
            <w:tcW w:w="1984" w:type="dxa"/>
          </w:tcPr>
          <w:p w:rsidR="00192CDB" w:rsidRPr="009B5734" w:rsidRDefault="00AD0A78" w:rsidP="003D226E">
            <w:pPr>
              <w:pStyle w:val="Text2"/>
              <w:ind w:left="0" w:firstLine="0"/>
              <w:rPr>
                <w:noProof/>
                <w:sz w:val="20"/>
              </w:rPr>
            </w:pPr>
            <w:r w:rsidRPr="009B5734">
              <w:rPr>
                <w:noProof/>
                <w:sz w:val="20"/>
              </w:rPr>
              <w:t>Amending Unfair Commercial Practices Directive</w:t>
            </w:r>
          </w:p>
        </w:tc>
      </w:tr>
      <w:tr w:rsidR="003D2B81" w:rsidRPr="009B5734" w:rsidTr="001B04A6">
        <w:tc>
          <w:tcPr>
            <w:tcW w:w="1443" w:type="dxa"/>
          </w:tcPr>
          <w:p w:rsidR="00192CDB" w:rsidRPr="009B5734" w:rsidRDefault="00192CDB" w:rsidP="00192CDB">
            <w:pPr>
              <w:pStyle w:val="Text2"/>
              <w:ind w:left="0" w:firstLine="0"/>
              <w:rPr>
                <w:b/>
                <w:noProof/>
                <w:sz w:val="22"/>
                <w:szCs w:val="22"/>
              </w:rPr>
            </w:pPr>
            <w:r w:rsidRPr="009B5734">
              <w:rPr>
                <w:b/>
                <w:noProof/>
                <w:sz w:val="22"/>
                <w:szCs w:val="22"/>
              </w:rPr>
              <w:t>Option 2.2.B: Prohibition of environmental claims that do not fulfil a minimum set of criteria</w:t>
            </w:r>
          </w:p>
        </w:tc>
        <w:tc>
          <w:tcPr>
            <w:tcW w:w="5900" w:type="dxa"/>
          </w:tcPr>
          <w:p w:rsidR="00530400" w:rsidRPr="005D7BE7" w:rsidRDefault="00073269" w:rsidP="003B203F">
            <w:pPr>
              <w:pStyle w:val="ListParagraph"/>
              <w:ind w:left="5" w:firstLine="0"/>
              <w:rPr>
                <w:rFonts w:ascii="Times New Roman" w:hAnsi="Times New Roman"/>
                <w:noProof/>
                <w:color w:val="auto"/>
              </w:rPr>
            </w:pPr>
            <w:r w:rsidRPr="005D7BE7">
              <w:rPr>
                <w:rFonts w:ascii="Times New Roman" w:hAnsi="Times New Roman"/>
                <w:noProof/>
                <w:color w:val="auto"/>
              </w:rPr>
              <w:t xml:space="preserve">Providing specific criteria for assessing the misleading nature of </w:t>
            </w:r>
            <w:r w:rsidR="00732002">
              <w:rPr>
                <w:rFonts w:ascii="Times New Roman" w:hAnsi="Times New Roman"/>
                <w:noProof/>
                <w:color w:val="auto"/>
              </w:rPr>
              <w:t>all</w:t>
            </w:r>
            <w:r w:rsidRPr="005D7BE7">
              <w:rPr>
                <w:rFonts w:ascii="Times New Roman" w:hAnsi="Times New Roman"/>
                <w:noProof/>
                <w:color w:val="auto"/>
              </w:rPr>
              <w:t xml:space="preserve"> </w:t>
            </w:r>
            <w:r w:rsidR="00192CDB" w:rsidRPr="005D7BE7">
              <w:rPr>
                <w:rFonts w:ascii="Times New Roman" w:hAnsi="Times New Roman"/>
                <w:noProof/>
                <w:color w:val="auto"/>
              </w:rPr>
              <w:t>environmental claims</w:t>
            </w:r>
            <w:r w:rsidR="00313D16" w:rsidRPr="005D7BE7">
              <w:rPr>
                <w:rFonts w:ascii="Times New Roman" w:hAnsi="Times New Roman"/>
                <w:noProof/>
                <w:color w:val="auto"/>
              </w:rPr>
              <w:t>, such as</w:t>
            </w:r>
            <w:r w:rsidR="00192CDB" w:rsidRPr="005D7BE7">
              <w:rPr>
                <w:rFonts w:ascii="Times New Roman" w:hAnsi="Times New Roman"/>
                <w:noProof/>
                <w:color w:val="auto"/>
              </w:rPr>
              <w:t xml:space="preserve">: </w:t>
            </w:r>
            <w:r w:rsidRPr="005D7BE7">
              <w:rPr>
                <w:rFonts w:ascii="Times New Roman" w:hAnsi="Times New Roman"/>
                <w:noProof/>
                <w:color w:val="auto"/>
              </w:rPr>
              <w:t xml:space="preserve">being </w:t>
            </w:r>
            <w:r w:rsidR="00192CDB" w:rsidRPr="005D7BE7">
              <w:rPr>
                <w:rFonts w:ascii="Times New Roman" w:hAnsi="Times New Roman"/>
                <w:noProof/>
                <w:color w:val="auto"/>
              </w:rPr>
              <w:t>based on robust, independent, verifiable and generally recognised evidence which takes into account</w:t>
            </w:r>
            <w:r w:rsidR="003D2B81" w:rsidRPr="005D7BE7">
              <w:rPr>
                <w:rFonts w:ascii="Times New Roman" w:hAnsi="Times New Roman"/>
                <w:noProof/>
                <w:color w:val="auto"/>
              </w:rPr>
              <w:t xml:space="preserve"> the latest scientific findings; </w:t>
            </w:r>
            <w:r w:rsidRPr="005D7BE7">
              <w:rPr>
                <w:rFonts w:ascii="Times New Roman" w:hAnsi="Times New Roman"/>
                <w:noProof/>
                <w:color w:val="auto"/>
              </w:rPr>
              <w:t xml:space="preserve">being </w:t>
            </w:r>
            <w:r w:rsidR="00192CDB" w:rsidRPr="005D7BE7">
              <w:rPr>
                <w:rFonts w:ascii="Times New Roman" w:hAnsi="Times New Roman"/>
                <w:noProof/>
                <w:color w:val="auto"/>
              </w:rPr>
              <w:t>clear and unambiguous regarding which aspect(s) of the product or its life cycle the claim refers to</w:t>
            </w:r>
            <w:r w:rsidR="003D2B81" w:rsidRPr="005D7BE7">
              <w:rPr>
                <w:rFonts w:ascii="Times New Roman" w:hAnsi="Times New Roman"/>
                <w:noProof/>
                <w:color w:val="auto"/>
              </w:rPr>
              <w:t xml:space="preserve">; relates </w:t>
            </w:r>
            <w:r w:rsidR="00192CDB" w:rsidRPr="005D7BE7">
              <w:rPr>
                <w:rFonts w:ascii="Times New Roman" w:hAnsi="Times New Roman"/>
                <w:noProof/>
                <w:color w:val="auto"/>
              </w:rPr>
              <w:t>to aspects that are significant in terms of the</w:t>
            </w:r>
            <w:r w:rsidR="003D2B81" w:rsidRPr="005D7BE7">
              <w:rPr>
                <w:rFonts w:ascii="Times New Roman" w:hAnsi="Times New Roman"/>
                <w:noProof/>
                <w:color w:val="auto"/>
              </w:rPr>
              <w:t xml:space="preserve"> product’s environmental impact; </w:t>
            </w:r>
            <w:r w:rsidR="00192CDB" w:rsidRPr="005D7BE7">
              <w:rPr>
                <w:rFonts w:ascii="Times New Roman" w:hAnsi="Times New Roman"/>
                <w:noProof/>
                <w:color w:val="auto"/>
              </w:rPr>
              <w:t xml:space="preserve">benefit claimed </w:t>
            </w:r>
            <w:r w:rsidR="003D2B81" w:rsidRPr="005D7BE7">
              <w:rPr>
                <w:rFonts w:ascii="Times New Roman" w:hAnsi="Times New Roman"/>
                <w:noProof/>
                <w:color w:val="auto"/>
              </w:rPr>
              <w:t xml:space="preserve">does </w:t>
            </w:r>
            <w:r w:rsidR="00192CDB" w:rsidRPr="005D7BE7">
              <w:rPr>
                <w:rFonts w:ascii="Times New Roman" w:hAnsi="Times New Roman"/>
                <w:noProof/>
                <w:color w:val="auto"/>
              </w:rPr>
              <w:t>not result in an undue transfer of impacts on other environmental aspects</w:t>
            </w:r>
            <w:r w:rsidR="003D2B81" w:rsidRPr="005D7BE7">
              <w:rPr>
                <w:rFonts w:ascii="Times New Roman" w:hAnsi="Times New Roman"/>
                <w:noProof/>
                <w:color w:val="auto"/>
              </w:rPr>
              <w:t>; not</w:t>
            </w:r>
            <w:r w:rsidR="00192CDB" w:rsidRPr="005D7BE7">
              <w:rPr>
                <w:rFonts w:ascii="Times New Roman" w:hAnsi="Times New Roman"/>
                <w:noProof/>
                <w:color w:val="auto"/>
              </w:rPr>
              <w:t xml:space="preserve"> advertis</w:t>
            </w:r>
            <w:r w:rsidRPr="005D7BE7">
              <w:rPr>
                <w:rFonts w:ascii="Times New Roman" w:hAnsi="Times New Roman"/>
                <w:noProof/>
                <w:color w:val="auto"/>
              </w:rPr>
              <w:t>ing</w:t>
            </w:r>
            <w:r w:rsidR="00192CDB" w:rsidRPr="005D7BE7">
              <w:rPr>
                <w:rFonts w:ascii="Times New Roman" w:hAnsi="Times New Roman"/>
                <w:noProof/>
                <w:color w:val="auto"/>
              </w:rPr>
              <w:t xml:space="preserve"> ben</w:t>
            </w:r>
            <w:r w:rsidR="003D2B81" w:rsidRPr="005D7BE7">
              <w:rPr>
                <w:rFonts w:ascii="Times New Roman" w:hAnsi="Times New Roman"/>
                <w:noProof/>
                <w:color w:val="auto"/>
              </w:rPr>
              <w:t xml:space="preserve">efits that are legally required; </w:t>
            </w:r>
            <w:r w:rsidR="00192CDB" w:rsidRPr="005D7BE7">
              <w:rPr>
                <w:rFonts w:ascii="Times New Roman" w:hAnsi="Times New Roman"/>
                <w:noProof/>
                <w:color w:val="auto"/>
              </w:rPr>
              <w:t>wording, imagery and overall product presentation (i.e. layout, choice of colours, images, pictures, sounds, symbols or labels), be</w:t>
            </w:r>
            <w:r w:rsidR="00B16AA8" w:rsidRPr="005D7BE7">
              <w:rPr>
                <w:rFonts w:ascii="Times New Roman" w:hAnsi="Times New Roman"/>
                <w:noProof/>
                <w:color w:val="auto"/>
              </w:rPr>
              <w:t>ing</w:t>
            </w:r>
            <w:r w:rsidR="00192CDB" w:rsidRPr="005D7BE7">
              <w:rPr>
                <w:rFonts w:ascii="Times New Roman" w:hAnsi="Times New Roman"/>
                <w:noProof/>
                <w:color w:val="auto"/>
              </w:rPr>
              <w:t xml:space="preserve"> a truthful and accurate representation of the scale of the environmental benefit, and not</w:t>
            </w:r>
            <w:r w:rsidR="003D2B81" w:rsidRPr="005D7BE7">
              <w:rPr>
                <w:rFonts w:ascii="Times New Roman" w:hAnsi="Times New Roman"/>
                <w:noProof/>
                <w:color w:val="auto"/>
              </w:rPr>
              <w:t xml:space="preserve"> overstat</w:t>
            </w:r>
            <w:r w:rsidR="00B16AA8" w:rsidRPr="005D7BE7">
              <w:rPr>
                <w:rFonts w:ascii="Times New Roman" w:hAnsi="Times New Roman"/>
                <w:noProof/>
                <w:color w:val="auto"/>
              </w:rPr>
              <w:t>ing</w:t>
            </w:r>
            <w:r w:rsidR="003D2B81" w:rsidRPr="005D7BE7">
              <w:rPr>
                <w:rFonts w:ascii="Times New Roman" w:hAnsi="Times New Roman"/>
                <w:noProof/>
                <w:color w:val="auto"/>
              </w:rPr>
              <w:t xml:space="preserve"> the benefit achieved;</w:t>
            </w:r>
            <w:r w:rsidR="00192CDB" w:rsidRPr="005D7BE7">
              <w:rPr>
                <w:rFonts w:ascii="Times New Roman" w:hAnsi="Times New Roman"/>
                <w:noProof/>
                <w:color w:val="auto"/>
              </w:rPr>
              <w:t xml:space="preserve"> relate</w:t>
            </w:r>
            <w:r w:rsidR="00B16AA8" w:rsidRPr="005D7BE7">
              <w:rPr>
                <w:rFonts w:ascii="Times New Roman" w:hAnsi="Times New Roman"/>
                <w:noProof/>
                <w:color w:val="auto"/>
              </w:rPr>
              <w:t>d</w:t>
            </w:r>
            <w:r w:rsidR="00192CDB" w:rsidRPr="005D7BE7">
              <w:rPr>
                <w:rFonts w:ascii="Times New Roman" w:hAnsi="Times New Roman"/>
                <w:noProof/>
                <w:color w:val="auto"/>
              </w:rPr>
              <w:t xml:space="preserve"> to environmental achievements instead of aspirations of future environmental performance</w:t>
            </w:r>
            <w:r w:rsidR="00C15F27" w:rsidRPr="005D7BE7">
              <w:rPr>
                <w:rFonts w:ascii="Times New Roman" w:hAnsi="Times New Roman"/>
                <w:noProof/>
                <w:color w:val="auto"/>
              </w:rPr>
              <w:t xml:space="preserve"> </w:t>
            </w:r>
            <w:r w:rsidR="009748D2" w:rsidRPr="005D7BE7">
              <w:rPr>
                <w:rFonts w:ascii="Times New Roman" w:hAnsi="Times New Roman"/>
                <w:noProof/>
                <w:color w:val="auto"/>
              </w:rPr>
              <w:t>(f</w:t>
            </w:r>
            <w:r w:rsidR="00192CDB" w:rsidRPr="005D7BE7">
              <w:rPr>
                <w:rFonts w:ascii="Times New Roman" w:hAnsi="Times New Roman"/>
                <w:noProof/>
                <w:color w:val="auto"/>
              </w:rPr>
              <w:t>uture aspirations can be still expres</w:t>
            </w:r>
            <w:r w:rsidR="003D2B81" w:rsidRPr="005D7BE7">
              <w:rPr>
                <w:rFonts w:ascii="Times New Roman" w:hAnsi="Times New Roman"/>
                <w:noProof/>
                <w:color w:val="auto"/>
              </w:rPr>
              <w:t>sed under certain conditions</w:t>
            </w:r>
            <w:r w:rsidR="009748D2" w:rsidRPr="005D7BE7">
              <w:rPr>
                <w:rFonts w:ascii="Times New Roman" w:hAnsi="Times New Roman"/>
                <w:noProof/>
                <w:color w:val="auto"/>
              </w:rPr>
              <w:t>)</w:t>
            </w:r>
            <w:r w:rsidR="003D2B81" w:rsidRPr="005D7BE7">
              <w:rPr>
                <w:rFonts w:ascii="Times New Roman" w:hAnsi="Times New Roman"/>
                <w:noProof/>
                <w:color w:val="auto"/>
              </w:rPr>
              <w:t>; if</w:t>
            </w:r>
            <w:r w:rsidR="00192CDB" w:rsidRPr="005D7BE7">
              <w:rPr>
                <w:rFonts w:ascii="Times New Roman" w:hAnsi="Times New Roman"/>
                <w:noProof/>
                <w:color w:val="auto"/>
              </w:rPr>
              <w:t xml:space="preserve"> a trader uses environmental statements in its company name, product name etc., and the name is used for marketing purposes, such marketing is subject to the same documentation requirements as those which appl</w:t>
            </w:r>
            <w:r w:rsidR="003D2B81" w:rsidRPr="005D7BE7">
              <w:rPr>
                <w:rFonts w:ascii="Times New Roman" w:hAnsi="Times New Roman"/>
                <w:noProof/>
                <w:color w:val="auto"/>
              </w:rPr>
              <w:t xml:space="preserve">y to </w:t>
            </w:r>
            <w:r w:rsidR="00732002">
              <w:rPr>
                <w:rFonts w:ascii="Times New Roman" w:hAnsi="Times New Roman"/>
                <w:noProof/>
                <w:color w:val="auto"/>
              </w:rPr>
              <w:t>all</w:t>
            </w:r>
            <w:r w:rsidR="00732002" w:rsidRPr="005D7BE7">
              <w:rPr>
                <w:rFonts w:ascii="Times New Roman" w:hAnsi="Times New Roman"/>
                <w:noProof/>
                <w:color w:val="auto"/>
              </w:rPr>
              <w:t xml:space="preserve"> </w:t>
            </w:r>
            <w:r w:rsidR="003D2B81" w:rsidRPr="005D7BE7">
              <w:rPr>
                <w:rFonts w:ascii="Times New Roman" w:hAnsi="Times New Roman"/>
                <w:noProof/>
                <w:color w:val="auto"/>
              </w:rPr>
              <w:t>environmental claims</w:t>
            </w:r>
            <w:r w:rsidR="009057A6" w:rsidRPr="005D7BE7">
              <w:rPr>
                <w:rFonts w:ascii="Times New Roman" w:hAnsi="Times New Roman"/>
                <w:noProof/>
                <w:color w:val="auto"/>
              </w:rPr>
              <w:t>;</w:t>
            </w:r>
            <w:r w:rsidR="00530400" w:rsidRPr="005D7BE7">
              <w:rPr>
                <w:rFonts w:ascii="Times New Roman" w:hAnsi="Times New Roman"/>
                <w:noProof/>
                <w:color w:val="auto"/>
              </w:rPr>
              <w:t xml:space="preserve"> establishing a link to the additional information on which the substantiation of the claim is based</w:t>
            </w:r>
            <w:r w:rsidR="00E518B4" w:rsidRPr="005D7BE7">
              <w:rPr>
                <w:rFonts w:ascii="Times New Roman" w:hAnsi="Times New Roman"/>
                <w:noProof/>
                <w:color w:val="auto"/>
              </w:rPr>
              <w:t xml:space="preserve"> (e.g. method</w:t>
            </w:r>
            <w:r w:rsidR="00C826FF" w:rsidRPr="005D7BE7">
              <w:rPr>
                <w:rFonts w:ascii="Times New Roman" w:hAnsi="Times New Roman"/>
                <w:noProof/>
                <w:color w:val="auto"/>
              </w:rPr>
              <w:t xml:space="preserve"> used, whether</w:t>
            </w:r>
            <w:r w:rsidR="00E518B4" w:rsidRPr="005D7BE7">
              <w:rPr>
                <w:rFonts w:ascii="Times New Roman" w:hAnsi="Times New Roman"/>
                <w:noProof/>
                <w:color w:val="auto"/>
              </w:rPr>
              <w:t xml:space="preserve"> third party verification is being carried out etc.)</w:t>
            </w:r>
            <w:r w:rsidR="003D2B81" w:rsidRPr="005D7BE7">
              <w:rPr>
                <w:rFonts w:ascii="Times New Roman" w:hAnsi="Times New Roman"/>
                <w:noProof/>
                <w:color w:val="auto"/>
              </w:rPr>
              <w:t>.</w:t>
            </w:r>
          </w:p>
        </w:tc>
        <w:tc>
          <w:tcPr>
            <w:tcW w:w="1842" w:type="dxa"/>
          </w:tcPr>
          <w:p w:rsidR="00192CDB" w:rsidRPr="009B5734" w:rsidRDefault="00AD0A78" w:rsidP="00192CDB">
            <w:pPr>
              <w:pStyle w:val="Text2"/>
              <w:ind w:left="0" w:firstLine="0"/>
              <w:rPr>
                <w:noProof/>
                <w:sz w:val="20"/>
              </w:rPr>
            </w:pPr>
            <w:r w:rsidRPr="009B5734">
              <w:rPr>
                <w:noProof/>
                <w:sz w:val="20"/>
              </w:rPr>
              <w:t>All products presenting any environmental claim.</w:t>
            </w:r>
          </w:p>
        </w:tc>
        <w:tc>
          <w:tcPr>
            <w:tcW w:w="1418" w:type="dxa"/>
          </w:tcPr>
          <w:p w:rsidR="00192CDB" w:rsidRPr="009B5734" w:rsidRDefault="00AD0A78" w:rsidP="00192CDB">
            <w:pPr>
              <w:pStyle w:val="Text2"/>
              <w:ind w:left="0" w:firstLine="0"/>
              <w:rPr>
                <w:noProof/>
                <w:sz w:val="20"/>
              </w:rPr>
            </w:pPr>
            <w:r w:rsidRPr="009B5734">
              <w:rPr>
                <w:noProof/>
                <w:sz w:val="20"/>
              </w:rPr>
              <w:t xml:space="preserve">Any trader </w:t>
            </w:r>
            <w:r w:rsidR="00B16AA8" w:rsidRPr="009B5734">
              <w:rPr>
                <w:noProof/>
                <w:sz w:val="20"/>
              </w:rPr>
              <w:t>engaged in such</w:t>
            </w:r>
            <w:r w:rsidRPr="009B5734">
              <w:rPr>
                <w:noProof/>
                <w:sz w:val="20"/>
              </w:rPr>
              <w:t xml:space="preserve"> practices</w:t>
            </w:r>
          </w:p>
        </w:tc>
        <w:tc>
          <w:tcPr>
            <w:tcW w:w="1984" w:type="dxa"/>
          </w:tcPr>
          <w:p w:rsidR="00192CDB" w:rsidRPr="009B5734" w:rsidRDefault="00AD0A78" w:rsidP="00192CDB">
            <w:pPr>
              <w:pStyle w:val="Text2"/>
              <w:ind w:left="0" w:firstLine="0"/>
              <w:rPr>
                <w:noProof/>
                <w:sz w:val="20"/>
              </w:rPr>
            </w:pPr>
            <w:r w:rsidRPr="009B5734">
              <w:rPr>
                <w:noProof/>
                <w:sz w:val="20"/>
              </w:rPr>
              <w:t>Amending Unfair Commercial Practices Directive</w:t>
            </w:r>
          </w:p>
        </w:tc>
      </w:tr>
      <w:tr w:rsidR="000623E5" w:rsidRPr="009B5734" w:rsidTr="001B04A6">
        <w:tc>
          <w:tcPr>
            <w:tcW w:w="1443" w:type="dxa"/>
          </w:tcPr>
          <w:p w:rsidR="000623E5" w:rsidRPr="009B5734" w:rsidRDefault="000623E5" w:rsidP="000623E5">
            <w:pPr>
              <w:pStyle w:val="Text2"/>
              <w:ind w:left="0" w:firstLine="0"/>
              <w:rPr>
                <w:b/>
                <w:noProof/>
                <w:sz w:val="22"/>
                <w:szCs w:val="22"/>
              </w:rPr>
            </w:pPr>
            <w:r w:rsidRPr="009B5734">
              <w:rPr>
                <w:b/>
                <w:noProof/>
                <w:sz w:val="22"/>
                <w:szCs w:val="22"/>
              </w:rPr>
              <w:t>Option 2.2.C: Option 2.2A + 2.2B</w:t>
            </w:r>
          </w:p>
        </w:tc>
        <w:tc>
          <w:tcPr>
            <w:tcW w:w="5900" w:type="dxa"/>
          </w:tcPr>
          <w:p w:rsidR="000623E5" w:rsidRPr="009B5734" w:rsidRDefault="000623E5" w:rsidP="000623E5">
            <w:pPr>
              <w:pStyle w:val="ListParagraph"/>
              <w:ind w:left="5" w:firstLine="0"/>
              <w:rPr>
                <w:rFonts w:ascii="Times New Roman" w:hAnsi="Times New Roman"/>
                <w:noProof/>
                <w:color w:val="auto"/>
                <w:szCs w:val="20"/>
              </w:rPr>
            </w:pPr>
            <w:r w:rsidRPr="009B5734">
              <w:rPr>
                <w:rFonts w:ascii="Times New Roman" w:hAnsi="Times New Roman"/>
                <w:noProof/>
                <w:color w:val="auto"/>
                <w:szCs w:val="20"/>
              </w:rPr>
              <w:t>Combination of both options above.</w:t>
            </w:r>
          </w:p>
        </w:tc>
        <w:tc>
          <w:tcPr>
            <w:tcW w:w="1842" w:type="dxa"/>
          </w:tcPr>
          <w:p w:rsidR="000623E5" w:rsidRPr="009B5734" w:rsidRDefault="000623E5" w:rsidP="000623E5">
            <w:pPr>
              <w:pStyle w:val="ListParagraph"/>
              <w:ind w:left="5" w:firstLine="0"/>
              <w:rPr>
                <w:noProof/>
                <w:color w:val="auto"/>
              </w:rPr>
            </w:pPr>
            <w:r w:rsidRPr="009B5734">
              <w:rPr>
                <w:rFonts w:ascii="Times New Roman" w:hAnsi="Times New Roman"/>
                <w:noProof/>
                <w:color w:val="auto"/>
                <w:szCs w:val="20"/>
              </w:rPr>
              <w:t>Combination of both options above.</w:t>
            </w:r>
          </w:p>
        </w:tc>
        <w:tc>
          <w:tcPr>
            <w:tcW w:w="1418" w:type="dxa"/>
          </w:tcPr>
          <w:p w:rsidR="000623E5" w:rsidRPr="009B5734" w:rsidRDefault="000623E5" w:rsidP="000623E5">
            <w:pPr>
              <w:pStyle w:val="Text2"/>
              <w:ind w:left="0" w:firstLine="0"/>
              <w:rPr>
                <w:noProof/>
                <w:sz w:val="20"/>
              </w:rPr>
            </w:pPr>
            <w:r w:rsidRPr="009B5734">
              <w:rPr>
                <w:noProof/>
                <w:sz w:val="20"/>
              </w:rPr>
              <w:t xml:space="preserve">Any trader </w:t>
            </w:r>
            <w:r w:rsidR="00B16AA8" w:rsidRPr="009B5734">
              <w:rPr>
                <w:noProof/>
                <w:sz w:val="20"/>
              </w:rPr>
              <w:t>engaged in such</w:t>
            </w:r>
            <w:r w:rsidRPr="009B5734">
              <w:rPr>
                <w:noProof/>
                <w:sz w:val="20"/>
              </w:rPr>
              <w:t xml:space="preserve"> practices</w:t>
            </w:r>
          </w:p>
        </w:tc>
        <w:tc>
          <w:tcPr>
            <w:tcW w:w="1984" w:type="dxa"/>
          </w:tcPr>
          <w:p w:rsidR="000623E5" w:rsidRPr="009B5734" w:rsidRDefault="000623E5" w:rsidP="000623E5">
            <w:pPr>
              <w:pStyle w:val="Text2"/>
              <w:ind w:left="0" w:firstLine="0"/>
              <w:rPr>
                <w:noProof/>
                <w:sz w:val="20"/>
              </w:rPr>
            </w:pPr>
            <w:r w:rsidRPr="009B5734">
              <w:rPr>
                <w:noProof/>
                <w:sz w:val="20"/>
              </w:rPr>
              <w:t>Amending Unfair Commercial Practices Directive</w:t>
            </w:r>
          </w:p>
        </w:tc>
      </w:tr>
    </w:tbl>
    <w:p w:rsidR="00843A23" w:rsidRPr="009B5734" w:rsidRDefault="00843A23" w:rsidP="00A74B29">
      <w:pPr>
        <w:rPr>
          <w:noProof/>
        </w:rPr>
      </w:pPr>
    </w:p>
    <w:p w:rsidR="00843A23" w:rsidRDefault="00843A23" w:rsidP="0011520C">
      <w:pPr>
        <w:pStyle w:val="Text2"/>
        <w:ind w:left="0" w:firstLine="0"/>
        <w:jc w:val="left"/>
        <w:rPr>
          <w:noProof/>
        </w:rPr>
      </w:pPr>
      <w:r w:rsidRPr="00D32CA4">
        <w:rPr>
          <w:b/>
          <w:noProof/>
        </w:rPr>
        <w:t xml:space="preserve">How do the options interact with other initiatives in preparation </w:t>
      </w:r>
      <w:r w:rsidR="0011520C" w:rsidRPr="00D32CA4">
        <w:rPr>
          <w:b/>
          <w:noProof/>
        </w:rPr>
        <w:br/>
      </w:r>
      <w:r w:rsidRPr="00D32CA4">
        <w:rPr>
          <w:noProof/>
        </w:rPr>
        <w:t xml:space="preserve">The problem will be </w:t>
      </w:r>
      <w:r w:rsidR="00BF4DE5" w:rsidRPr="00D32CA4">
        <w:rPr>
          <w:noProof/>
        </w:rPr>
        <w:t xml:space="preserve">jointly </w:t>
      </w:r>
      <w:r w:rsidRPr="00D32CA4">
        <w:rPr>
          <w:noProof/>
        </w:rPr>
        <w:t xml:space="preserve">addressed </w:t>
      </w:r>
      <w:r w:rsidR="00BF4DE5" w:rsidRPr="00D32CA4">
        <w:rPr>
          <w:noProof/>
        </w:rPr>
        <w:t xml:space="preserve">with </w:t>
      </w:r>
      <w:r w:rsidRPr="00D32CA4">
        <w:rPr>
          <w:noProof/>
        </w:rPr>
        <w:t xml:space="preserve">the upcoming </w:t>
      </w:r>
      <w:r w:rsidRPr="00D32CA4">
        <w:rPr>
          <w:b/>
          <w:noProof/>
        </w:rPr>
        <w:t>Green Claims Initiative</w:t>
      </w:r>
      <w:r w:rsidRPr="00D32CA4">
        <w:rPr>
          <w:noProof/>
        </w:rPr>
        <w:t xml:space="preserve"> which will help to regulate the market for </w:t>
      </w:r>
      <w:r w:rsidR="00BF4DE5" w:rsidRPr="00D32CA4">
        <w:rPr>
          <w:noProof/>
        </w:rPr>
        <w:t xml:space="preserve">environmental </w:t>
      </w:r>
      <w:r w:rsidRPr="00D32CA4">
        <w:rPr>
          <w:noProof/>
        </w:rPr>
        <w:t xml:space="preserve">claims </w:t>
      </w:r>
      <w:r w:rsidR="00BF4DE5" w:rsidRPr="00D32CA4">
        <w:rPr>
          <w:noProof/>
        </w:rPr>
        <w:t>on products and organisations when made both by businesses towards consumers and by businesses towards other businesses. This initiative would establish methodological requirements on how environmental claims are</w:t>
      </w:r>
      <w:r w:rsidR="00AF2381" w:rsidRPr="00D32CA4">
        <w:rPr>
          <w:noProof/>
        </w:rPr>
        <w:t xml:space="preserve"> communicated and substantiated</w:t>
      </w:r>
      <w:r w:rsidR="002241A7" w:rsidRPr="00D32CA4">
        <w:rPr>
          <w:noProof/>
        </w:rPr>
        <w:t>.</w:t>
      </w:r>
      <w:r w:rsidR="00AF2381" w:rsidRPr="00D32CA4">
        <w:rPr>
          <w:noProof/>
        </w:rPr>
        <w:t xml:space="preserve"> </w:t>
      </w:r>
      <w:r w:rsidRPr="005C4F76">
        <w:rPr>
          <w:noProof/>
        </w:rPr>
        <w:t xml:space="preserve"> </w:t>
      </w:r>
    </w:p>
    <w:p w:rsidR="00C15F27" w:rsidRPr="009B5734" w:rsidRDefault="00C15F27" w:rsidP="0011520C">
      <w:pPr>
        <w:pStyle w:val="Text2"/>
        <w:ind w:left="0" w:firstLine="0"/>
        <w:jc w:val="left"/>
        <w:rPr>
          <w:b/>
          <w:noProof/>
        </w:rPr>
      </w:pPr>
      <w:r w:rsidRPr="009B5734">
        <w:rPr>
          <w:b/>
          <w:noProof/>
        </w:rPr>
        <w:t>Options discarded at an early stage</w:t>
      </w:r>
      <w:r w:rsidR="0011520C" w:rsidRPr="009B5734">
        <w:rPr>
          <w:b/>
          <w:noProof/>
        </w:rPr>
        <w:br/>
      </w:r>
      <w:r w:rsidRPr="009B5734">
        <w:rPr>
          <w:noProof/>
        </w:rPr>
        <w:t>Further to the options considered above, for this sub-problem the following option was discarded at an early stage</w:t>
      </w:r>
      <w:r w:rsidRPr="009B5734">
        <w:rPr>
          <w:b/>
          <w:i/>
          <w:noProof/>
        </w:rPr>
        <w:t>,</w:t>
      </w:r>
      <w:r w:rsidRPr="009B5734">
        <w:rPr>
          <w:noProof/>
        </w:rPr>
        <w:t xml:space="preserve"> as its added value could not be demonstrated: a </w:t>
      </w:r>
      <w:r w:rsidRPr="009B5734">
        <w:rPr>
          <w:b/>
          <w:noProof/>
        </w:rPr>
        <w:t>pre-approval of environmental claims via an EU body</w:t>
      </w:r>
      <w:r w:rsidRPr="009B5734">
        <w:rPr>
          <w:noProof/>
        </w:rPr>
        <w:t xml:space="preserve">. Additional details of the content of this option and the reason for discarding it is provided in </w:t>
      </w:r>
      <w:hyperlink w:anchor="_Sub-problem_2.2:_Consumers_1" w:history="1">
        <w:r w:rsidRPr="009B5734">
          <w:rPr>
            <w:rStyle w:val="Hyperlink"/>
            <w:noProof/>
          </w:rPr>
          <w:t>Annex 11</w:t>
        </w:r>
      </w:hyperlink>
      <w:r w:rsidRPr="009B5734">
        <w:rPr>
          <w:noProof/>
        </w:rPr>
        <w:t>.</w:t>
      </w:r>
    </w:p>
    <w:p w:rsidR="001E6F24" w:rsidRPr="009B5734" w:rsidRDefault="001E6F24" w:rsidP="001E6F24">
      <w:pPr>
        <w:pStyle w:val="Heading5"/>
        <w:ind w:left="0" w:firstLine="0"/>
        <w:rPr>
          <w:rFonts w:ascii="Times New Roman" w:hAnsi="Times New Roman" w:cs="Times New Roman"/>
          <w:b w:val="0"/>
          <w:i w:val="0"/>
          <w:noProof/>
          <w:sz w:val="24"/>
        </w:rPr>
      </w:pPr>
      <w:r w:rsidRPr="009B5734">
        <w:rPr>
          <w:rFonts w:ascii="Times New Roman" w:hAnsi="Times New Roman" w:cs="Times New Roman"/>
          <w:b w:val="0"/>
          <w:i w:val="0"/>
          <w:noProof/>
          <w:sz w:val="24"/>
        </w:rPr>
        <w:t>5.2.2.3. Sub-problem 2.3: Consumers are faced with the use of sustainability labels and digital information tools that are not always transparent and credible</w:t>
      </w:r>
    </w:p>
    <w:p w:rsidR="00A86D06" w:rsidRDefault="00A86D06">
      <w:pPr>
        <w:pStyle w:val="Text2"/>
        <w:ind w:left="0" w:firstLine="0"/>
        <w:rPr>
          <w:b/>
          <w:bCs/>
          <w:noProof/>
        </w:rPr>
      </w:pPr>
      <w:r w:rsidRPr="005D24D2">
        <w:rPr>
          <w:b/>
          <w:bCs/>
          <w:noProof/>
        </w:rPr>
        <w:t>What are the options considered in order to address this sub-problem?</w:t>
      </w:r>
    </w:p>
    <w:p w:rsidR="00B63A7B" w:rsidRPr="008D65D2" w:rsidRDefault="00B63A7B">
      <w:pPr>
        <w:pStyle w:val="Text2"/>
        <w:ind w:left="0" w:firstLine="0"/>
        <w:rPr>
          <w:noProof/>
        </w:rPr>
      </w:pPr>
      <w:r w:rsidRPr="008D65D2">
        <w:rPr>
          <w:noProof/>
        </w:rPr>
        <w:t>The three options presented below are mutually exclusive.</w:t>
      </w:r>
    </w:p>
    <w:tbl>
      <w:tblPr>
        <w:tblStyle w:val="TableGrid"/>
        <w:tblW w:w="12582" w:type="dxa"/>
        <w:tblLayout w:type="fixed"/>
        <w:tblLook w:val="04A0" w:firstRow="1" w:lastRow="0" w:firstColumn="1" w:lastColumn="0" w:noHBand="0" w:noVBand="1"/>
      </w:tblPr>
      <w:tblGrid>
        <w:gridCol w:w="2697"/>
        <w:gridCol w:w="5491"/>
        <w:gridCol w:w="1418"/>
        <w:gridCol w:w="1559"/>
        <w:gridCol w:w="1417"/>
      </w:tblGrid>
      <w:tr w:rsidR="00EA0EB0" w:rsidRPr="009B5734" w:rsidTr="7F52AB9A">
        <w:tc>
          <w:tcPr>
            <w:tcW w:w="2697" w:type="dxa"/>
            <w:shd w:val="clear" w:color="auto" w:fill="9BBB59" w:themeFill="accent3"/>
          </w:tcPr>
          <w:p w:rsidR="00EA0EB0" w:rsidRPr="009B5734" w:rsidRDefault="00EA0EB0" w:rsidP="00EA0EB0">
            <w:pPr>
              <w:pStyle w:val="Text2"/>
              <w:ind w:left="0" w:firstLine="0"/>
              <w:rPr>
                <w:b/>
                <w:noProof/>
                <w:sz w:val="20"/>
              </w:rPr>
            </w:pPr>
          </w:p>
        </w:tc>
        <w:tc>
          <w:tcPr>
            <w:tcW w:w="5491" w:type="dxa"/>
            <w:shd w:val="clear" w:color="auto" w:fill="9BBB59" w:themeFill="accent3"/>
          </w:tcPr>
          <w:p w:rsidR="00EA0EB0" w:rsidRPr="009B5734" w:rsidRDefault="00EA0EB0" w:rsidP="00EA0EB0">
            <w:pPr>
              <w:pStyle w:val="Text2"/>
              <w:ind w:left="0" w:firstLine="0"/>
              <w:rPr>
                <w:b/>
                <w:noProof/>
                <w:sz w:val="20"/>
              </w:rPr>
            </w:pPr>
            <w:r w:rsidRPr="009B5734">
              <w:rPr>
                <w:b/>
                <w:noProof/>
                <w:sz w:val="20"/>
              </w:rPr>
              <w:t>Description of option</w:t>
            </w:r>
          </w:p>
        </w:tc>
        <w:tc>
          <w:tcPr>
            <w:tcW w:w="1418" w:type="dxa"/>
            <w:shd w:val="clear" w:color="auto" w:fill="9BBB59" w:themeFill="accent3"/>
          </w:tcPr>
          <w:p w:rsidR="00EA0EB0" w:rsidRPr="009B5734" w:rsidRDefault="00EA0EB0" w:rsidP="00EA0EB0">
            <w:pPr>
              <w:pStyle w:val="Text2"/>
              <w:ind w:left="0" w:firstLine="0"/>
              <w:rPr>
                <w:b/>
                <w:noProof/>
                <w:sz w:val="20"/>
              </w:rPr>
            </w:pPr>
            <w:r w:rsidRPr="009B5734">
              <w:rPr>
                <w:b/>
                <w:noProof/>
                <w:sz w:val="20"/>
              </w:rPr>
              <w:t>Product scope</w:t>
            </w:r>
          </w:p>
        </w:tc>
        <w:tc>
          <w:tcPr>
            <w:tcW w:w="1559" w:type="dxa"/>
            <w:shd w:val="clear" w:color="auto" w:fill="9BBB59" w:themeFill="accent3"/>
          </w:tcPr>
          <w:p w:rsidR="00EA0EB0" w:rsidRPr="009B5734" w:rsidRDefault="00EA0EB0" w:rsidP="00EA0EB0">
            <w:pPr>
              <w:pStyle w:val="Text2"/>
              <w:ind w:left="0" w:firstLine="0"/>
              <w:rPr>
                <w:b/>
                <w:noProof/>
                <w:sz w:val="20"/>
              </w:rPr>
            </w:pPr>
            <w:r w:rsidRPr="009B5734">
              <w:rPr>
                <w:b/>
                <w:noProof/>
                <w:sz w:val="20"/>
              </w:rPr>
              <w:t>Addressees</w:t>
            </w:r>
          </w:p>
        </w:tc>
        <w:tc>
          <w:tcPr>
            <w:tcW w:w="1417" w:type="dxa"/>
            <w:shd w:val="clear" w:color="auto" w:fill="9BBB59" w:themeFill="accent3"/>
          </w:tcPr>
          <w:p w:rsidR="00EA0EB0" w:rsidRPr="009B5734" w:rsidRDefault="00EA0EB0" w:rsidP="00EA0EB0">
            <w:pPr>
              <w:pStyle w:val="Text2"/>
              <w:ind w:left="0" w:firstLine="0"/>
              <w:rPr>
                <w:b/>
                <w:noProof/>
                <w:sz w:val="20"/>
              </w:rPr>
            </w:pPr>
            <w:r w:rsidRPr="009B5734">
              <w:rPr>
                <w:b/>
                <w:noProof/>
                <w:sz w:val="20"/>
              </w:rPr>
              <w:t>Nature of intervention</w:t>
            </w:r>
          </w:p>
        </w:tc>
      </w:tr>
      <w:tr w:rsidR="00EA0EB0" w:rsidRPr="009B5734" w:rsidTr="7F52AB9A">
        <w:tc>
          <w:tcPr>
            <w:tcW w:w="2697" w:type="dxa"/>
          </w:tcPr>
          <w:p w:rsidR="00EA0EB0" w:rsidRPr="009B5734" w:rsidRDefault="00EA0EB0" w:rsidP="00EA0EB0">
            <w:pPr>
              <w:pStyle w:val="Text2"/>
              <w:ind w:left="0" w:firstLine="0"/>
              <w:rPr>
                <w:b/>
                <w:noProof/>
                <w:sz w:val="22"/>
                <w:szCs w:val="22"/>
              </w:rPr>
            </w:pPr>
            <w:r w:rsidRPr="009B5734">
              <w:rPr>
                <w:b/>
                <w:noProof/>
                <w:sz w:val="22"/>
                <w:szCs w:val="22"/>
              </w:rPr>
              <w:t>Option 2.3.A: Development of principles promoting the transparency</w:t>
            </w:r>
            <w:r w:rsidR="00D145C2" w:rsidRPr="009B5734">
              <w:rPr>
                <w:b/>
                <w:noProof/>
                <w:sz w:val="22"/>
                <w:szCs w:val="22"/>
              </w:rPr>
              <w:t xml:space="preserve"> and </w:t>
            </w:r>
            <w:r w:rsidRPr="009B5734">
              <w:rPr>
                <w:b/>
                <w:noProof/>
                <w:sz w:val="22"/>
                <w:szCs w:val="22"/>
              </w:rPr>
              <w:t>credibility of  sustainability labels</w:t>
            </w:r>
            <w:r w:rsidR="00BA589D" w:rsidRPr="009B5734">
              <w:rPr>
                <w:b/>
                <w:noProof/>
                <w:sz w:val="22"/>
                <w:szCs w:val="22"/>
              </w:rPr>
              <w:t xml:space="preserve"> and digital information tools</w:t>
            </w:r>
            <w:r w:rsidRPr="009B5734">
              <w:rPr>
                <w:b/>
                <w:noProof/>
                <w:sz w:val="22"/>
                <w:szCs w:val="22"/>
              </w:rPr>
              <w:t xml:space="preserve"> for voluntary uptake</w:t>
            </w:r>
          </w:p>
        </w:tc>
        <w:tc>
          <w:tcPr>
            <w:tcW w:w="5491" w:type="dxa"/>
          </w:tcPr>
          <w:p w:rsidR="00EA0EB0" w:rsidRPr="009B5734" w:rsidRDefault="00EA0EB0" w:rsidP="00EA0EB0">
            <w:pPr>
              <w:ind w:left="0" w:firstLine="0"/>
              <w:rPr>
                <w:noProof/>
              </w:rPr>
            </w:pPr>
            <w:r w:rsidRPr="009B5734">
              <w:rPr>
                <w:noProof/>
              </w:rPr>
              <w:t>Develop</w:t>
            </w:r>
            <w:r w:rsidR="00496EA4" w:rsidRPr="009B5734">
              <w:rPr>
                <w:noProof/>
              </w:rPr>
              <w:t>ment</w:t>
            </w:r>
            <w:r w:rsidRPr="009B5734">
              <w:rPr>
                <w:noProof/>
              </w:rPr>
              <w:t xml:space="preserve"> via a multi-stakeholder dialogue of a set of principles to promote the credibility and transparency of sustainability labels</w:t>
            </w:r>
            <w:r w:rsidR="00BA589D" w:rsidRPr="009B5734">
              <w:rPr>
                <w:noProof/>
              </w:rPr>
              <w:t xml:space="preserve"> and digital information tools</w:t>
            </w:r>
            <w:r w:rsidRPr="009B5734">
              <w:rPr>
                <w:noProof/>
              </w:rPr>
              <w:t xml:space="preserve"> towards consumers. The organisations running the labels </w:t>
            </w:r>
            <w:r w:rsidR="00BA589D" w:rsidRPr="009B5734">
              <w:rPr>
                <w:noProof/>
              </w:rPr>
              <w:t xml:space="preserve">or information tools </w:t>
            </w:r>
            <w:r w:rsidRPr="009B5734">
              <w:rPr>
                <w:noProof/>
              </w:rPr>
              <w:t xml:space="preserve">could decide on a voluntary basis to comply with the principles.  </w:t>
            </w:r>
          </w:p>
          <w:p w:rsidR="00EA0EB0" w:rsidRPr="009B5734" w:rsidRDefault="00EA0EB0" w:rsidP="00EA0EB0">
            <w:pPr>
              <w:pStyle w:val="Text2"/>
              <w:ind w:left="0" w:firstLine="0"/>
              <w:rPr>
                <w:b/>
                <w:noProof/>
                <w:sz w:val="20"/>
              </w:rPr>
            </w:pPr>
          </w:p>
        </w:tc>
        <w:tc>
          <w:tcPr>
            <w:tcW w:w="1418" w:type="dxa"/>
          </w:tcPr>
          <w:p w:rsidR="00EA0EB0" w:rsidRPr="009B5734" w:rsidRDefault="00EA0EB0" w:rsidP="00EA0EB0">
            <w:pPr>
              <w:pStyle w:val="Text2"/>
              <w:ind w:left="0" w:firstLine="0"/>
              <w:rPr>
                <w:b/>
                <w:noProof/>
                <w:sz w:val="20"/>
              </w:rPr>
            </w:pPr>
            <w:r w:rsidRPr="009B5734">
              <w:rPr>
                <w:noProof/>
                <w:sz w:val="20"/>
              </w:rPr>
              <w:t>All products bearing/presenting a sustainability label</w:t>
            </w:r>
            <w:r w:rsidR="00BA589D" w:rsidRPr="009B5734">
              <w:rPr>
                <w:noProof/>
                <w:sz w:val="20"/>
              </w:rPr>
              <w:t>, digital information tools designed to compare the sustainability of products</w:t>
            </w:r>
          </w:p>
        </w:tc>
        <w:tc>
          <w:tcPr>
            <w:tcW w:w="1559" w:type="dxa"/>
          </w:tcPr>
          <w:p w:rsidR="00EA0EB0" w:rsidRPr="009B5734" w:rsidRDefault="00EA0EB0" w:rsidP="00EA0EB0">
            <w:pPr>
              <w:pStyle w:val="Text2"/>
              <w:ind w:left="0" w:firstLine="0"/>
              <w:rPr>
                <w:noProof/>
                <w:sz w:val="20"/>
              </w:rPr>
            </w:pPr>
            <w:r w:rsidRPr="009B5734">
              <w:rPr>
                <w:noProof/>
                <w:sz w:val="20"/>
              </w:rPr>
              <w:t>Organisations running sustainability labels</w:t>
            </w:r>
            <w:r w:rsidR="00BA589D" w:rsidRPr="009B5734">
              <w:rPr>
                <w:noProof/>
                <w:sz w:val="20"/>
              </w:rPr>
              <w:t xml:space="preserve"> or digital information tools designed to compare the sustainability of products</w:t>
            </w:r>
          </w:p>
        </w:tc>
        <w:tc>
          <w:tcPr>
            <w:tcW w:w="1417" w:type="dxa"/>
          </w:tcPr>
          <w:p w:rsidR="00EA0EB0" w:rsidRPr="009B5734" w:rsidRDefault="00EA0EB0" w:rsidP="00EA0EB0">
            <w:pPr>
              <w:pStyle w:val="Text2"/>
              <w:ind w:left="0" w:firstLine="0"/>
              <w:rPr>
                <w:noProof/>
                <w:sz w:val="20"/>
              </w:rPr>
            </w:pPr>
            <w:r w:rsidRPr="009B5734">
              <w:rPr>
                <w:noProof/>
                <w:sz w:val="20"/>
              </w:rPr>
              <w:t>Development of best practice guidelines</w:t>
            </w:r>
          </w:p>
          <w:p w:rsidR="00EA0EB0" w:rsidRPr="009B5734" w:rsidRDefault="00EA0EB0" w:rsidP="00EA0EB0">
            <w:pPr>
              <w:pStyle w:val="Text2"/>
              <w:ind w:left="0" w:firstLine="0"/>
              <w:rPr>
                <w:b/>
                <w:noProof/>
                <w:sz w:val="20"/>
              </w:rPr>
            </w:pPr>
          </w:p>
        </w:tc>
      </w:tr>
      <w:tr w:rsidR="00EA0EB0" w:rsidRPr="009B5734" w:rsidTr="7F52AB9A">
        <w:tc>
          <w:tcPr>
            <w:tcW w:w="2697" w:type="dxa"/>
          </w:tcPr>
          <w:p w:rsidR="00EA0EB0" w:rsidRPr="009B5734" w:rsidRDefault="00EA0EB0" w:rsidP="00EA0EB0">
            <w:pPr>
              <w:pStyle w:val="Text2"/>
              <w:ind w:left="0" w:firstLine="0"/>
              <w:rPr>
                <w:b/>
                <w:noProof/>
                <w:sz w:val="22"/>
                <w:szCs w:val="22"/>
              </w:rPr>
            </w:pPr>
            <w:r w:rsidRPr="009B5734">
              <w:rPr>
                <w:b/>
                <w:noProof/>
                <w:sz w:val="22"/>
                <w:szCs w:val="22"/>
              </w:rPr>
              <w:t xml:space="preserve">Option 2.3.B: </w:t>
            </w:r>
            <w:r w:rsidR="00B16AA8" w:rsidRPr="009B5734">
              <w:rPr>
                <w:b/>
                <w:noProof/>
                <w:sz w:val="22"/>
                <w:szCs w:val="22"/>
              </w:rPr>
              <w:t xml:space="preserve">Prohibition of sustainability labels and digital information tools not meeting </w:t>
            </w:r>
            <w:r w:rsidRPr="009B5734">
              <w:rPr>
                <w:b/>
                <w:noProof/>
                <w:sz w:val="22"/>
                <w:szCs w:val="22"/>
              </w:rPr>
              <w:t xml:space="preserve">minimum transparency and credibility requirements  </w:t>
            </w:r>
          </w:p>
        </w:tc>
        <w:tc>
          <w:tcPr>
            <w:tcW w:w="5491" w:type="dxa"/>
          </w:tcPr>
          <w:p w:rsidR="00D145C2" w:rsidRPr="009B5734" w:rsidRDefault="00B16AA8" w:rsidP="00BA587B">
            <w:pPr>
              <w:ind w:left="0" w:firstLine="0"/>
              <w:rPr>
                <w:noProof/>
              </w:rPr>
            </w:pPr>
            <w:r w:rsidRPr="009B5734">
              <w:rPr>
                <w:noProof/>
              </w:rPr>
              <w:t xml:space="preserve">Providing specific criteria regarding </w:t>
            </w:r>
            <w:r w:rsidR="00EA0EB0" w:rsidRPr="009B5734">
              <w:rPr>
                <w:noProof/>
              </w:rPr>
              <w:t>the transparency</w:t>
            </w:r>
            <w:r w:rsidR="00D145C2" w:rsidRPr="009B5734">
              <w:rPr>
                <w:noProof/>
              </w:rPr>
              <w:t xml:space="preserve"> and </w:t>
            </w:r>
            <w:r w:rsidR="00EA0EB0" w:rsidRPr="009B5734">
              <w:rPr>
                <w:noProof/>
              </w:rPr>
              <w:t xml:space="preserve">credibility </w:t>
            </w:r>
            <w:r w:rsidRPr="009B5734">
              <w:rPr>
                <w:noProof/>
              </w:rPr>
              <w:t xml:space="preserve">to assess the fairness </w:t>
            </w:r>
            <w:r w:rsidR="00EA0EB0" w:rsidRPr="009B5734">
              <w:rPr>
                <w:noProof/>
              </w:rPr>
              <w:t>of voluntary sustainability labels</w:t>
            </w:r>
            <w:r w:rsidR="0002558A" w:rsidRPr="009B5734">
              <w:rPr>
                <w:rStyle w:val="FootnoteReference"/>
                <w:noProof/>
              </w:rPr>
              <w:footnoteReference w:id="105"/>
            </w:r>
            <w:r w:rsidR="00EA0EB0" w:rsidRPr="009B5734">
              <w:rPr>
                <w:noProof/>
              </w:rPr>
              <w:t xml:space="preserve"> </w:t>
            </w:r>
            <w:r w:rsidR="00BA589D" w:rsidRPr="009B5734">
              <w:rPr>
                <w:noProof/>
              </w:rPr>
              <w:t xml:space="preserve">and digital information tools </w:t>
            </w:r>
            <w:r w:rsidRPr="009B5734">
              <w:rPr>
                <w:noProof/>
              </w:rPr>
              <w:t xml:space="preserve">that are used in marketing </w:t>
            </w:r>
            <w:r w:rsidR="00EA0EB0" w:rsidRPr="009B5734">
              <w:rPr>
                <w:noProof/>
              </w:rPr>
              <w:t>towards consumers.</w:t>
            </w:r>
            <w:r w:rsidR="00BA587B" w:rsidRPr="009B5734">
              <w:rPr>
                <w:noProof/>
              </w:rPr>
              <w:t xml:space="preserve"> </w:t>
            </w:r>
            <w:r w:rsidR="00EA0EB0" w:rsidRPr="009B5734">
              <w:rPr>
                <w:noProof/>
              </w:rPr>
              <w:t xml:space="preserve">Based on the existing </w:t>
            </w:r>
            <w:r w:rsidRPr="009B5734">
              <w:rPr>
                <w:noProof/>
              </w:rPr>
              <w:t>provisions</w:t>
            </w:r>
            <w:r w:rsidR="00EA0EB0" w:rsidRPr="009B5734">
              <w:rPr>
                <w:noProof/>
              </w:rPr>
              <w:t xml:space="preserve"> of the U</w:t>
            </w:r>
            <w:r w:rsidR="00D145C2" w:rsidRPr="009B5734">
              <w:rPr>
                <w:noProof/>
              </w:rPr>
              <w:t xml:space="preserve">nfair </w:t>
            </w:r>
            <w:r w:rsidR="00EA0EB0" w:rsidRPr="009B5734">
              <w:rPr>
                <w:noProof/>
              </w:rPr>
              <w:t>C</w:t>
            </w:r>
            <w:r w:rsidR="00D145C2" w:rsidRPr="009B5734">
              <w:rPr>
                <w:noProof/>
              </w:rPr>
              <w:t xml:space="preserve">ommercial </w:t>
            </w:r>
            <w:r w:rsidR="00EA0EB0" w:rsidRPr="009B5734">
              <w:rPr>
                <w:noProof/>
              </w:rPr>
              <w:t>P</w:t>
            </w:r>
            <w:r w:rsidR="00D145C2" w:rsidRPr="009B5734">
              <w:rPr>
                <w:noProof/>
              </w:rPr>
              <w:t xml:space="preserve">ractices </w:t>
            </w:r>
            <w:r w:rsidR="00EA0EB0" w:rsidRPr="009B5734">
              <w:rPr>
                <w:noProof/>
              </w:rPr>
              <w:t>D</w:t>
            </w:r>
            <w:r w:rsidR="00D866BB" w:rsidRPr="009B5734">
              <w:rPr>
                <w:noProof/>
              </w:rPr>
              <w:t>irective</w:t>
            </w:r>
            <w:r w:rsidR="00EA0EB0" w:rsidRPr="009B5734">
              <w:rPr>
                <w:noProof/>
              </w:rPr>
              <w:t>, this option would cover “any trust mark, quality mark or equivalent”</w:t>
            </w:r>
            <w:r w:rsidR="00EA0EB0" w:rsidRPr="009B5734">
              <w:rPr>
                <w:rStyle w:val="FootnoteReference"/>
                <w:noProof/>
              </w:rPr>
              <w:footnoteReference w:id="106"/>
            </w:r>
            <w:r w:rsidR="00EA0EB0" w:rsidRPr="009B5734">
              <w:rPr>
                <w:rStyle w:val="FootnoteReference"/>
                <w:noProof/>
              </w:rPr>
              <w:t xml:space="preserve"> </w:t>
            </w:r>
            <w:r w:rsidR="00EA0EB0" w:rsidRPr="009B5734">
              <w:rPr>
                <w:noProof/>
              </w:rPr>
              <w:t>that aims to set apart and promote a product, a process or a business with reference to environmental, social or ethical aspects.</w:t>
            </w:r>
            <w:r w:rsidR="00EA0EB0" w:rsidRPr="009B5734" w:rsidDel="00264154">
              <w:rPr>
                <w:noProof/>
              </w:rPr>
              <w:t xml:space="preserve"> </w:t>
            </w:r>
            <w:r w:rsidR="00BA589D" w:rsidRPr="009B5734">
              <w:rPr>
                <w:noProof/>
              </w:rPr>
              <w:t>It would also cover all digital information tools designed to compare the sustainability of products.</w:t>
            </w:r>
          </w:p>
          <w:p w:rsidR="00D145C2" w:rsidRPr="009B5734" w:rsidRDefault="00D145C2" w:rsidP="00BA587B">
            <w:pPr>
              <w:ind w:left="0" w:firstLine="0"/>
              <w:rPr>
                <w:noProof/>
              </w:rPr>
            </w:pPr>
          </w:p>
          <w:p w:rsidR="00EA0EB0" w:rsidRPr="009B5734" w:rsidRDefault="00EA0EB0" w:rsidP="003101C6">
            <w:pPr>
              <w:ind w:left="0" w:firstLine="0"/>
              <w:rPr>
                <w:noProof/>
              </w:rPr>
            </w:pPr>
            <w:r w:rsidRPr="009B5734">
              <w:rPr>
                <w:noProof/>
              </w:rPr>
              <w:t>Th</w:t>
            </w:r>
            <w:r w:rsidR="00B16AA8" w:rsidRPr="009B5734">
              <w:rPr>
                <w:noProof/>
              </w:rPr>
              <w:t>ese</w:t>
            </w:r>
            <w:r w:rsidRPr="009B5734">
              <w:rPr>
                <w:noProof/>
              </w:rPr>
              <w:t xml:space="preserve"> </w:t>
            </w:r>
            <w:r w:rsidR="00B16AA8" w:rsidRPr="009B5734">
              <w:rPr>
                <w:noProof/>
              </w:rPr>
              <w:t>criteria</w:t>
            </w:r>
            <w:r w:rsidRPr="009B5734">
              <w:rPr>
                <w:noProof/>
              </w:rPr>
              <w:t xml:space="preserve"> would co</w:t>
            </w:r>
            <w:r w:rsidR="00B16AA8" w:rsidRPr="009B5734">
              <w:rPr>
                <w:noProof/>
              </w:rPr>
              <w:t>mprise</w:t>
            </w:r>
            <w:r w:rsidRPr="009B5734">
              <w:rPr>
                <w:noProof/>
              </w:rPr>
              <w:t xml:space="preserve"> the following aspects</w:t>
            </w:r>
            <w:r w:rsidR="003101C6">
              <w:rPr>
                <w:noProof/>
              </w:rPr>
              <w:t>, such as</w:t>
            </w:r>
            <w:r w:rsidRPr="009B5734">
              <w:rPr>
                <w:noProof/>
              </w:rPr>
              <w:t>:</w:t>
            </w:r>
            <w:r w:rsidR="00BA587B" w:rsidRPr="009B5734">
              <w:rPr>
                <w:noProof/>
              </w:rPr>
              <w:t xml:space="preserve"> </w:t>
            </w:r>
            <w:r w:rsidRPr="009B5734">
              <w:rPr>
                <w:noProof/>
              </w:rPr>
              <w:t>transparency on the identity of the organisation running the label</w:t>
            </w:r>
            <w:r w:rsidR="00BA589D" w:rsidRPr="009B5734">
              <w:rPr>
                <w:noProof/>
              </w:rPr>
              <w:t>/information tool</w:t>
            </w:r>
            <w:r w:rsidRPr="009B5734">
              <w:rPr>
                <w:noProof/>
              </w:rPr>
              <w:t>, its objectives and its functioning (e.g. decision making bodies; underlying requirements, underlying methods used, procedures for monitoring compliance);</w:t>
            </w:r>
            <w:r w:rsidR="00BA587B" w:rsidRPr="009B5734">
              <w:rPr>
                <w:noProof/>
              </w:rPr>
              <w:t xml:space="preserve"> </w:t>
            </w:r>
            <w:r w:rsidRPr="009B5734">
              <w:rPr>
                <w:noProof/>
              </w:rPr>
              <w:t>non-discriminatory accessibility to industry participants;</w:t>
            </w:r>
            <w:r w:rsidR="00BA587B" w:rsidRPr="009B5734">
              <w:rPr>
                <w:noProof/>
              </w:rPr>
              <w:t xml:space="preserve"> </w:t>
            </w:r>
            <w:r w:rsidRPr="009B5734">
              <w:rPr>
                <w:noProof/>
              </w:rPr>
              <w:t xml:space="preserve">involvement of both experts and broader group of stakeholder to validate scientific robustness </w:t>
            </w:r>
            <w:r w:rsidRPr="009B5734" w:rsidDel="004E3FEF">
              <w:rPr>
                <w:noProof/>
              </w:rPr>
              <w:t>as well as</w:t>
            </w:r>
            <w:r w:rsidRPr="009B5734">
              <w:rPr>
                <w:noProof/>
              </w:rPr>
              <w:t xml:space="preserve"> the social</w:t>
            </w:r>
            <w:r w:rsidRPr="009B5734" w:rsidDel="004E3FEF">
              <w:rPr>
                <w:noProof/>
              </w:rPr>
              <w:t xml:space="preserve"> and </w:t>
            </w:r>
            <w:r w:rsidRPr="009B5734">
              <w:rPr>
                <w:noProof/>
              </w:rPr>
              <w:t>practical relevance of requirements;</w:t>
            </w:r>
            <w:r w:rsidR="00BA587B" w:rsidRPr="009B5734">
              <w:rPr>
                <w:noProof/>
              </w:rPr>
              <w:t xml:space="preserve"> </w:t>
            </w:r>
            <w:r w:rsidRPr="009B5734">
              <w:rPr>
                <w:noProof/>
              </w:rPr>
              <w:t>existence of a compliance monitoring, to be carried out by an independent third party;</w:t>
            </w:r>
            <w:r w:rsidR="00BA587B" w:rsidRPr="009B5734">
              <w:rPr>
                <w:noProof/>
              </w:rPr>
              <w:t xml:space="preserve"> </w:t>
            </w:r>
            <w:r w:rsidRPr="009B5734">
              <w:rPr>
                <w:noProof/>
              </w:rPr>
              <w:t>existence of a complaint and dispute resolution mechanisms;</w:t>
            </w:r>
            <w:r w:rsidR="00BA587B" w:rsidRPr="009B5734">
              <w:rPr>
                <w:noProof/>
              </w:rPr>
              <w:t xml:space="preserve"> </w:t>
            </w:r>
            <w:r w:rsidRPr="009B5734">
              <w:rPr>
                <w:noProof/>
              </w:rPr>
              <w:t xml:space="preserve">existence of procedures to deal with non-compliance. </w:t>
            </w:r>
          </w:p>
        </w:tc>
        <w:tc>
          <w:tcPr>
            <w:tcW w:w="1418" w:type="dxa"/>
          </w:tcPr>
          <w:p w:rsidR="00EA0EB0" w:rsidRPr="009B5734" w:rsidRDefault="00EA0EB0" w:rsidP="00EA0EB0">
            <w:pPr>
              <w:pStyle w:val="Text2"/>
              <w:ind w:left="0" w:firstLine="0"/>
              <w:rPr>
                <w:b/>
                <w:noProof/>
                <w:sz w:val="20"/>
              </w:rPr>
            </w:pPr>
            <w:r w:rsidRPr="009B5734">
              <w:rPr>
                <w:noProof/>
                <w:sz w:val="20"/>
              </w:rPr>
              <w:t>All products bearing/presenting a sustainability label</w:t>
            </w:r>
            <w:r w:rsidR="00B16AA8" w:rsidRPr="009B5734">
              <w:rPr>
                <w:noProof/>
                <w:sz w:val="20"/>
              </w:rPr>
              <w:t xml:space="preserve"> as marketing tool towards consumers</w:t>
            </w:r>
            <w:r w:rsidR="00BA589D" w:rsidRPr="009B5734">
              <w:rPr>
                <w:noProof/>
                <w:sz w:val="20"/>
              </w:rPr>
              <w:t xml:space="preserve">, digital information tools </w:t>
            </w:r>
            <w:r w:rsidR="00B16AA8" w:rsidRPr="009B5734">
              <w:rPr>
                <w:noProof/>
                <w:sz w:val="20"/>
              </w:rPr>
              <w:t xml:space="preserve">for consumers </w:t>
            </w:r>
            <w:r w:rsidR="00BA589D" w:rsidRPr="009B5734">
              <w:rPr>
                <w:noProof/>
                <w:sz w:val="20"/>
              </w:rPr>
              <w:t>to compare the sustainability of products</w:t>
            </w:r>
          </w:p>
        </w:tc>
        <w:tc>
          <w:tcPr>
            <w:tcW w:w="1559" w:type="dxa"/>
          </w:tcPr>
          <w:p w:rsidR="00EA0EB0" w:rsidRPr="009B5734" w:rsidRDefault="00EA0EB0" w:rsidP="00EA0EB0">
            <w:pPr>
              <w:pStyle w:val="Text2"/>
              <w:ind w:left="0" w:firstLine="0"/>
              <w:rPr>
                <w:noProof/>
                <w:sz w:val="20"/>
              </w:rPr>
            </w:pPr>
            <w:r w:rsidRPr="009B5734">
              <w:rPr>
                <w:noProof/>
                <w:sz w:val="20"/>
              </w:rPr>
              <w:t xml:space="preserve">All traders that </w:t>
            </w:r>
            <w:r w:rsidR="00B16AA8" w:rsidRPr="009B5734">
              <w:rPr>
                <w:noProof/>
                <w:sz w:val="20"/>
              </w:rPr>
              <w:t>use</w:t>
            </w:r>
            <w:r w:rsidRPr="009B5734">
              <w:rPr>
                <w:noProof/>
                <w:sz w:val="20"/>
              </w:rPr>
              <w:t xml:space="preserve"> such sustainability labels </w:t>
            </w:r>
            <w:r w:rsidR="00B16AA8" w:rsidRPr="009B5734">
              <w:rPr>
                <w:noProof/>
                <w:sz w:val="20"/>
              </w:rPr>
              <w:t>for marketing</w:t>
            </w:r>
            <w:r w:rsidR="006A4EF5" w:rsidRPr="009B5734">
              <w:rPr>
                <w:noProof/>
                <w:sz w:val="20"/>
              </w:rPr>
              <w:t xml:space="preserve"> </w:t>
            </w:r>
            <w:r w:rsidRPr="009B5734">
              <w:rPr>
                <w:noProof/>
                <w:sz w:val="20"/>
              </w:rPr>
              <w:t>products</w:t>
            </w:r>
            <w:r w:rsidR="00BA587B" w:rsidRPr="009B5734">
              <w:rPr>
                <w:noProof/>
                <w:sz w:val="20"/>
              </w:rPr>
              <w:t xml:space="preserve">. </w:t>
            </w:r>
            <w:r w:rsidRPr="009B5734">
              <w:rPr>
                <w:noProof/>
                <w:sz w:val="20"/>
              </w:rPr>
              <w:t>Organisations running the sustainability labels</w:t>
            </w:r>
            <w:r w:rsidR="00BA589D" w:rsidRPr="009B5734">
              <w:rPr>
                <w:noProof/>
                <w:sz w:val="20"/>
              </w:rPr>
              <w:t xml:space="preserve"> or digital information tools </w:t>
            </w:r>
            <w:r w:rsidR="00B16AA8" w:rsidRPr="009B5734">
              <w:rPr>
                <w:noProof/>
                <w:sz w:val="20"/>
              </w:rPr>
              <w:t xml:space="preserve">for consumers </w:t>
            </w:r>
            <w:r w:rsidR="00BA589D" w:rsidRPr="009B5734">
              <w:rPr>
                <w:noProof/>
                <w:sz w:val="20"/>
              </w:rPr>
              <w:t>designed to compare the sustainability of products.</w:t>
            </w:r>
          </w:p>
        </w:tc>
        <w:tc>
          <w:tcPr>
            <w:tcW w:w="1417" w:type="dxa"/>
          </w:tcPr>
          <w:p w:rsidR="00EA0EB0" w:rsidRPr="009B5734" w:rsidRDefault="00EA0EB0" w:rsidP="00EA0EB0">
            <w:pPr>
              <w:pStyle w:val="Text2"/>
              <w:ind w:left="0" w:firstLine="0"/>
              <w:rPr>
                <w:noProof/>
                <w:sz w:val="20"/>
              </w:rPr>
            </w:pPr>
            <w:r w:rsidRPr="009B5734">
              <w:rPr>
                <w:noProof/>
                <w:sz w:val="20"/>
              </w:rPr>
              <w:t>Amending Unfair Commercial Practices Directive</w:t>
            </w:r>
          </w:p>
          <w:p w:rsidR="00EA0EB0" w:rsidRPr="009B5734" w:rsidRDefault="00EA0EB0" w:rsidP="00EA0EB0">
            <w:pPr>
              <w:pStyle w:val="Text2"/>
              <w:ind w:left="0" w:firstLine="0"/>
              <w:rPr>
                <w:b/>
                <w:noProof/>
                <w:sz w:val="20"/>
              </w:rPr>
            </w:pPr>
          </w:p>
        </w:tc>
      </w:tr>
      <w:tr w:rsidR="00EA0EB0" w:rsidRPr="009B5734" w:rsidTr="7F52AB9A">
        <w:tc>
          <w:tcPr>
            <w:tcW w:w="2697" w:type="dxa"/>
          </w:tcPr>
          <w:p w:rsidR="002F3EA5" w:rsidRPr="009B5734" w:rsidRDefault="002F3EA5" w:rsidP="00611D38">
            <w:pPr>
              <w:ind w:left="0" w:firstLine="0"/>
              <w:rPr>
                <w:b/>
                <w:noProof/>
                <w:sz w:val="24"/>
              </w:rPr>
            </w:pPr>
            <w:r w:rsidRPr="009B5734">
              <w:rPr>
                <w:b/>
                <w:noProof/>
                <w:sz w:val="22"/>
                <w:szCs w:val="22"/>
              </w:rPr>
              <w:t xml:space="preserve">Option 2.3.C: Pre-approval of sustainability labels and </w:t>
            </w:r>
            <w:r w:rsidR="00674E50" w:rsidRPr="009B5734">
              <w:rPr>
                <w:b/>
                <w:noProof/>
                <w:sz w:val="22"/>
                <w:szCs w:val="22"/>
              </w:rPr>
              <w:t>digital</w:t>
            </w:r>
            <w:r w:rsidRPr="009B5734">
              <w:rPr>
                <w:b/>
                <w:noProof/>
                <w:sz w:val="22"/>
                <w:szCs w:val="22"/>
              </w:rPr>
              <w:t xml:space="preserve"> information tools via an EU body</w:t>
            </w:r>
          </w:p>
        </w:tc>
        <w:tc>
          <w:tcPr>
            <w:tcW w:w="5491" w:type="dxa"/>
          </w:tcPr>
          <w:p w:rsidR="002F3EA5" w:rsidRPr="009B5734" w:rsidRDefault="002F3EA5" w:rsidP="002F3EA5">
            <w:pPr>
              <w:pStyle w:val="Text2"/>
              <w:ind w:left="0" w:firstLine="0"/>
              <w:rPr>
                <w:noProof/>
                <w:sz w:val="20"/>
              </w:rPr>
            </w:pPr>
            <w:r w:rsidRPr="009B5734">
              <w:rPr>
                <w:noProof/>
                <w:sz w:val="20"/>
              </w:rPr>
              <w:t>The approval of sustainability labels and digital information tools for use on the EU market would be subject to an ex-ante conformity assessment to be performed by an EU body. Approval would require conformity with the minimum requirements outlined in option 2.3.B.</w:t>
            </w:r>
          </w:p>
        </w:tc>
        <w:tc>
          <w:tcPr>
            <w:tcW w:w="1418" w:type="dxa"/>
          </w:tcPr>
          <w:p w:rsidR="002F3EA5" w:rsidRPr="009B5734" w:rsidRDefault="002F3EA5" w:rsidP="00EA0EB0">
            <w:pPr>
              <w:pStyle w:val="Text2"/>
              <w:ind w:left="0" w:firstLine="0"/>
              <w:rPr>
                <w:b/>
                <w:noProof/>
                <w:sz w:val="20"/>
              </w:rPr>
            </w:pPr>
            <w:r w:rsidRPr="009B5734">
              <w:rPr>
                <w:noProof/>
                <w:sz w:val="20"/>
              </w:rPr>
              <w:t>All products bearing/presenting a sustainability label, digital information tools designed to compare the sustainability of products</w:t>
            </w:r>
          </w:p>
        </w:tc>
        <w:tc>
          <w:tcPr>
            <w:tcW w:w="1559" w:type="dxa"/>
          </w:tcPr>
          <w:p w:rsidR="002F3EA5" w:rsidRPr="009B5734" w:rsidRDefault="002F3EA5" w:rsidP="00EA0EB0">
            <w:pPr>
              <w:pStyle w:val="Text2"/>
              <w:ind w:left="0" w:firstLine="0"/>
              <w:rPr>
                <w:noProof/>
                <w:sz w:val="20"/>
              </w:rPr>
            </w:pPr>
            <w:r w:rsidRPr="009B5734">
              <w:rPr>
                <w:noProof/>
                <w:sz w:val="20"/>
              </w:rPr>
              <w:t>Organisations running sustainability labels or digital information tools designed to compare the sustainability of products</w:t>
            </w:r>
          </w:p>
        </w:tc>
        <w:tc>
          <w:tcPr>
            <w:tcW w:w="1417" w:type="dxa"/>
          </w:tcPr>
          <w:p w:rsidR="00EA0EB0" w:rsidRPr="009B5734" w:rsidRDefault="002F3EA5" w:rsidP="002F3EA5">
            <w:pPr>
              <w:pStyle w:val="Text2"/>
              <w:ind w:left="0" w:firstLine="0"/>
              <w:rPr>
                <w:noProof/>
                <w:sz w:val="20"/>
              </w:rPr>
            </w:pPr>
            <w:r w:rsidRPr="009B5734">
              <w:rPr>
                <w:noProof/>
                <w:sz w:val="20"/>
              </w:rPr>
              <w:t>New legal provision</w:t>
            </w:r>
          </w:p>
        </w:tc>
      </w:tr>
    </w:tbl>
    <w:p w:rsidR="00C310D8" w:rsidRDefault="00C310D8" w:rsidP="00C310D8">
      <w:pPr>
        <w:pStyle w:val="Text2"/>
        <w:ind w:left="0" w:firstLine="0"/>
        <w:jc w:val="left"/>
        <w:rPr>
          <w:b/>
          <w:noProof/>
        </w:rPr>
      </w:pPr>
    </w:p>
    <w:p w:rsidR="00A74B29" w:rsidRPr="00C310D8" w:rsidRDefault="00C310D8" w:rsidP="00C310D8">
      <w:pPr>
        <w:pStyle w:val="Text2"/>
        <w:ind w:left="0" w:firstLine="0"/>
        <w:jc w:val="left"/>
        <w:rPr>
          <w:noProof/>
        </w:rPr>
        <w:sectPr w:rsidR="00A74B29" w:rsidRPr="00C310D8" w:rsidSect="00D6164B">
          <w:headerReference w:type="even" r:id="rId43"/>
          <w:headerReference w:type="default" r:id="rId44"/>
          <w:footerReference w:type="even" r:id="rId45"/>
          <w:footerReference w:type="default" r:id="rId46"/>
          <w:headerReference w:type="first" r:id="rId47"/>
          <w:footerReference w:type="first" r:id="rId48"/>
          <w:pgSz w:w="16838" w:h="11906" w:orient="landscape"/>
          <w:pgMar w:top="1701" w:right="1418" w:bottom="1418" w:left="1418" w:header="567" w:footer="340" w:gutter="0"/>
          <w:cols w:space="708"/>
          <w:docGrid w:linePitch="360"/>
        </w:sectPr>
      </w:pPr>
      <w:r w:rsidRPr="00D32CA4">
        <w:rPr>
          <w:b/>
          <w:noProof/>
        </w:rPr>
        <w:t>How do these options interact with other initiatives in preparation?</w:t>
      </w:r>
      <w:r w:rsidRPr="00D32CA4">
        <w:rPr>
          <w:b/>
          <w:noProof/>
        </w:rPr>
        <w:br/>
      </w:r>
      <w:r w:rsidRPr="00D32CA4">
        <w:rPr>
          <w:noProof/>
        </w:rPr>
        <w:t xml:space="preserve">Under the Green Claims Initiative several policy options in relation to possible requirements for environmental claims, including ecolabels are being considered. .  </w:t>
      </w:r>
      <w:r w:rsidRPr="00D32CA4">
        <w:rPr>
          <w:rFonts w:eastAsia="Calibri"/>
          <w:noProof/>
        </w:rPr>
        <w:t xml:space="preserve">As </w:t>
      </w:r>
      <w:r w:rsidRPr="00D32CA4">
        <w:rPr>
          <w:rFonts w:eastAsia="Calibri"/>
          <w:i/>
          <w:iCs/>
          <w:noProof/>
        </w:rPr>
        <w:t xml:space="preserve">lex generalis, </w:t>
      </w:r>
      <w:r w:rsidRPr="00D32CA4">
        <w:rPr>
          <w:rFonts w:eastAsia="Calibri"/>
          <w:noProof/>
        </w:rPr>
        <w:t>this initiative will provide for general consumer protection rules that will be complemented by other EU-level technical or sector-specific instruments (</w:t>
      </w:r>
      <w:r w:rsidRPr="00D32CA4">
        <w:rPr>
          <w:rFonts w:eastAsia="Calibri"/>
          <w:i/>
          <w:iCs/>
          <w:noProof/>
        </w:rPr>
        <w:t>lex specialis</w:t>
      </w:r>
      <w:r w:rsidRPr="00D32CA4">
        <w:rPr>
          <w:rFonts w:eastAsia="Calibri"/>
          <w:noProof/>
        </w:rPr>
        <w:t xml:space="preserve">), when they provide for more detailed rules. </w:t>
      </w:r>
      <w:r w:rsidRPr="00D32CA4">
        <w:rPr>
          <w:noProof/>
        </w:rPr>
        <w:t xml:space="preserve">The Green Claims Initiative is such a </w:t>
      </w:r>
      <w:r w:rsidRPr="00D32CA4">
        <w:rPr>
          <w:i/>
          <w:noProof/>
        </w:rPr>
        <w:t>lex specialis</w:t>
      </w:r>
      <w:r w:rsidRPr="00D32CA4">
        <w:rPr>
          <w:noProof/>
        </w:rPr>
        <w:t xml:space="preserve"> technical instrument. </w:t>
      </w:r>
    </w:p>
    <w:p w:rsidR="00DC4EA0" w:rsidRPr="009B5734" w:rsidRDefault="00DC4EA0" w:rsidP="00990E4B">
      <w:pPr>
        <w:pStyle w:val="Text2"/>
        <w:ind w:left="0" w:firstLine="0"/>
        <w:jc w:val="left"/>
        <w:rPr>
          <w:b/>
          <w:noProof/>
        </w:rPr>
      </w:pPr>
    </w:p>
    <w:p w:rsidR="006B087E" w:rsidRPr="009B5734" w:rsidRDefault="00A00208" w:rsidP="00A00208">
      <w:pPr>
        <w:pStyle w:val="Heading1"/>
        <w:rPr>
          <w:noProof/>
          <w:szCs w:val="24"/>
        </w:rPr>
      </w:pPr>
      <w:bookmarkStart w:id="156" w:name="_What_are_the_2"/>
      <w:bookmarkStart w:id="157" w:name="_What_are_the_3"/>
      <w:bookmarkStart w:id="158" w:name="_Toc58149042"/>
      <w:bookmarkStart w:id="159" w:name="_Toc58604075"/>
      <w:bookmarkStart w:id="160" w:name="_Ref59614575"/>
      <w:bookmarkStart w:id="161" w:name="_Toc75440975"/>
      <w:bookmarkStart w:id="162" w:name="_Toc75446974"/>
      <w:bookmarkStart w:id="163" w:name="_Toc75448847"/>
      <w:bookmarkStart w:id="164" w:name="_Toc77844237"/>
      <w:bookmarkStart w:id="165" w:name="_Toc86391740"/>
      <w:bookmarkEnd w:id="156"/>
      <w:bookmarkEnd w:id="157"/>
      <w:r w:rsidRPr="00A00208">
        <w:t>6.</w:t>
      </w:r>
      <w:r w:rsidRPr="00A00208">
        <w:tab/>
      </w:r>
      <w:r w:rsidR="006B087E" w:rsidRPr="009B5734">
        <w:rPr>
          <w:noProof/>
        </w:rPr>
        <w:t>What are the impacts of the policy options</w:t>
      </w:r>
      <w:r w:rsidR="00E02A09" w:rsidRPr="009B5734">
        <w:rPr>
          <w:noProof/>
        </w:rPr>
        <w:t xml:space="preserve"> and how do they compare</w:t>
      </w:r>
      <w:r w:rsidR="006B087E" w:rsidRPr="009B5734">
        <w:rPr>
          <w:noProof/>
        </w:rPr>
        <w:t>?</w:t>
      </w:r>
      <w:bookmarkEnd w:id="158"/>
      <w:bookmarkEnd w:id="159"/>
      <w:bookmarkEnd w:id="160"/>
      <w:bookmarkEnd w:id="161"/>
      <w:bookmarkEnd w:id="162"/>
      <w:bookmarkEnd w:id="163"/>
      <w:bookmarkEnd w:id="164"/>
      <w:bookmarkEnd w:id="165"/>
    </w:p>
    <w:p w:rsidR="00480E9D" w:rsidRPr="009B5734" w:rsidRDefault="00060E70" w:rsidP="00D7738F">
      <w:pPr>
        <w:pStyle w:val="Text1"/>
        <w:ind w:left="0" w:firstLine="0"/>
        <w:rPr>
          <w:noProof/>
        </w:rPr>
      </w:pPr>
      <w:r w:rsidRPr="009B5734">
        <w:rPr>
          <w:noProof/>
        </w:rPr>
        <w:t xml:space="preserve">The </w:t>
      </w:r>
      <w:r w:rsidR="002844B5" w:rsidRPr="009B5734">
        <w:rPr>
          <w:noProof/>
        </w:rPr>
        <w:t xml:space="preserve">16 </w:t>
      </w:r>
      <w:r w:rsidRPr="009B5734">
        <w:rPr>
          <w:noProof/>
        </w:rPr>
        <w:t>impacts</w:t>
      </w:r>
      <w:r w:rsidRPr="009B5734" w:rsidDel="00AB4D8B">
        <w:rPr>
          <w:noProof/>
        </w:rPr>
        <w:t xml:space="preserve"> </w:t>
      </w:r>
      <w:r w:rsidRPr="009B5734">
        <w:rPr>
          <w:noProof/>
        </w:rPr>
        <w:t>against which the policy options are assessed have been selected in line with the Better Regulation Guidelines and guided by the problem tree</w:t>
      </w:r>
      <w:r w:rsidR="00E17122" w:rsidRPr="009B5734">
        <w:rPr>
          <w:noProof/>
        </w:rPr>
        <w:t xml:space="preserve"> in </w:t>
      </w:r>
      <w:hyperlink w:anchor="_What_are_the_1" w:history="1">
        <w:r w:rsidR="00E17122" w:rsidRPr="009B5734">
          <w:rPr>
            <w:rStyle w:val="Hyperlink"/>
            <w:noProof/>
          </w:rPr>
          <w:t>Figure 1</w:t>
        </w:r>
      </w:hyperlink>
      <w:r w:rsidRPr="009B5734">
        <w:rPr>
          <w:noProof/>
        </w:rPr>
        <w:t>. The assessment is predominantly qualitative and complemented, when and where possible, by a quantitative assessment, which relies on estimates gathered from the literature review, stakeholder consultation</w:t>
      </w:r>
      <w:r w:rsidR="004B18D8" w:rsidRPr="009B5734">
        <w:rPr>
          <w:noProof/>
        </w:rPr>
        <w:t>s</w:t>
      </w:r>
      <w:r w:rsidRPr="009B5734">
        <w:rPr>
          <w:noProof/>
        </w:rPr>
        <w:t xml:space="preserve"> and modelling work. </w:t>
      </w:r>
      <w:r w:rsidR="007C7D80" w:rsidRPr="009B5734">
        <w:rPr>
          <w:noProof/>
        </w:rPr>
        <w:t xml:space="preserve">The process for selecting the impacts and the </w:t>
      </w:r>
      <w:r w:rsidR="007C7D80" w:rsidRPr="005D24D2">
        <w:rPr>
          <w:b/>
          <w:bCs/>
          <w:noProof/>
        </w:rPr>
        <w:t>methodology underpinning the quantitative assessment</w:t>
      </w:r>
      <w:r w:rsidR="007C7D80" w:rsidRPr="009B5734">
        <w:rPr>
          <w:noProof/>
        </w:rPr>
        <w:t xml:space="preserve"> is explained in </w:t>
      </w:r>
      <w:hyperlink w:anchor="_Annex_4:_Analytical_1" w:history="1">
        <w:r w:rsidR="007C7D80" w:rsidRPr="009B5734">
          <w:rPr>
            <w:rStyle w:val="Hyperlink"/>
            <w:noProof/>
          </w:rPr>
          <w:t>Annex 4.</w:t>
        </w:r>
      </w:hyperlink>
      <w:r w:rsidR="003A06BD">
        <w:rPr>
          <w:rStyle w:val="Hyperlink"/>
          <w:noProof/>
        </w:rPr>
        <w:t xml:space="preserve"> </w:t>
      </w:r>
      <w:r w:rsidR="003A06BD" w:rsidRPr="0064022C">
        <w:rPr>
          <w:noProof/>
        </w:rPr>
        <w:t>The appraisal period of 2025-2040 was selected as it was estimated that the measures would come into force in 2025. The standard appraisal period in which to measure the impacts of such policy measures is 15 years</w:t>
      </w:r>
      <w:r w:rsidR="00C25EFE" w:rsidRPr="0064022C">
        <w:rPr>
          <w:noProof/>
        </w:rPr>
        <w:t>, in line with the Better Regulation guidelines</w:t>
      </w:r>
      <w:r w:rsidR="003A06BD" w:rsidRPr="0064022C">
        <w:rPr>
          <w:noProof/>
        </w:rPr>
        <w:t>.</w:t>
      </w:r>
      <w:r w:rsidR="007C7D80" w:rsidRPr="009B5734">
        <w:rPr>
          <w:noProof/>
        </w:rPr>
        <w:t xml:space="preserve"> </w:t>
      </w:r>
      <w:r w:rsidR="00B2440C" w:rsidRPr="009B5734">
        <w:rPr>
          <w:noProof/>
        </w:rPr>
        <w:t xml:space="preserve">All monetised costs and benefits of each measure considered in the assessment are </w:t>
      </w:r>
      <w:r w:rsidR="00B2440C" w:rsidRPr="005D24D2">
        <w:rPr>
          <w:b/>
          <w:bCs/>
          <w:noProof/>
        </w:rPr>
        <w:t>incremental to those of the baseline</w:t>
      </w:r>
      <w:r w:rsidR="00B2440C" w:rsidRPr="009B5734">
        <w:rPr>
          <w:noProof/>
        </w:rPr>
        <w:t>, which is therefore assigned EUR 0 for these impact categories.</w:t>
      </w:r>
      <w:r w:rsidR="00990E4B" w:rsidRPr="009B5734">
        <w:rPr>
          <w:noProof/>
        </w:rPr>
        <w:t xml:space="preserve"> </w:t>
      </w:r>
      <w:r w:rsidR="007A2444" w:rsidRPr="005D24D2">
        <w:rPr>
          <w:noProof/>
          <w:color w:val="000000" w:themeColor="text1"/>
        </w:rPr>
        <w:t>As many of the impacts are not monetisabl</w:t>
      </w:r>
      <w:r w:rsidR="00480E9D" w:rsidRPr="005D24D2">
        <w:rPr>
          <w:noProof/>
          <w:color w:val="000000" w:themeColor="text1"/>
        </w:rPr>
        <w:t>e, it was decided to conduct a m</w:t>
      </w:r>
      <w:r w:rsidR="007A2444" w:rsidRPr="005D24D2">
        <w:rPr>
          <w:noProof/>
          <w:color w:val="000000" w:themeColor="text1"/>
        </w:rPr>
        <w:t xml:space="preserve">ulti-criteria analysis </w:t>
      </w:r>
      <w:r w:rsidR="00480E9D" w:rsidRPr="005D24D2">
        <w:rPr>
          <w:noProof/>
          <w:color w:val="000000" w:themeColor="text1"/>
        </w:rPr>
        <w:t xml:space="preserve">(MCA) </w:t>
      </w:r>
      <w:r w:rsidR="007A2444" w:rsidRPr="005D24D2">
        <w:rPr>
          <w:noProof/>
          <w:color w:val="000000" w:themeColor="text1"/>
        </w:rPr>
        <w:t xml:space="preserve">complemented by a (partial) Cost-Benefit Analysis. </w:t>
      </w:r>
      <w:r w:rsidR="007C7D80" w:rsidRPr="005D24D2">
        <w:rPr>
          <w:noProof/>
          <w:color w:val="000000" w:themeColor="text1"/>
        </w:rPr>
        <w:t xml:space="preserve">The </w:t>
      </w:r>
      <w:r w:rsidR="008854C1" w:rsidRPr="005D24D2">
        <w:rPr>
          <w:noProof/>
          <w:color w:val="000000" w:themeColor="text1"/>
        </w:rPr>
        <w:t>MCA</w:t>
      </w:r>
      <w:r w:rsidR="007C7D80" w:rsidRPr="005D24D2">
        <w:rPr>
          <w:noProof/>
          <w:color w:val="000000" w:themeColor="text1"/>
        </w:rPr>
        <w:t xml:space="preserve"> includes three high-level assessment crit</w:t>
      </w:r>
      <w:r w:rsidR="00701149" w:rsidRPr="005D24D2">
        <w:rPr>
          <w:noProof/>
          <w:color w:val="000000" w:themeColor="text1"/>
        </w:rPr>
        <w:t xml:space="preserve">eria: </w:t>
      </w:r>
      <w:r w:rsidR="00AC19C0" w:rsidRPr="005D24D2">
        <w:rPr>
          <w:noProof/>
          <w:color w:val="000000" w:themeColor="text1"/>
        </w:rPr>
        <w:t>Effectiveness</w:t>
      </w:r>
      <w:r w:rsidR="00701149" w:rsidRPr="005D24D2">
        <w:rPr>
          <w:noProof/>
          <w:color w:val="000000" w:themeColor="text1"/>
        </w:rPr>
        <w:t xml:space="preserve">, </w:t>
      </w:r>
      <w:r w:rsidR="00AC19C0" w:rsidRPr="005D24D2">
        <w:rPr>
          <w:noProof/>
          <w:color w:val="000000" w:themeColor="text1"/>
        </w:rPr>
        <w:t>Efficiency</w:t>
      </w:r>
      <w:r w:rsidR="00AC19C0" w:rsidRPr="005D24D2" w:rsidDel="00AC19C0">
        <w:rPr>
          <w:noProof/>
          <w:color w:val="000000" w:themeColor="text1"/>
        </w:rPr>
        <w:t xml:space="preserve"> </w:t>
      </w:r>
      <w:r w:rsidR="00701149" w:rsidRPr="005D24D2">
        <w:rPr>
          <w:noProof/>
          <w:color w:val="000000" w:themeColor="text1"/>
        </w:rPr>
        <w:t>and</w:t>
      </w:r>
      <w:r w:rsidR="007C7D80" w:rsidRPr="005D24D2">
        <w:rPr>
          <w:noProof/>
          <w:color w:val="000000" w:themeColor="text1"/>
        </w:rPr>
        <w:t xml:space="preserve"> Coherence. Each of the identified 16 impacts is a sub-criterion of one of those three high-level criteria</w:t>
      </w:r>
      <w:r w:rsidR="00C475A5" w:rsidRPr="005D24D2">
        <w:rPr>
          <w:noProof/>
          <w:color w:val="000000" w:themeColor="text1"/>
        </w:rPr>
        <w:t>.</w:t>
      </w:r>
      <w:r w:rsidR="00C475A5" w:rsidRPr="009B5734">
        <w:rPr>
          <w:noProof/>
        </w:rPr>
        <w:t xml:space="preserve"> Detailed </w:t>
      </w:r>
      <w:r w:rsidR="00E17122" w:rsidRPr="009B5734">
        <w:rPr>
          <w:noProof/>
        </w:rPr>
        <w:t>analyses</w:t>
      </w:r>
      <w:r w:rsidR="00C475A5" w:rsidRPr="009B5734">
        <w:rPr>
          <w:noProof/>
        </w:rPr>
        <w:t xml:space="preserve"> presenting the results of the assessment of each </w:t>
      </w:r>
      <w:r w:rsidR="008854C1" w:rsidRPr="009B5734">
        <w:rPr>
          <w:noProof/>
        </w:rPr>
        <w:t xml:space="preserve">policy </w:t>
      </w:r>
      <w:r w:rsidR="00C475A5" w:rsidRPr="009B5734">
        <w:rPr>
          <w:noProof/>
        </w:rPr>
        <w:t xml:space="preserve">option per sub-criteria can be found in </w:t>
      </w:r>
      <w:hyperlink w:anchor="_Annex_8:_Impacts" w:history="1">
        <w:r w:rsidR="00C475A5" w:rsidRPr="009B5734">
          <w:rPr>
            <w:rStyle w:val="Hyperlink"/>
            <w:noProof/>
          </w:rPr>
          <w:t>Annex 8</w:t>
        </w:r>
      </w:hyperlink>
      <w:r w:rsidR="00C475A5" w:rsidRPr="009B5734">
        <w:rPr>
          <w:noProof/>
        </w:rPr>
        <w:t xml:space="preserve">. </w:t>
      </w:r>
      <w:r w:rsidR="00480E9D" w:rsidRPr="005D24D2">
        <w:rPr>
          <w:noProof/>
          <w:color w:val="000000" w:themeColor="text1"/>
        </w:rPr>
        <w:t xml:space="preserve">To carry out the MCA, weights have been assigned to the criteria/sub-criteria. </w:t>
      </w:r>
      <w:r w:rsidR="008854C1" w:rsidRPr="005D24D2">
        <w:rPr>
          <w:noProof/>
          <w:color w:val="000000" w:themeColor="text1"/>
        </w:rPr>
        <w:t xml:space="preserve">Furthermore, a </w:t>
      </w:r>
      <w:r w:rsidR="00480E9D" w:rsidRPr="005D24D2">
        <w:rPr>
          <w:noProof/>
          <w:color w:val="000000" w:themeColor="text1"/>
        </w:rPr>
        <w:t>sensitivity analysis was carried out using various weight combinations</w:t>
      </w:r>
      <w:r w:rsidR="008854C1" w:rsidRPr="005D24D2">
        <w:rPr>
          <w:noProof/>
          <w:color w:val="000000" w:themeColor="text1"/>
        </w:rPr>
        <w:t xml:space="preserve">, including </w:t>
      </w:r>
      <w:r w:rsidR="000C7EF6" w:rsidRPr="005D24D2">
        <w:rPr>
          <w:noProof/>
          <w:color w:val="000000" w:themeColor="text1"/>
        </w:rPr>
        <w:t>a</w:t>
      </w:r>
      <w:r w:rsidR="008854C1" w:rsidRPr="005D24D2">
        <w:rPr>
          <w:noProof/>
          <w:color w:val="000000" w:themeColor="text1"/>
        </w:rPr>
        <w:t xml:space="preserve"> </w:t>
      </w:r>
      <w:r w:rsidR="0016431F" w:rsidRPr="005D24D2">
        <w:rPr>
          <w:noProof/>
          <w:color w:val="000000" w:themeColor="text1"/>
        </w:rPr>
        <w:t>default</w:t>
      </w:r>
      <w:r w:rsidR="008854C1" w:rsidRPr="005D24D2">
        <w:rPr>
          <w:noProof/>
          <w:color w:val="000000" w:themeColor="text1"/>
        </w:rPr>
        <w:t xml:space="preserve"> scenario</w:t>
      </w:r>
      <w:r w:rsidR="0016431F" w:rsidRPr="005D24D2">
        <w:rPr>
          <w:noProof/>
          <w:color w:val="000000" w:themeColor="text1"/>
        </w:rPr>
        <w:t xml:space="preserve"> and a</w:t>
      </w:r>
      <w:r w:rsidR="008854C1" w:rsidRPr="005D24D2">
        <w:rPr>
          <w:noProof/>
          <w:color w:val="000000" w:themeColor="text1"/>
        </w:rPr>
        <w:t xml:space="preserve"> worst</w:t>
      </w:r>
      <w:r w:rsidR="0016431F" w:rsidRPr="005D24D2">
        <w:rPr>
          <w:noProof/>
          <w:color w:val="000000" w:themeColor="text1"/>
        </w:rPr>
        <w:t xml:space="preserve"> case</w:t>
      </w:r>
      <w:r w:rsidR="008854C1" w:rsidRPr="005D24D2">
        <w:rPr>
          <w:noProof/>
          <w:color w:val="000000" w:themeColor="text1"/>
        </w:rPr>
        <w:t xml:space="preserve"> scenario</w:t>
      </w:r>
      <w:r w:rsidR="0016431F" w:rsidRPr="005D24D2">
        <w:rPr>
          <w:rStyle w:val="FootnoteReference"/>
          <w:noProof/>
          <w:color w:val="000000" w:themeColor="text1"/>
        </w:rPr>
        <w:footnoteReference w:id="107"/>
      </w:r>
      <w:r w:rsidR="00480E9D" w:rsidRPr="005D24D2">
        <w:rPr>
          <w:noProof/>
          <w:color w:val="000000" w:themeColor="text1"/>
        </w:rPr>
        <w:t>. T</w:t>
      </w:r>
      <w:r w:rsidR="00480E9D" w:rsidRPr="009B5734">
        <w:rPr>
          <w:noProof/>
        </w:rPr>
        <w:t xml:space="preserve">he full results of the MCA, sensitivity analysis and partial CBA can be found in </w:t>
      </w:r>
      <w:hyperlink w:anchor="_Annex_9:_Detailed" w:history="1">
        <w:r w:rsidR="00480E9D" w:rsidRPr="009B5734">
          <w:rPr>
            <w:rStyle w:val="Hyperlink"/>
            <w:noProof/>
          </w:rPr>
          <w:t>Annex 9</w:t>
        </w:r>
      </w:hyperlink>
      <w:r w:rsidR="00480E9D" w:rsidRPr="009B5734">
        <w:rPr>
          <w:noProof/>
        </w:rPr>
        <w:t>, including additional details on the methodology used.</w:t>
      </w:r>
    </w:p>
    <w:p w:rsidR="00D037E9" w:rsidRPr="009B5734" w:rsidRDefault="00C475A5" w:rsidP="00D7738F">
      <w:pPr>
        <w:pStyle w:val="Text1"/>
        <w:ind w:left="0" w:firstLine="0"/>
        <w:rPr>
          <w:noProof/>
        </w:rPr>
      </w:pPr>
      <w:r w:rsidRPr="009B5734">
        <w:rPr>
          <w:noProof/>
        </w:rPr>
        <w:t xml:space="preserve">For ease of reading, the following </w:t>
      </w:r>
      <w:r w:rsidR="00AC19C0" w:rsidRPr="009B5734">
        <w:rPr>
          <w:noProof/>
        </w:rPr>
        <w:t>sub-</w:t>
      </w:r>
      <w:r w:rsidRPr="009B5734">
        <w:rPr>
          <w:noProof/>
        </w:rPr>
        <w:t>section</w:t>
      </w:r>
      <w:r w:rsidR="00AC19C0" w:rsidRPr="009B5734">
        <w:rPr>
          <w:noProof/>
        </w:rPr>
        <w:t>s</w:t>
      </w:r>
      <w:r w:rsidRPr="009B5734">
        <w:rPr>
          <w:noProof/>
        </w:rPr>
        <w:t xml:space="preserve"> summarise the results of the assessment and presents </w:t>
      </w:r>
      <w:r w:rsidR="00AC19C0" w:rsidRPr="009B5734">
        <w:rPr>
          <w:noProof/>
        </w:rPr>
        <w:t>them</w:t>
      </w:r>
      <w:r w:rsidRPr="009B5734">
        <w:rPr>
          <w:noProof/>
        </w:rPr>
        <w:t xml:space="preserve"> per stakeholder groups affected. The table below recaps the 16 impacts against which the options were assessed and link them with the three-high level assessment criteria they fall under as well as the stakeholders they concern directly. </w:t>
      </w:r>
      <w:r w:rsidR="00C2308E" w:rsidRPr="009B5734">
        <w:rPr>
          <w:noProof/>
        </w:rPr>
        <w:t>The values presented for monetised consumer welfare, climate change and costs are the average of those of the scenarios analysed for each measure in the preparatory study.</w:t>
      </w:r>
    </w:p>
    <w:tbl>
      <w:tblPr>
        <w:tblStyle w:val="TableGrid"/>
        <w:tblW w:w="0" w:type="auto"/>
        <w:tblLook w:val="04A0" w:firstRow="1" w:lastRow="0" w:firstColumn="1" w:lastColumn="0" w:noHBand="0" w:noVBand="1"/>
      </w:tblPr>
      <w:tblGrid>
        <w:gridCol w:w="1432"/>
        <w:gridCol w:w="1438"/>
        <w:gridCol w:w="1610"/>
        <w:gridCol w:w="1559"/>
        <w:gridCol w:w="1322"/>
        <w:gridCol w:w="1417"/>
      </w:tblGrid>
      <w:tr w:rsidR="00C475A5" w:rsidRPr="009B5734" w:rsidTr="00111BFE">
        <w:tc>
          <w:tcPr>
            <w:tcW w:w="2946" w:type="dxa"/>
            <w:gridSpan w:val="2"/>
            <w:tcBorders>
              <w:bottom w:val="single" w:sz="6" w:space="0" w:color="auto"/>
            </w:tcBorders>
            <w:shd w:val="clear" w:color="auto" w:fill="BFBFBF" w:themeFill="background1" w:themeFillShade="BF"/>
          </w:tcPr>
          <w:p w:rsidR="00C475A5" w:rsidRPr="009B5734" w:rsidRDefault="00C475A5" w:rsidP="0003694D">
            <w:pPr>
              <w:pStyle w:val="Text1"/>
              <w:spacing w:after="0"/>
              <w:ind w:left="0" w:firstLine="0"/>
              <w:jc w:val="center"/>
              <w:rPr>
                <w:noProof/>
                <w:color w:val="000000" w:themeColor="text1"/>
                <w:sz w:val="18"/>
                <w:szCs w:val="18"/>
              </w:rPr>
            </w:pPr>
            <w:r w:rsidRPr="009B5734">
              <w:rPr>
                <w:noProof/>
                <w:color w:val="000000" w:themeColor="text1"/>
                <w:sz w:val="18"/>
                <w:szCs w:val="18"/>
              </w:rPr>
              <w:t>Effectiveness</w:t>
            </w:r>
          </w:p>
        </w:tc>
        <w:tc>
          <w:tcPr>
            <w:tcW w:w="3259" w:type="dxa"/>
            <w:gridSpan w:val="2"/>
            <w:shd w:val="clear" w:color="auto" w:fill="BFBFBF" w:themeFill="background1" w:themeFillShade="BF"/>
          </w:tcPr>
          <w:p w:rsidR="00C475A5" w:rsidRPr="009B5734" w:rsidRDefault="00C475A5" w:rsidP="0003694D">
            <w:pPr>
              <w:pStyle w:val="Text1"/>
              <w:spacing w:after="0"/>
              <w:ind w:left="0" w:firstLine="0"/>
              <w:jc w:val="center"/>
              <w:rPr>
                <w:noProof/>
                <w:color w:val="000000" w:themeColor="text1"/>
                <w:sz w:val="18"/>
                <w:szCs w:val="18"/>
              </w:rPr>
            </w:pPr>
            <w:r w:rsidRPr="009B5734">
              <w:rPr>
                <w:noProof/>
                <w:color w:val="000000" w:themeColor="text1"/>
                <w:sz w:val="18"/>
                <w:szCs w:val="18"/>
              </w:rPr>
              <w:t>Efficiency</w:t>
            </w:r>
          </w:p>
        </w:tc>
        <w:tc>
          <w:tcPr>
            <w:tcW w:w="2799" w:type="dxa"/>
            <w:gridSpan w:val="2"/>
            <w:shd w:val="clear" w:color="auto" w:fill="BFBFBF" w:themeFill="background1" w:themeFillShade="BF"/>
          </w:tcPr>
          <w:p w:rsidR="00C475A5" w:rsidRPr="009B5734" w:rsidRDefault="00C475A5" w:rsidP="0003694D">
            <w:pPr>
              <w:pStyle w:val="Text1"/>
              <w:spacing w:after="0"/>
              <w:ind w:left="0" w:firstLine="0"/>
              <w:jc w:val="center"/>
              <w:rPr>
                <w:noProof/>
                <w:color w:val="000000" w:themeColor="text1"/>
                <w:sz w:val="18"/>
                <w:szCs w:val="18"/>
              </w:rPr>
            </w:pPr>
            <w:r w:rsidRPr="009B5734">
              <w:rPr>
                <w:noProof/>
                <w:color w:val="000000" w:themeColor="text1"/>
                <w:sz w:val="18"/>
                <w:szCs w:val="18"/>
              </w:rPr>
              <w:t>Coherence</w:t>
            </w:r>
          </w:p>
        </w:tc>
      </w:tr>
      <w:tr w:rsidR="00C475A5" w:rsidRPr="009B5734" w:rsidTr="00111BFE">
        <w:tc>
          <w:tcPr>
            <w:tcW w:w="1469" w:type="dxa"/>
            <w:shd w:val="clear" w:color="auto" w:fill="C2D69B" w:themeFill="accent3" w:themeFillTint="99"/>
          </w:tcPr>
          <w:p w:rsidR="00C475A5" w:rsidRPr="009B5734" w:rsidRDefault="00C475A5" w:rsidP="0003694D">
            <w:pPr>
              <w:pStyle w:val="Text1"/>
              <w:spacing w:after="0"/>
              <w:ind w:left="0" w:firstLine="0"/>
              <w:jc w:val="center"/>
              <w:rPr>
                <w:i/>
                <w:noProof/>
                <w:color w:val="000000" w:themeColor="text1"/>
                <w:sz w:val="18"/>
                <w:szCs w:val="18"/>
              </w:rPr>
            </w:pPr>
            <w:r w:rsidRPr="009B5734">
              <w:rPr>
                <w:i/>
                <w:noProof/>
                <w:color w:val="000000" w:themeColor="text1"/>
                <w:sz w:val="18"/>
                <w:szCs w:val="18"/>
              </w:rPr>
              <w:t>Sub-criteria</w:t>
            </w:r>
          </w:p>
        </w:tc>
        <w:tc>
          <w:tcPr>
            <w:tcW w:w="1477" w:type="dxa"/>
            <w:tcBorders>
              <w:top w:val="single" w:sz="6" w:space="0" w:color="auto"/>
              <w:bottom w:val="single" w:sz="6" w:space="0" w:color="auto"/>
            </w:tcBorders>
            <w:shd w:val="clear" w:color="auto" w:fill="C2D69B" w:themeFill="accent3" w:themeFillTint="99"/>
          </w:tcPr>
          <w:p w:rsidR="00C475A5" w:rsidRPr="009B5734" w:rsidRDefault="00C475A5" w:rsidP="0003694D">
            <w:pPr>
              <w:pStyle w:val="Text1"/>
              <w:spacing w:after="0"/>
              <w:ind w:left="0" w:firstLine="0"/>
              <w:jc w:val="center"/>
              <w:rPr>
                <w:i/>
                <w:noProof/>
                <w:color w:val="000000" w:themeColor="text1"/>
                <w:sz w:val="18"/>
                <w:szCs w:val="18"/>
              </w:rPr>
            </w:pPr>
            <w:r w:rsidRPr="009B5734">
              <w:rPr>
                <w:i/>
                <w:noProof/>
                <w:color w:val="000000" w:themeColor="text1"/>
                <w:sz w:val="18"/>
                <w:szCs w:val="18"/>
              </w:rPr>
              <w:t>Stakeholders affected</w:t>
            </w:r>
          </w:p>
        </w:tc>
        <w:tc>
          <w:tcPr>
            <w:tcW w:w="1656" w:type="dxa"/>
            <w:shd w:val="clear" w:color="auto" w:fill="D6E3BC" w:themeFill="accent3" w:themeFillTint="66"/>
          </w:tcPr>
          <w:p w:rsidR="00C475A5" w:rsidRPr="009B5734" w:rsidRDefault="00C475A5" w:rsidP="0003694D">
            <w:pPr>
              <w:pStyle w:val="Text1"/>
              <w:spacing w:after="0"/>
              <w:ind w:left="0" w:firstLine="0"/>
              <w:jc w:val="center"/>
              <w:rPr>
                <w:i/>
                <w:noProof/>
                <w:color w:val="000000" w:themeColor="text1"/>
                <w:sz w:val="18"/>
                <w:szCs w:val="18"/>
              </w:rPr>
            </w:pPr>
            <w:r w:rsidRPr="009B5734">
              <w:rPr>
                <w:i/>
                <w:noProof/>
                <w:color w:val="000000" w:themeColor="text1"/>
                <w:sz w:val="18"/>
                <w:szCs w:val="18"/>
              </w:rPr>
              <w:t>Sub-criteria</w:t>
            </w:r>
          </w:p>
        </w:tc>
        <w:tc>
          <w:tcPr>
            <w:tcW w:w="1603" w:type="dxa"/>
            <w:shd w:val="clear" w:color="auto" w:fill="D6E3BC" w:themeFill="accent3" w:themeFillTint="66"/>
          </w:tcPr>
          <w:p w:rsidR="00C475A5" w:rsidRPr="009B5734" w:rsidRDefault="00C475A5" w:rsidP="0003694D">
            <w:pPr>
              <w:pStyle w:val="Text1"/>
              <w:spacing w:after="0"/>
              <w:ind w:left="0" w:firstLine="0"/>
              <w:jc w:val="center"/>
              <w:rPr>
                <w:i/>
                <w:noProof/>
                <w:color w:val="000000" w:themeColor="text1"/>
                <w:sz w:val="18"/>
                <w:szCs w:val="18"/>
              </w:rPr>
            </w:pPr>
            <w:r w:rsidRPr="009B5734">
              <w:rPr>
                <w:i/>
                <w:noProof/>
                <w:color w:val="000000" w:themeColor="text1"/>
                <w:sz w:val="18"/>
                <w:szCs w:val="18"/>
              </w:rPr>
              <w:t>Stakeholders affected</w:t>
            </w:r>
          </w:p>
        </w:tc>
        <w:tc>
          <w:tcPr>
            <w:tcW w:w="1343" w:type="dxa"/>
            <w:shd w:val="clear" w:color="auto" w:fill="EAF1DD" w:themeFill="accent3" w:themeFillTint="33"/>
          </w:tcPr>
          <w:p w:rsidR="00C475A5" w:rsidRPr="009B5734" w:rsidRDefault="00C475A5" w:rsidP="0003694D">
            <w:pPr>
              <w:pStyle w:val="Text1"/>
              <w:spacing w:after="0"/>
              <w:ind w:left="0" w:firstLine="0"/>
              <w:jc w:val="center"/>
              <w:rPr>
                <w:i/>
                <w:noProof/>
                <w:color w:val="000000" w:themeColor="text1"/>
                <w:sz w:val="18"/>
                <w:szCs w:val="18"/>
              </w:rPr>
            </w:pPr>
            <w:r w:rsidRPr="009B5734">
              <w:rPr>
                <w:i/>
                <w:noProof/>
                <w:color w:val="000000" w:themeColor="text1"/>
                <w:sz w:val="18"/>
                <w:szCs w:val="18"/>
              </w:rPr>
              <w:t>Sub-criteria</w:t>
            </w:r>
          </w:p>
        </w:tc>
        <w:tc>
          <w:tcPr>
            <w:tcW w:w="1456" w:type="dxa"/>
            <w:shd w:val="clear" w:color="auto" w:fill="EAF1DD" w:themeFill="accent3" w:themeFillTint="33"/>
          </w:tcPr>
          <w:p w:rsidR="00C475A5" w:rsidRPr="009B5734" w:rsidRDefault="00C475A5" w:rsidP="0003694D">
            <w:pPr>
              <w:pStyle w:val="Text1"/>
              <w:spacing w:after="0"/>
              <w:ind w:left="0" w:firstLine="0"/>
              <w:jc w:val="center"/>
              <w:rPr>
                <w:i/>
                <w:noProof/>
                <w:color w:val="000000" w:themeColor="text1"/>
                <w:sz w:val="18"/>
                <w:szCs w:val="18"/>
              </w:rPr>
            </w:pPr>
            <w:r w:rsidRPr="009B5734">
              <w:rPr>
                <w:i/>
                <w:noProof/>
                <w:color w:val="000000" w:themeColor="text1"/>
                <w:sz w:val="18"/>
                <w:szCs w:val="18"/>
              </w:rPr>
              <w:t>Stakeholders affected</w:t>
            </w:r>
          </w:p>
        </w:tc>
      </w:tr>
      <w:tr w:rsidR="00C475A5" w:rsidRPr="009B5734" w:rsidTr="00111BFE">
        <w:tc>
          <w:tcPr>
            <w:tcW w:w="1473" w:type="dxa"/>
            <w:shd w:val="clear" w:color="auto" w:fill="C2D69B" w:themeFill="accent3" w:themeFillTint="99"/>
          </w:tcPr>
          <w:p w:rsidR="00C475A5" w:rsidRPr="009B5734" w:rsidRDefault="00C475A5" w:rsidP="0003694D">
            <w:pPr>
              <w:pStyle w:val="Text1"/>
              <w:spacing w:after="0"/>
              <w:ind w:left="0" w:firstLine="0"/>
              <w:rPr>
                <w:noProof/>
                <w:color w:val="000000" w:themeColor="text1"/>
                <w:sz w:val="18"/>
                <w:szCs w:val="18"/>
              </w:rPr>
            </w:pPr>
            <w:r w:rsidRPr="009B5734">
              <w:rPr>
                <w:noProof/>
                <w:color w:val="000000" w:themeColor="text1"/>
                <w:sz w:val="18"/>
                <w:szCs w:val="18"/>
              </w:rPr>
              <w:t>Quality of consumer decision making</w:t>
            </w:r>
          </w:p>
        </w:tc>
        <w:tc>
          <w:tcPr>
            <w:tcW w:w="1479" w:type="dxa"/>
            <w:tcBorders>
              <w:top w:val="single" w:sz="6" w:space="0" w:color="auto"/>
              <w:bottom w:val="single" w:sz="6" w:space="0" w:color="auto"/>
            </w:tcBorders>
            <w:shd w:val="clear" w:color="auto" w:fill="C2D69B" w:themeFill="accent3" w:themeFillTint="99"/>
          </w:tcPr>
          <w:p w:rsidR="00C475A5" w:rsidRPr="009B5734" w:rsidRDefault="00C475A5" w:rsidP="0003694D">
            <w:pPr>
              <w:pStyle w:val="Text1"/>
              <w:spacing w:after="0"/>
              <w:ind w:left="0" w:firstLine="0"/>
              <w:rPr>
                <w:noProof/>
                <w:color w:val="000000" w:themeColor="text1"/>
                <w:sz w:val="18"/>
                <w:szCs w:val="18"/>
              </w:rPr>
            </w:pPr>
            <w:r w:rsidRPr="009B5734">
              <w:rPr>
                <w:noProof/>
                <w:color w:val="000000" w:themeColor="text1"/>
                <w:sz w:val="18"/>
                <w:szCs w:val="18"/>
              </w:rPr>
              <w:t>Consumers</w:t>
            </w:r>
          </w:p>
        </w:tc>
        <w:tc>
          <w:tcPr>
            <w:tcW w:w="1656" w:type="dxa"/>
            <w:shd w:val="clear" w:color="auto" w:fill="D6E3BC" w:themeFill="accent3" w:themeFillTint="66"/>
          </w:tcPr>
          <w:p w:rsidR="00C475A5" w:rsidRPr="009B5734" w:rsidRDefault="00C475A5" w:rsidP="0003694D">
            <w:pPr>
              <w:pStyle w:val="Text1"/>
              <w:spacing w:after="0"/>
              <w:ind w:left="0" w:firstLine="0"/>
              <w:rPr>
                <w:noProof/>
                <w:color w:val="000000" w:themeColor="text1"/>
                <w:sz w:val="18"/>
                <w:szCs w:val="18"/>
              </w:rPr>
            </w:pPr>
            <w:r w:rsidRPr="009B5734">
              <w:rPr>
                <w:noProof/>
                <w:color w:val="000000" w:themeColor="text1"/>
                <w:sz w:val="18"/>
                <w:szCs w:val="18"/>
              </w:rPr>
              <w:t>Monetisable consumer welfare</w:t>
            </w:r>
            <w:r w:rsidR="00F72E16" w:rsidRPr="009B5734">
              <w:rPr>
                <w:rStyle w:val="FootnoteReference"/>
                <w:noProof/>
                <w:color w:val="000000" w:themeColor="text1"/>
                <w:sz w:val="18"/>
                <w:szCs w:val="18"/>
              </w:rPr>
              <w:footnoteReference w:id="108"/>
            </w:r>
          </w:p>
        </w:tc>
        <w:tc>
          <w:tcPr>
            <w:tcW w:w="1603" w:type="dxa"/>
            <w:shd w:val="clear" w:color="auto" w:fill="D6E3BC" w:themeFill="accent3" w:themeFillTint="66"/>
          </w:tcPr>
          <w:p w:rsidR="00C475A5" w:rsidRPr="009B5734" w:rsidRDefault="00C475A5" w:rsidP="0003694D">
            <w:pPr>
              <w:pStyle w:val="Text1"/>
              <w:spacing w:after="0"/>
              <w:ind w:left="0" w:firstLine="0"/>
              <w:rPr>
                <w:noProof/>
                <w:color w:val="000000" w:themeColor="text1"/>
                <w:sz w:val="18"/>
                <w:szCs w:val="18"/>
              </w:rPr>
            </w:pPr>
            <w:r w:rsidRPr="009B5734">
              <w:rPr>
                <w:noProof/>
                <w:color w:val="000000" w:themeColor="text1"/>
                <w:sz w:val="18"/>
                <w:szCs w:val="18"/>
              </w:rPr>
              <w:t>Consumers</w:t>
            </w:r>
          </w:p>
        </w:tc>
        <w:tc>
          <w:tcPr>
            <w:tcW w:w="1371" w:type="dxa"/>
            <w:shd w:val="clear" w:color="auto" w:fill="EAF1DD" w:themeFill="accent3" w:themeFillTint="33"/>
          </w:tcPr>
          <w:p w:rsidR="00C475A5" w:rsidRPr="009B5734" w:rsidRDefault="00C475A5" w:rsidP="0003694D">
            <w:pPr>
              <w:pStyle w:val="Text1"/>
              <w:spacing w:after="0"/>
              <w:ind w:left="0" w:firstLine="0"/>
              <w:rPr>
                <w:noProof/>
                <w:color w:val="000000" w:themeColor="text1"/>
                <w:sz w:val="18"/>
                <w:szCs w:val="18"/>
              </w:rPr>
            </w:pPr>
            <w:r w:rsidRPr="009B5734">
              <w:rPr>
                <w:noProof/>
                <w:color w:val="000000" w:themeColor="text1"/>
                <w:sz w:val="18"/>
                <w:szCs w:val="18"/>
              </w:rPr>
              <w:t>Coherence</w:t>
            </w:r>
          </w:p>
        </w:tc>
        <w:tc>
          <w:tcPr>
            <w:tcW w:w="1422" w:type="dxa"/>
            <w:shd w:val="clear" w:color="auto" w:fill="EAF1DD" w:themeFill="accent3" w:themeFillTint="33"/>
          </w:tcPr>
          <w:p w:rsidR="00C475A5" w:rsidRPr="009B5734" w:rsidRDefault="00C475A5" w:rsidP="0003694D">
            <w:pPr>
              <w:pStyle w:val="Text1"/>
              <w:spacing w:after="0"/>
              <w:ind w:left="0" w:firstLine="0"/>
              <w:rPr>
                <w:noProof/>
                <w:color w:val="000000" w:themeColor="text1"/>
                <w:sz w:val="18"/>
                <w:szCs w:val="18"/>
              </w:rPr>
            </w:pPr>
            <w:r w:rsidRPr="009B5734">
              <w:rPr>
                <w:noProof/>
                <w:color w:val="000000" w:themeColor="text1"/>
                <w:sz w:val="18"/>
                <w:szCs w:val="18"/>
              </w:rPr>
              <w:t>Application of the legal framework and coherence</w:t>
            </w:r>
          </w:p>
        </w:tc>
      </w:tr>
      <w:tr w:rsidR="00AC19C0" w:rsidRPr="009B5734" w:rsidTr="00111BFE">
        <w:tc>
          <w:tcPr>
            <w:tcW w:w="1473" w:type="dxa"/>
            <w:shd w:val="clear" w:color="auto" w:fill="C2D69B" w:themeFill="accent3" w:themeFillTint="99"/>
          </w:tcPr>
          <w:p w:rsidR="00AC19C0" w:rsidRPr="009B5734" w:rsidRDefault="00AC19C0" w:rsidP="0003694D">
            <w:pPr>
              <w:pStyle w:val="Text1"/>
              <w:spacing w:after="0"/>
              <w:ind w:left="0" w:firstLine="0"/>
              <w:rPr>
                <w:noProof/>
                <w:color w:val="000000" w:themeColor="text1"/>
                <w:sz w:val="18"/>
                <w:szCs w:val="18"/>
              </w:rPr>
            </w:pPr>
            <w:r w:rsidRPr="009B5734">
              <w:rPr>
                <w:noProof/>
                <w:color w:val="000000" w:themeColor="text1"/>
                <w:sz w:val="18"/>
                <w:szCs w:val="18"/>
              </w:rPr>
              <w:t>Circularity and sustainable consumption</w:t>
            </w:r>
          </w:p>
        </w:tc>
        <w:tc>
          <w:tcPr>
            <w:tcW w:w="1479" w:type="dxa"/>
            <w:tcBorders>
              <w:top w:val="single" w:sz="6" w:space="0" w:color="auto"/>
              <w:bottom w:val="single" w:sz="6" w:space="0" w:color="auto"/>
            </w:tcBorders>
            <w:shd w:val="clear" w:color="auto" w:fill="C2D69B" w:themeFill="accent3" w:themeFillTint="99"/>
          </w:tcPr>
          <w:p w:rsidR="00AC19C0" w:rsidRPr="009B5734" w:rsidRDefault="00AC19C0" w:rsidP="0003694D">
            <w:pPr>
              <w:pStyle w:val="Text1"/>
              <w:spacing w:after="0"/>
              <w:ind w:left="0" w:firstLine="0"/>
              <w:rPr>
                <w:noProof/>
                <w:color w:val="000000" w:themeColor="text1"/>
                <w:sz w:val="18"/>
                <w:szCs w:val="18"/>
              </w:rPr>
            </w:pPr>
            <w:r w:rsidRPr="009B5734">
              <w:rPr>
                <w:noProof/>
                <w:color w:val="000000" w:themeColor="text1"/>
                <w:sz w:val="18"/>
                <w:szCs w:val="18"/>
              </w:rPr>
              <w:t>Environment</w:t>
            </w:r>
          </w:p>
        </w:tc>
        <w:tc>
          <w:tcPr>
            <w:tcW w:w="1656" w:type="dxa"/>
            <w:shd w:val="clear" w:color="auto" w:fill="D6E3BC" w:themeFill="accent3" w:themeFillTint="66"/>
          </w:tcPr>
          <w:p w:rsidR="00AC19C0" w:rsidRPr="009B5734" w:rsidRDefault="00AC19C0" w:rsidP="0003694D">
            <w:pPr>
              <w:pStyle w:val="Text1"/>
              <w:spacing w:after="0"/>
              <w:ind w:left="0" w:firstLine="0"/>
              <w:rPr>
                <w:noProof/>
                <w:color w:val="000000" w:themeColor="text1"/>
                <w:sz w:val="18"/>
                <w:szCs w:val="18"/>
              </w:rPr>
            </w:pPr>
            <w:r w:rsidRPr="009B5734">
              <w:rPr>
                <w:noProof/>
                <w:color w:val="000000" w:themeColor="text1"/>
                <w:sz w:val="18"/>
                <w:szCs w:val="18"/>
              </w:rPr>
              <w:t>Barriers to cross-border trade</w:t>
            </w:r>
          </w:p>
        </w:tc>
        <w:tc>
          <w:tcPr>
            <w:tcW w:w="1603" w:type="dxa"/>
            <w:shd w:val="clear" w:color="auto" w:fill="D6E3BC" w:themeFill="accent3" w:themeFillTint="66"/>
          </w:tcPr>
          <w:p w:rsidR="00AC19C0" w:rsidRPr="009B5734" w:rsidRDefault="00AC19C0" w:rsidP="0003694D">
            <w:pPr>
              <w:pStyle w:val="Text1"/>
              <w:spacing w:after="0"/>
              <w:ind w:left="0" w:firstLine="0"/>
              <w:rPr>
                <w:noProof/>
                <w:color w:val="000000" w:themeColor="text1"/>
                <w:sz w:val="18"/>
                <w:szCs w:val="18"/>
              </w:rPr>
            </w:pPr>
            <w:r w:rsidRPr="009B5734">
              <w:rPr>
                <w:noProof/>
                <w:color w:val="000000" w:themeColor="text1"/>
                <w:sz w:val="18"/>
                <w:szCs w:val="18"/>
              </w:rPr>
              <w:t>Businesses</w:t>
            </w:r>
          </w:p>
        </w:tc>
        <w:tc>
          <w:tcPr>
            <w:tcW w:w="2799" w:type="dxa"/>
            <w:gridSpan w:val="2"/>
            <w:vMerge w:val="restart"/>
            <w:shd w:val="clear" w:color="auto" w:fill="EAF1DD" w:themeFill="accent3" w:themeFillTint="33"/>
          </w:tcPr>
          <w:p w:rsidR="00AC19C0" w:rsidRPr="009B5734" w:rsidRDefault="00AC19C0" w:rsidP="0003694D">
            <w:pPr>
              <w:pStyle w:val="Text1"/>
              <w:spacing w:after="0"/>
              <w:ind w:left="0" w:firstLine="0"/>
              <w:rPr>
                <w:noProof/>
                <w:color w:val="000000" w:themeColor="text1"/>
                <w:sz w:val="18"/>
                <w:szCs w:val="18"/>
              </w:rPr>
            </w:pPr>
          </w:p>
        </w:tc>
      </w:tr>
      <w:tr w:rsidR="00AC19C0" w:rsidRPr="009B5734" w:rsidTr="00111BFE">
        <w:tc>
          <w:tcPr>
            <w:tcW w:w="1469" w:type="dxa"/>
            <w:shd w:val="clear" w:color="auto" w:fill="C2D69B" w:themeFill="accent3" w:themeFillTint="99"/>
          </w:tcPr>
          <w:p w:rsidR="00AC19C0" w:rsidRPr="009B5734" w:rsidRDefault="00AC19C0" w:rsidP="0003694D">
            <w:pPr>
              <w:pStyle w:val="Text1"/>
              <w:spacing w:after="0"/>
              <w:ind w:left="0" w:firstLine="0"/>
              <w:rPr>
                <w:noProof/>
                <w:color w:val="000000" w:themeColor="text1"/>
                <w:sz w:val="18"/>
                <w:szCs w:val="18"/>
              </w:rPr>
            </w:pPr>
            <w:r w:rsidRPr="009B5734">
              <w:rPr>
                <w:noProof/>
                <w:color w:val="000000" w:themeColor="text1"/>
                <w:sz w:val="18"/>
                <w:szCs w:val="18"/>
              </w:rPr>
              <w:t>Consumer protection</w:t>
            </w:r>
          </w:p>
        </w:tc>
        <w:tc>
          <w:tcPr>
            <w:tcW w:w="1477" w:type="dxa"/>
            <w:tcBorders>
              <w:top w:val="single" w:sz="6" w:space="0" w:color="auto"/>
              <w:bottom w:val="single" w:sz="6" w:space="0" w:color="auto"/>
            </w:tcBorders>
            <w:shd w:val="clear" w:color="auto" w:fill="C2D69B" w:themeFill="accent3" w:themeFillTint="99"/>
          </w:tcPr>
          <w:p w:rsidR="00AC19C0" w:rsidRPr="009B5734" w:rsidRDefault="00AC19C0" w:rsidP="0003694D">
            <w:pPr>
              <w:pStyle w:val="Text1"/>
              <w:spacing w:after="0"/>
              <w:ind w:left="0" w:firstLine="0"/>
              <w:rPr>
                <w:noProof/>
                <w:color w:val="000000" w:themeColor="text1"/>
                <w:sz w:val="18"/>
                <w:szCs w:val="18"/>
              </w:rPr>
            </w:pPr>
            <w:r w:rsidRPr="009B5734">
              <w:rPr>
                <w:noProof/>
                <w:color w:val="000000" w:themeColor="text1"/>
                <w:sz w:val="18"/>
                <w:szCs w:val="18"/>
              </w:rPr>
              <w:t>Consumers</w:t>
            </w:r>
          </w:p>
        </w:tc>
        <w:tc>
          <w:tcPr>
            <w:tcW w:w="1656" w:type="dxa"/>
            <w:shd w:val="clear" w:color="auto" w:fill="D6E3BC" w:themeFill="accent3" w:themeFillTint="66"/>
          </w:tcPr>
          <w:p w:rsidR="00AC19C0" w:rsidRPr="009B5734" w:rsidRDefault="00AC19C0" w:rsidP="0003694D">
            <w:pPr>
              <w:pStyle w:val="Text1"/>
              <w:spacing w:after="0"/>
              <w:ind w:left="0" w:firstLine="0"/>
              <w:rPr>
                <w:noProof/>
                <w:color w:val="000000" w:themeColor="text1"/>
                <w:sz w:val="18"/>
                <w:szCs w:val="18"/>
              </w:rPr>
            </w:pPr>
            <w:r w:rsidRPr="009B5734">
              <w:rPr>
                <w:noProof/>
                <w:color w:val="000000" w:themeColor="text1"/>
                <w:sz w:val="18"/>
                <w:szCs w:val="18"/>
              </w:rPr>
              <w:t>Climate change</w:t>
            </w:r>
          </w:p>
        </w:tc>
        <w:tc>
          <w:tcPr>
            <w:tcW w:w="1603" w:type="dxa"/>
            <w:shd w:val="clear" w:color="auto" w:fill="D6E3BC" w:themeFill="accent3" w:themeFillTint="66"/>
          </w:tcPr>
          <w:p w:rsidR="00AC19C0" w:rsidRPr="009B5734" w:rsidRDefault="00AC19C0" w:rsidP="0003694D">
            <w:pPr>
              <w:pStyle w:val="Text1"/>
              <w:spacing w:after="0"/>
              <w:ind w:left="0" w:firstLine="0"/>
              <w:rPr>
                <w:noProof/>
                <w:color w:val="000000" w:themeColor="text1"/>
                <w:sz w:val="18"/>
                <w:szCs w:val="18"/>
              </w:rPr>
            </w:pPr>
            <w:r w:rsidRPr="009B5734">
              <w:rPr>
                <w:noProof/>
                <w:color w:val="000000" w:themeColor="text1"/>
                <w:sz w:val="18"/>
                <w:szCs w:val="18"/>
              </w:rPr>
              <w:t>Environment</w:t>
            </w:r>
          </w:p>
        </w:tc>
        <w:tc>
          <w:tcPr>
            <w:tcW w:w="2799" w:type="dxa"/>
            <w:gridSpan w:val="2"/>
            <w:vMerge/>
            <w:shd w:val="clear" w:color="auto" w:fill="EAF1DD" w:themeFill="accent3" w:themeFillTint="33"/>
          </w:tcPr>
          <w:p w:rsidR="00AC19C0" w:rsidRPr="009B5734" w:rsidRDefault="00AC19C0" w:rsidP="0003694D">
            <w:pPr>
              <w:pStyle w:val="Text1"/>
              <w:spacing w:after="0"/>
              <w:ind w:left="0" w:firstLine="0"/>
              <w:rPr>
                <w:noProof/>
                <w:color w:val="000000" w:themeColor="text1"/>
                <w:sz w:val="18"/>
                <w:szCs w:val="18"/>
              </w:rPr>
            </w:pPr>
          </w:p>
        </w:tc>
      </w:tr>
      <w:tr w:rsidR="00AC19C0" w:rsidRPr="009B5734" w:rsidTr="00111BFE">
        <w:tc>
          <w:tcPr>
            <w:tcW w:w="1469" w:type="dxa"/>
            <w:shd w:val="clear" w:color="auto" w:fill="C2D69B" w:themeFill="accent3" w:themeFillTint="99"/>
          </w:tcPr>
          <w:p w:rsidR="00AC19C0" w:rsidRPr="009B5734" w:rsidRDefault="00AC19C0" w:rsidP="0003694D">
            <w:pPr>
              <w:pStyle w:val="Text1"/>
              <w:spacing w:after="0"/>
              <w:ind w:left="0" w:firstLine="0"/>
              <w:rPr>
                <w:noProof/>
                <w:color w:val="000000" w:themeColor="text1"/>
                <w:sz w:val="18"/>
                <w:szCs w:val="18"/>
              </w:rPr>
            </w:pPr>
            <w:r w:rsidRPr="009B5734">
              <w:rPr>
                <w:noProof/>
                <w:color w:val="000000" w:themeColor="text1"/>
                <w:sz w:val="18"/>
                <w:szCs w:val="18"/>
              </w:rPr>
              <w:t>Consumer trust in the market</w:t>
            </w:r>
          </w:p>
        </w:tc>
        <w:tc>
          <w:tcPr>
            <w:tcW w:w="1477" w:type="dxa"/>
            <w:tcBorders>
              <w:top w:val="single" w:sz="6" w:space="0" w:color="auto"/>
              <w:bottom w:val="single" w:sz="6" w:space="0" w:color="auto"/>
            </w:tcBorders>
            <w:shd w:val="clear" w:color="auto" w:fill="C2D69B" w:themeFill="accent3" w:themeFillTint="99"/>
          </w:tcPr>
          <w:p w:rsidR="00AC19C0" w:rsidRPr="009B5734" w:rsidRDefault="00AC19C0" w:rsidP="0003694D">
            <w:pPr>
              <w:pStyle w:val="Text1"/>
              <w:spacing w:after="0"/>
              <w:ind w:left="0" w:firstLine="0"/>
              <w:rPr>
                <w:noProof/>
                <w:color w:val="000000" w:themeColor="text1"/>
                <w:sz w:val="18"/>
                <w:szCs w:val="18"/>
              </w:rPr>
            </w:pPr>
            <w:r w:rsidRPr="009B5734">
              <w:rPr>
                <w:noProof/>
                <w:color w:val="000000" w:themeColor="text1"/>
                <w:sz w:val="18"/>
                <w:szCs w:val="18"/>
              </w:rPr>
              <w:t>Consumers</w:t>
            </w:r>
          </w:p>
        </w:tc>
        <w:tc>
          <w:tcPr>
            <w:tcW w:w="1656" w:type="dxa"/>
            <w:shd w:val="clear" w:color="auto" w:fill="D6E3BC" w:themeFill="accent3" w:themeFillTint="66"/>
          </w:tcPr>
          <w:p w:rsidR="00AC19C0" w:rsidRPr="009B5734" w:rsidRDefault="00AC19C0" w:rsidP="0003694D">
            <w:pPr>
              <w:pStyle w:val="Text1"/>
              <w:spacing w:after="0"/>
              <w:ind w:left="0" w:firstLine="0"/>
              <w:rPr>
                <w:noProof/>
                <w:color w:val="000000" w:themeColor="text1"/>
                <w:sz w:val="18"/>
                <w:szCs w:val="18"/>
              </w:rPr>
            </w:pPr>
            <w:r w:rsidRPr="009B5734">
              <w:rPr>
                <w:noProof/>
                <w:color w:val="000000" w:themeColor="text1"/>
                <w:sz w:val="18"/>
                <w:szCs w:val="18"/>
              </w:rPr>
              <w:t>Other environmental impacts</w:t>
            </w:r>
          </w:p>
        </w:tc>
        <w:tc>
          <w:tcPr>
            <w:tcW w:w="1603" w:type="dxa"/>
            <w:shd w:val="clear" w:color="auto" w:fill="D6E3BC" w:themeFill="accent3" w:themeFillTint="66"/>
          </w:tcPr>
          <w:p w:rsidR="00AC19C0" w:rsidRPr="009B5734" w:rsidRDefault="00AC19C0" w:rsidP="0003694D">
            <w:pPr>
              <w:pStyle w:val="Text1"/>
              <w:spacing w:after="0"/>
              <w:ind w:left="0" w:firstLine="0"/>
              <w:rPr>
                <w:noProof/>
                <w:color w:val="000000" w:themeColor="text1"/>
                <w:sz w:val="18"/>
                <w:szCs w:val="18"/>
              </w:rPr>
            </w:pPr>
            <w:r w:rsidRPr="009B5734">
              <w:rPr>
                <w:noProof/>
                <w:color w:val="000000" w:themeColor="text1"/>
                <w:sz w:val="18"/>
                <w:szCs w:val="18"/>
              </w:rPr>
              <w:t>Environment</w:t>
            </w:r>
          </w:p>
        </w:tc>
        <w:tc>
          <w:tcPr>
            <w:tcW w:w="2799" w:type="dxa"/>
            <w:gridSpan w:val="2"/>
            <w:vMerge/>
            <w:shd w:val="clear" w:color="auto" w:fill="EAF1DD" w:themeFill="accent3" w:themeFillTint="33"/>
          </w:tcPr>
          <w:p w:rsidR="00AC19C0" w:rsidRPr="009B5734" w:rsidRDefault="00AC19C0" w:rsidP="0003694D">
            <w:pPr>
              <w:pStyle w:val="Text1"/>
              <w:spacing w:after="0"/>
              <w:ind w:left="0" w:firstLine="0"/>
              <w:rPr>
                <w:noProof/>
                <w:color w:val="000000" w:themeColor="text1"/>
                <w:sz w:val="18"/>
                <w:szCs w:val="18"/>
              </w:rPr>
            </w:pPr>
          </w:p>
        </w:tc>
      </w:tr>
      <w:tr w:rsidR="00AC19C0" w:rsidRPr="009B5734" w:rsidTr="00111BFE">
        <w:tc>
          <w:tcPr>
            <w:tcW w:w="1469" w:type="dxa"/>
            <w:shd w:val="clear" w:color="auto" w:fill="C2D69B" w:themeFill="accent3" w:themeFillTint="99"/>
          </w:tcPr>
          <w:p w:rsidR="00AC19C0" w:rsidRPr="009B5734" w:rsidRDefault="00AC19C0" w:rsidP="0003694D">
            <w:pPr>
              <w:pStyle w:val="Text1"/>
              <w:spacing w:after="0"/>
              <w:ind w:left="0" w:firstLine="0"/>
              <w:rPr>
                <w:noProof/>
                <w:color w:val="000000" w:themeColor="text1"/>
                <w:sz w:val="18"/>
                <w:szCs w:val="18"/>
              </w:rPr>
            </w:pPr>
            <w:r w:rsidRPr="009B5734">
              <w:rPr>
                <w:noProof/>
                <w:color w:val="000000" w:themeColor="text1"/>
                <w:sz w:val="18"/>
                <w:szCs w:val="18"/>
              </w:rPr>
              <w:t>Level-playing field</w:t>
            </w:r>
          </w:p>
        </w:tc>
        <w:tc>
          <w:tcPr>
            <w:tcW w:w="1477" w:type="dxa"/>
            <w:tcBorders>
              <w:top w:val="single" w:sz="6" w:space="0" w:color="auto"/>
              <w:bottom w:val="single" w:sz="6" w:space="0" w:color="auto"/>
            </w:tcBorders>
            <w:shd w:val="clear" w:color="auto" w:fill="C2D69B" w:themeFill="accent3" w:themeFillTint="99"/>
          </w:tcPr>
          <w:p w:rsidR="00AC19C0" w:rsidRPr="009B5734" w:rsidRDefault="00AC19C0" w:rsidP="0003694D">
            <w:pPr>
              <w:pStyle w:val="Text1"/>
              <w:spacing w:after="0"/>
              <w:ind w:left="0" w:firstLine="0"/>
              <w:rPr>
                <w:noProof/>
                <w:color w:val="000000" w:themeColor="text1"/>
                <w:sz w:val="18"/>
                <w:szCs w:val="18"/>
              </w:rPr>
            </w:pPr>
            <w:r w:rsidRPr="009B5734">
              <w:rPr>
                <w:noProof/>
                <w:color w:val="000000" w:themeColor="text1"/>
                <w:sz w:val="18"/>
                <w:szCs w:val="18"/>
              </w:rPr>
              <w:t>Businesses</w:t>
            </w:r>
          </w:p>
        </w:tc>
        <w:tc>
          <w:tcPr>
            <w:tcW w:w="1656" w:type="dxa"/>
            <w:shd w:val="clear" w:color="auto" w:fill="D6E3BC" w:themeFill="accent3" w:themeFillTint="66"/>
          </w:tcPr>
          <w:p w:rsidR="00AC19C0" w:rsidRPr="009B5734" w:rsidRDefault="00AC19C0" w:rsidP="0003694D">
            <w:pPr>
              <w:pStyle w:val="Text1"/>
              <w:spacing w:after="0"/>
              <w:ind w:left="0" w:firstLine="0"/>
              <w:rPr>
                <w:noProof/>
                <w:color w:val="000000" w:themeColor="text1"/>
                <w:sz w:val="18"/>
                <w:szCs w:val="18"/>
              </w:rPr>
            </w:pPr>
            <w:r w:rsidRPr="009B5734">
              <w:rPr>
                <w:noProof/>
                <w:color w:val="000000" w:themeColor="text1"/>
                <w:sz w:val="18"/>
                <w:szCs w:val="18"/>
              </w:rPr>
              <w:t>Administrative burden</w:t>
            </w:r>
          </w:p>
        </w:tc>
        <w:tc>
          <w:tcPr>
            <w:tcW w:w="1603" w:type="dxa"/>
            <w:shd w:val="clear" w:color="auto" w:fill="D6E3BC" w:themeFill="accent3" w:themeFillTint="66"/>
          </w:tcPr>
          <w:p w:rsidR="00AC19C0" w:rsidRPr="009B5734" w:rsidRDefault="00AC19C0" w:rsidP="0003694D">
            <w:pPr>
              <w:pStyle w:val="Text1"/>
              <w:spacing w:after="0"/>
              <w:ind w:left="0" w:firstLine="0"/>
              <w:rPr>
                <w:noProof/>
                <w:color w:val="000000" w:themeColor="text1"/>
                <w:sz w:val="18"/>
                <w:szCs w:val="18"/>
              </w:rPr>
            </w:pPr>
            <w:r w:rsidRPr="009B5734">
              <w:rPr>
                <w:noProof/>
                <w:color w:val="000000" w:themeColor="text1"/>
                <w:sz w:val="18"/>
                <w:szCs w:val="18"/>
              </w:rPr>
              <w:t>Businesses</w:t>
            </w:r>
          </w:p>
        </w:tc>
        <w:tc>
          <w:tcPr>
            <w:tcW w:w="2799" w:type="dxa"/>
            <w:gridSpan w:val="2"/>
            <w:vMerge/>
            <w:shd w:val="clear" w:color="auto" w:fill="EAF1DD" w:themeFill="accent3" w:themeFillTint="33"/>
          </w:tcPr>
          <w:p w:rsidR="00AC19C0" w:rsidRPr="009B5734" w:rsidRDefault="00AC19C0" w:rsidP="0003694D">
            <w:pPr>
              <w:pStyle w:val="Text1"/>
              <w:spacing w:after="0"/>
              <w:ind w:left="0" w:firstLine="0"/>
              <w:rPr>
                <w:noProof/>
                <w:color w:val="000000" w:themeColor="text1"/>
                <w:sz w:val="18"/>
                <w:szCs w:val="18"/>
              </w:rPr>
            </w:pPr>
          </w:p>
        </w:tc>
      </w:tr>
      <w:tr w:rsidR="00AC19C0" w:rsidRPr="009B5734" w:rsidTr="00111BFE">
        <w:tc>
          <w:tcPr>
            <w:tcW w:w="1469" w:type="dxa"/>
            <w:shd w:val="clear" w:color="auto" w:fill="C2D69B" w:themeFill="accent3" w:themeFillTint="99"/>
          </w:tcPr>
          <w:p w:rsidR="00AC19C0" w:rsidRPr="009B5734" w:rsidRDefault="00AC19C0" w:rsidP="0003694D">
            <w:pPr>
              <w:pStyle w:val="Text1"/>
              <w:spacing w:after="0"/>
              <w:ind w:left="0" w:firstLine="0"/>
              <w:rPr>
                <w:noProof/>
                <w:color w:val="000000" w:themeColor="text1"/>
                <w:sz w:val="18"/>
                <w:szCs w:val="18"/>
              </w:rPr>
            </w:pPr>
            <w:r w:rsidRPr="009B5734">
              <w:rPr>
                <w:noProof/>
                <w:color w:val="000000" w:themeColor="text1"/>
                <w:sz w:val="18"/>
                <w:szCs w:val="18"/>
              </w:rPr>
              <w:t xml:space="preserve">Application of the legal framework </w:t>
            </w:r>
          </w:p>
        </w:tc>
        <w:tc>
          <w:tcPr>
            <w:tcW w:w="1477" w:type="dxa"/>
            <w:tcBorders>
              <w:top w:val="single" w:sz="6" w:space="0" w:color="auto"/>
              <w:bottom w:val="single" w:sz="6" w:space="0" w:color="auto"/>
            </w:tcBorders>
            <w:shd w:val="clear" w:color="auto" w:fill="C2D69B" w:themeFill="accent3" w:themeFillTint="99"/>
          </w:tcPr>
          <w:p w:rsidR="00AC19C0" w:rsidRPr="009B5734" w:rsidRDefault="00AC19C0" w:rsidP="0003694D">
            <w:pPr>
              <w:pStyle w:val="Text1"/>
              <w:spacing w:after="0"/>
              <w:ind w:left="0" w:firstLine="0"/>
              <w:rPr>
                <w:noProof/>
                <w:color w:val="000000" w:themeColor="text1"/>
                <w:sz w:val="18"/>
                <w:szCs w:val="18"/>
              </w:rPr>
            </w:pPr>
            <w:r w:rsidRPr="009B5734">
              <w:rPr>
                <w:noProof/>
                <w:color w:val="000000" w:themeColor="text1"/>
                <w:sz w:val="18"/>
                <w:szCs w:val="18"/>
              </w:rPr>
              <w:t>Application of the legal framework and coherence</w:t>
            </w:r>
          </w:p>
        </w:tc>
        <w:tc>
          <w:tcPr>
            <w:tcW w:w="1656" w:type="dxa"/>
            <w:shd w:val="clear" w:color="auto" w:fill="D6E3BC" w:themeFill="accent3" w:themeFillTint="66"/>
          </w:tcPr>
          <w:p w:rsidR="00AC19C0" w:rsidRPr="009B5734" w:rsidRDefault="00AC19C0" w:rsidP="0003694D">
            <w:pPr>
              <w:pStyle w:val="Text1"/>
              <w:spacing w:after="0"/>
              <w:ind w:left="0" w:firstLine="0"/>
              <w:rPr>
                <w:noProof/>
                <w:color w:val="000000" w:themeColor="text1"/>
                <w:sz w:val="18"/>
                <w:szCs w:val="18"/>
              </w:rPr>
            </w:pPr>
            <w:r w:rsidRPr="009B5734">
              <w:rPr>
                <w:noProof/>
                <w:color w:val="000000" w:themeColor="text1"/>
                <w:sz w:val="18"/>
                <w:szCs w:val="18"/>
              </w:rPr>
              <w:t>Substantive compliance costs</w:t>
            </w:r>
          </w:p>
        </w:tc>
        <w:tc>
          <w:tcPr>
            <w:tcW w:w="1603" w:type="dxa"/>
            <w:shd w:val="clear" w:color="auto" w:fill="D6E3BC" w:themeFill="accent3" w:themeFillTint="66"/>
          </w:tcPr>
          <w:p w:rsidR="00AC19C0" w:rsidRPr="009B5734" w:rsidRDefault="00AC19C0" w:rsidP="0003694D">
            <w:pPr>
              <w:pStyle w:val="Text1"/>
              <w:spacing w:after="0"/>
              <w:ind w:left="0" w:firstLine="0"/>
              <w:rPr>
                <w:noProof/>
                <w:color w:val="000000" w:themeColor="text1"/>
                <w:sz w:val="18"/>
                <w:szCs w:val="18"/>
              </w:rPr>
            </w:pPr>
            <w:r w:rsidRPr="009B5734">
              <w:rPr>
                <w:noProof/>
                <w:color w:val="000000" w:themeColor="text1"/>
                <w:sz w:val="18"/>
                <w:szCs w:val="18"/>
              </w:rPr>
              <w:t>Businesses</w:t>
            </w:r>
          </w:p>
        </w:tc>
        <w:tc>
          <w:tcPr>
            <w:tcW w:w="2799" w:type="dxa"/>
            <w:gridSpan w:val="2"/>
            <w:vMerge/>
            <w:shd w:val="clear" w:color="auto" w:fill="EAF1DD" w:themeFill="accent3" w:themeFillTint="33"/>
          </w:tcPr>
          <w:p w:rsidR="00AC19C0" w:rsidRPr="009B5734" w:rsidRDefault="00AC19C0" w:rsidP="0003694D">
            <w:pPr>
              <w:pStyle w:val="Text1"/>
              <w:spacing w:after="0"/>
              <w:ind w:left="0" w:firstLine="0"/>
              <w:rPr>
                <w:noProof/>
                <w:color w:val="000000" w:themeColor="text1"/>
                <w:sz w:val="18"/>
                <w:szCs w:val="18"/>
              </w:rPr>
            </w:pPr>
          </w:p>
        </w:tc>
      </w:tr>
      <w:tr w:rsidR="00AC19C0" w:rsidRPr="009B5734" w:rsidTr="00111BFE">
        <w:tc>
          <w:tcPr>
            <w:tcW w:w="2946" w:type="dxa"/>
            <w:gridSpan w:val="2"/>
            <w:vMerge w:val="restart"/>
            <w:shd w:val="clear" w:color="auto" w:fill="C2D69B" w:themeFill="accent3" w:themeFillTint="99"/>
          </w:tcPr>
          <w:p w:rsidR="00AC19C0" w:rsidRPr="009B5734" w:rsidRDefault="00AC19C0" w:rsidP="0003694D">
            <w:pPr>
              <w:pStyle w:val="Text1"/>
              <w:spacing w:after="0"/>
              <w:ind w:left="0" w:firstLine="0"/>
              <w:rPr>
                <w:noProof/>
                <w:color w:val="000000" w:themeColor="text1"/>
                <w:sz w:val="18"/>
                <w:szCs w:val="18"/>
              </w:rPr>
            </w:pPr>
          </w:p>
        </w:tc>
        <w:tc>
          <w:tcPr>
            <w:tcW w:w="1656" w:type="dxa"/>
            <w:shd w:val="clear" w:color="auto" w:fill="D6E3BC" w:themeFill="accent3" w:themeFillTint="66"/>
          </w:tcPr>
          <w:p w:rsidR="00AC19C0" w:rsidRPr="009B5734" w:rsidRDefault="00AC19C0" w:rsidP="0003694D">
            <w:pPr>
              <w:pStyle w:val="Text1"/>
              <w:spacing w:after="0"/>
              <w:ind w:left="0" w:firstLine="0"/>
              <w:rPr>
                <w:noProof/>
                <w:color w:val="000000" w:themeColor="text1"/>
                <w:sz w:val="18"/>
                <w:szCs w:val="18"/>
              </w:rPr>
            </w:pPr>
            <w:r w:rsidRPr="009B5734">
              <w:rPr>
                <w:noProof/>
                <w:color w:val="000000" w:themeColor="text1"/>
                <w:sz w:val="18"/>
                <w:szCs w:val="18"/>
              </w:rPr>
              <w:t>Indirect costs</w:t>
            </w:r>
          </w:p>
        </w:tc>
        <w:tc>
          <w:tcPr>
            <w:tcW w:w="1603" w:type="dxa"/>
            <w:shd w:val="clear" w:color="auto" w:fill="D6E3BC" w:themeFill="accent3" w:themeFillTint="66"/>
          </w:tcPr>
          <w:p w:rsidR="00AC19C0" w:rsidRPr="009B5734" w:rsidRDefault="00AC19C0" w:rsidP="0003694D">
            <w:pPr>
              <w:pStyle w:val="Text1"/>
              <w:spacing w:after="0"/>
              <w:ind w:left="0" w:firstLine="0"/>
              <w:rPr>
                <w:noProof/>
                <w:color w:val="000000" w:themeColor="text1"/>
                <w:sz w:val="18"/>
                <w:szCs w:val="18"/>
              </w:rPr>
            </w:pPr>
            <w:r w:rsidRPr="009B5734">
              <w:rPr>
                <w:noProof/>
                <w:color w:val="000000" w:themeColor="text1"/>
                <w:sz w:val="18"/>
                <w:szCs w:val="18"/>
              </w:rPr>
              <w:t>Businesses</w:t>
            </w:r>
          </w:p>
        </w:tc>
        <w:tc>
          <w:tcPr>
            <w:tcW w:w="2799" w:type="dxa"/>
            <w:gridSpan w:val="2"/>
            <w:vMerge/>
            <w:shd w:val="clear" w:color="auto" w:fill="EAF1DD" w:themeFill="accent3" w:themeFillTint="33"/>
          </w:tcPr>
          <w:p w:rsidR="00AC19C0" w:rsidRPr="009B5734" w:rsidRDefault="00AC19C0" w:rsidP="0003694D">
            <w:pPr>
              <w:pStyle w:val="Text1"/>
              <w:spacing w:after="0"/>
              <w:ind w:left="0" w:firstLine="0"/>
              <w:rPr>
                <w:noProof/>
                <w:color w:val="000000" w:themeColor="text1"/>
                <w:sz w:val="18"/>
                <w:szCs w:val="18"/>
              </w:rPr>
            </w:pPr>
          </w:p>
        </w:tc>
      </w:tr>
      <w:tr w:rsidR="00AC19C0" w:rsidRPr="009B5734" w:rsidTr="6B053803">
        <w:tc>
          <w:tcPr>
            <w:tcW w:w="2946" w:type="dxa"/>
            <w:gridSpan w:val="2"/>
            <w:vMerge/>
            <w:shd w:val="clear" w:color="auto" w:fill="C2D69B" w:themeFill="accent3" w:themeFillTint="99"/>
          </w:tcPr>
          <w:p w:rsidR="00AC19C0" w:rsidRPr="009B5734" w:rsidRDefault="00AC19C0" w:rsidP="0003694D">
            <w:pPr>
              <w:pStyle w:val="Text1"/>
              <w:spacing w:after="0"/>
              <w:ind w:left="0" w:firstLine="0"/>
              <w:rPr>
                <w:noProof/>
                <w:color w:val="000000" w:themeColor="text1"/>
                <w:sz w:val="18"/>
                <w:szCs w:val="18"/>
              </w:rPr>
            </w:pPr>
          </w:p>
        </w:tc>
        <w:tc>
          <w:tcPr>
            <w:tcW w:w="1656" w:type="dxa"/>
            <w:shd w:val="clear" w:color="auto" w:fill="D6E3BC" w:themeFill="accent3" w:themeFillTint="66"/>
          </w:tcPr>
          <w:p w:rsidR="00AC19C0" w:rsidRPr="009B5734" w:rsidRDefault="00AC19C0" w:rsidP="0003694D">
            <w:pPr>
              <w:pStyle w:val="Text1"/>
              <w:spacing w:after="0"/>
              <w:ind w:left="0" w:firstLine="0"/>
              <w:rPr>
                <w:noProof/>
                <w:color w:val="000000" w:themeColor="text1"/>
                <w:sz w:val="18"/>
                <w:szCs w:val="18"/>
              </w:rPr>
            </w:pPr>
            <w:r w:rsidRPr="009B5734">
              <w:rPr>
                <w:noProof/>
                <w:color w:val="000000" w:themeColor="text1"/>
                <w:sz w:val="18"/>
                <w:szCs w:val="18"/>
              </w:rPr>
              <w:t>SME growth</w:t>
            </w:r>
          </w:p>
        </w:tc>
        <w:tc>
          <w:tcPr>
            <w:tcW w:w="1603" w:type="dxa"/>
            <w:shd w:val="clear" w:color="auto" w:fill="D6E3BC" w:themeFill="accent3" w:themeFillTint="66"/>
          </w:tcPr>
          <w:p w:rsidR="00AC19C0" w:rsidRPr="009B5734" w:rsidRDefault="00AC19C0" w:rsidP="0003694D">
            <w:pPr>
              <w:pStyle w:val="Text1"/>
              <w:spacing w:after="0"/>
              <w:ind w:left="0" w:firstLine="0"/>
              <w:rPr>
                <w:noProof/>
                <w:color w:val="000000" w:themeColor="text1"/>
                <w:sz w:val="18"/>
                <w:szCs w:val="18"/>
              </w:rPr>
            </w:pPr>
            <w:r w:rsidRPr="009B5734">
              <w:rPr>
                <w:noProof/>
                <w:color w:val="000000" w:themeColor="text1"/>
                <w:sz w:val="18"/>
                <w:szCs w:val="18"/>
              </w:rPr>
              <w:t>Businesses</w:t>
            </w:r>
          </w:p>
        </w:tc>
        <w:tc>
          <w:tcPr>
            <w:tcW w:w="2799" w:type="dxa"/>
            <w:gridSpan w:val="2"/>
            <w:vMerge/>
            <w:shd w:val="clear" w:color="auto" w:fill="EAF1DD" w:themeFill="accent3" w:themeFillTint="33"/>
          </w:tcPr>
          <w:p w:rsidR="00AC19C0" w:rsidRPr="009B5734" w:rsidRDefault="00AC19C0" w:rsidP="0003694D">
            <w:pPr>
              <w:pStyle w:val="Text1"/>
              <w:spacing w:after="0"/>
              <w:ind w:left="0" w:firstLine="0"/>
              <w:rPr>
                <w:noProof/>
                <w:color w:val="000000" w:themeColor="text1"/>
                <w:sz w:val="18"/>
                <w:szCs w:val="18"/>
              </w:rPr>
            </w:pPr>
          </w:p>
        </w:tc>
      </w:tr>
      <w:tr w:rsidR="00AC19C0" w:rsidRPr="009B5734" w:rsidTr="6B053803">
        <w:tc>
          <w:tcPr>
            <w:tcW w:w="2946" w:type="dxa"/>
            <w:gridSpan w:val="2"/>
            <w:vMerge/>
            <w:shd w:val="clear" w:color="auto" w:fill="C2D69B" w:themeFill="accent3" w:themeFillTint="99"/>
          </w:tcPr>
          <w:p w:rsidR="00AC19C0" w:rsidRPr="009B5734" w:rsidRDefault="00AC19C0" w:rsidP="0003694D">
            <w:pPr>
              <w:pStyle w:val="Text1"/>
              <w:spacing w:after="0"/>
              <w:ind w:left="0" w:firstLine="0"/>
              <w:rPr>
                <w:noProof/>
                <w:color w:val="000000" w:themeColor="text1"/>
                <w:sz w:val="18"/>
                <w:szCs w:val="18"/>
              </w:rPr>
            </w:pPr>
          </w:p>
        </w:tc>
        <w:tc>
          <w:tcPr>
            <w:tcW w:w="1656" w:type="dxa"/>
            <w:shd w:val="clear" w:color="auto" w:fill="D6E3BC" w:themeFill="accent3" w:themeFillTint="66"/>
          </w:tcPr>
          <w:p w:rsidR="00AC19C0" w:rsidRPr="009B5734" w:rsidRDefault="00AC19C0" w:rsidP="0003694D">
            <w:pPr>
              <w:pStyle w:val="Text1"/>
              <w:spacing w:after="0"/>
              <w:ind w:left="0" w:firstLine="0"/>
              <w:rPr>
                <w:noProof/>
                <w:color w:val="000000" w:themeColor="text1"/>
                <w:sz w:val="18"/>
                <w:szCs w:val="18"/>
              </w:rPr>
            </w:pPr>
            <w:r w:rsidRPr="009B5734">
              <w:rPr>
                <w:noProof/>
                <w:color w:val="000000" w:themeColor="text1"/>
                <w:sz w:val="18"/>
                <w:szCs w:val="18"/>
              </w:rPr>
              <w:t>Costs to public bodies</w:t>
            </w:r>
          </w:p>
        </w:tc>
        <w:tc>
          <w:tcPr>
            <w:tcW w:w="1603" w:type="dxa"/>
            <w:shd w:val="clear" w:color="auto" w:fill="D6E3BC" w:themeFill="accent3" w:themeFillTint="66"/>
          </w:tcPr>
          <w:p w:rsidR="00AC19C0" w:rsidRPr="009B5734" w:rsidRDefault="00AC19C0" w:rsidP="0003694D">
            <w:pPr>
              <w:pStyle w:val="Text1"/>
              <w:spacing w:after="0"/>
              <w:ind w:left="0" w:firstLine="0"/>
              <w:rPr>
                <w:noProof/>
                <w:color w:val="000000" w:themeColor="text1"/>
                <w:sz w:val="18"/>
                <w:szCs w:val="18"/>
              </w:rPr>
            </w:pPr>
            <w:r w:rsidRPr="009B5734">
              <w:rPr>
                <w:noProof/>
                <w:color w:val="000000" w:themeColor="text1"/>
                <w:sz w:val="18"/>
                <w:szCs w:val="18"/>
              </w:rPr>
              <w:t>Public administration</w:t>
            </w:r>
          </w:p>
        </w:tc>
        <w:tc>
          <w:tcPr>
            <w:tcW w:w="2799" w:type="dxa"/>
            <w:gridSpan w:val="2"/>
            <w:vMerge/>
            <w:shd w:val="clear" w:color="auto" w:fill="EAF1DD" w:themeFill="accent3" w:themeFillTint="33"/>
          </w:tcPr>
          <w:p w:rsidR="00AC19C0" w:rsidRPr="009B5734" w:rsidRDefault="00AC19C0" w:rsidP="0003694D">
            <w:pPr>
              <w:pStyle w:val="Text1"/>
              <w:spacing w:after="0"/>
              <w:ind w:left="0" w:firstLine="0"/>
              <w:rPr>
                <w:noProof/>
                <w:color w:val="000000" w:themeColor="text1"/>
                <w:sz w:val="18"/>
                <w:szCs w:val="18"/>
              </w:rPr>
            </w:pPr>
          </w:p>
        </w:tc>
      </w:tr>
    </w:tbl>
    <w:p w:rsidR="00E02A09" w:rsidRDefault="00E02A09" w:rsidP="00D7738F">
      <w:pPr>
        <w:pStyle w:val="Text1"/>
        <w:ind w:left="0" w:firstLine="0"/>
        <w:rPr>
          <w:noProof/>
          <w:sz w:val="18"/>
          <w:szCs w:val="18"/>
        </w:rPr>
      </w:pPr>
    </w:p>
    <w:p w:rsidR="003A06BD" w:rsidRPr="003A06BD" w:rsidRDefault="003A06BD" w:rsidP="003A06BD">
      <w:pPr>
        <w:pStyle w:val="Text1"/>
        <w:ind w:left="0" w:firstLine="0"/>
        <w:rPr>
          <w:noProof/>
          <w:szCs w:val="24"/>
        </w:rPr>
      </w:pPr>
      <w:r>
        <w:rPr>
          <w:noProof/>
          <w:szCs w:val="24"/>
        </w:rPr>
        <w:t>As explained in section 5.1 above, w</w:t>
      </w:r>
      <w:r w:rsidRPr="003A06BD">
        <w:rPr>
          <w:noProof/>
          <w:szCs w:val="24"/>
        </w:rPr>
        <w:t xml:space="preserve">hen considering the baseline </w:t>
      </w:r>
      <w:r w:rsidR="00736FDB">
        <w:rPr>
          <w:noProof/>
          <w:szCs w:val="24"/>
        </w:rPr>
        <w:t>for this initiative, as well as when calculating</w:t>
      </w:r>
      <w:r w:rsidRPr="003A06BD">
        <w:rPr>
          <w:noProof/>
          <w:szCs w:val="24"/>
        </w:rPr>
        <w:t xml:space="preserve"> the</w:t>
      </w:r>
      <w:r w:rsidR="00736FDB">
        <w:rPr>
          <w:noProof/>
          <w:szCs w:val="24"/>
        </w:rPr>
        <w:t xml:space="preserve"> impacts of the options </w:t>
      </w:r>
      <w:r w:rsidRPr="003A06BD">
        <w:rPr>
          <w:noProof/>
          <w:szCs w:val="24"/>
        </w:rPr>
        <w:t xml:space="preserve">presented below </w:t>
      </w:r>
      <w:r w:rsidR="00736FDB">
        <w:rPr>
          <w:noProof/>
          <w:szCs w:val="24"/>
        </w:rPr>
        <w:t xml:space="preserve">against this baseline, </w:t>
      </w:r>
      <w:r>
        <w:rPr>
          <w:noProof/>
          <w:szCs w:val="24"/>
        </w:rPr>
        <w:t>the impacts of two other</w:t>
      </w:r>
      <w:r w:rsidRPr="003A06BD">
        <w:rPr>
          <w:noProof/>
          <w:szCs w:val="24"/>
        </w:rPr>
        <w:t xml:space="preserve"> EU-level ini</w:t>
      </w:r>
      <w:r>
        <w:rPr>
          <w:noProof/>
          <w:szCs w:val="24"/>
        </w:rPr>
        <w:t>tiatives under preparation</w:t>
      </w:r>
      <w:r w:rsidRPr="003A06BD">
        <w:rPr>
          <w:noProof/>
          <w:szCs w:val="24"/>
        </w:rPr>
        <w:t xml:space="preserve">, the </w:t>
      </w:r>
      <w:r w:rsidR="00DC4EA0">
        <w:rPr>
          <w:noProof/>
          <w:szCs w:val="24"/>
        </w:rPr>
        <w:t xml:space="preserve">upcoming </w:t>
      </w:r>
      <w:r w:rsidRPr="003A06BD">
        <w:rPr>
          <w:noProof/>
          <w:szCs w:val="24"/>
        </w:rPr>
        <w:t>Green Claims Initiative and the Sustainable Products Initiative</w:t>
      </w:r>
      <w:r>
        <w:rPr>
          <w:noProof/>
          <w:szCs w:val="24"/>
        </w:rPr>
        <w:t>, have no</w:t>
      </w:r>
      <w:r w:rsidR="00736FDB">
        <w:rPr>
          <w:noProof/>
          <w:szCs w:val="24"/>
        </w:rPr>
        <w:t>t been taken into account in a quantitative way</w:t>
      </w:r>
      <w:r w:rsidR="008F3C0D">
        <w:rPr>
          <w:noProof/>
          <w:szCs w:val="24"/>
        </w:rPr>
        <w:t xml:space="preserve">, as </w:t>
      </w:r>
      <w:r w:rsidR="008F3C0D" w:rsidRPr="008F3C0D">
        <w:rPr>
          <w:noProof/>
          <w:szCs w:val="24"/>
        </w:rPr>
        <w:t>it cannot be guaranteed that each of these other initiatives will be adopted and will become EU law, which is pending the upcoming ordinary legislative procedure.</w:t>
      </w:r>
    </w:p>
    <w:p w:rsidR="003A06BD" w:rsidRPr="003A06BD" w:rsidRDefault="00736FDB" w:rsidP="003A06BD">
      <w:pPr>
        <w:pStyle w:val="Text1"/>
        <w:ind w:left="0" w:firstLine="0"/>
        <w:rPr>
          <w:noProof/>
          <w:szCs w:val="24"/>
        </w:rPr>
      </w:pPr>
      <w:r>
        <w:rPr>
          <w:noProof/>
          <w:szCs w:val="24"/>
        </w:rPr>
        <w:t>It cannot therefore be excluded that, pending the implementation of some of the measures considered in these other initiatives currently being prepared in parallel, the impacts calculated below might be subject to change.</w:t>
      </w:r>
    </w:p>
    <w:p w:rsidR="003A06BD" w:rsidRPr="008D65D2" w:rsidRDefault="00736FDB" w:rsidP="003A06BD">
      <w:pPr>
        <w:pStyle w:val="Text1"/>
        <w:ind w:left="0" w:firstLine="0"/>
        <w:rPr>
          <w:noProof/>
          <w:szCs w:val="24"/>
        </w:rPr>
      </w:pPr>
      <w:r>
        <w:rPr>
          <w:noProof/>
          <w:szCs w:val="24"/>
        </w:rPr>
        <w:t>However, to</w:t>
      </w:r>
      <w:r w:rsidR="003A06BD" w:rsidRPr="003A06BD">
        <w:rPr>
          <w:noProof/>
          <w:szCs w:val="24"/>
        </w:rPr>
        <w:t xml:space="preserve"> the extent that the options considered in this Impact Assessment overlap with the preferred policy options of these </w:t>
      </w:r>
      <w:r>
        <w:rPr>
          <w:noProof/>
          <w:szCs w:val="24"/>
        </w:rPr>
        <w:t xml:space="preserve">two other </w:t>
      </w:r>
      <w:r w:rsidR="003A06BD" w:rsidRPr="003A06BD">
        <w:rPr>
          <w:noProof/>
          <w:szCs w:val="24"/>
        </w:rPr>
        <w:t xml:space="preserve">initiatives, this has been taken into account in a qualitative way in the description of the </w:t>
      </w:r>
      <w:r>
        <w:rPr>
          <w:noProof/>
          <w:szCs w:val="24"/>
        </w:rPr>
        <w:t>options presented in Section 5.1</w:t>
      </w:r>
      <w:r w:rsidR="003A06BD" w:rsidRPr="003A06BD">
        <w:rPr>
          <w:noProof/>
          <w:szCs w:val="24"/>
        </w:rPr>
        <w:t xml:space="preserve"> </w:t>
      </w:r>
      <w:r>
        <w:rPr>
          <w:noProof/>
          <w:szCs w:val="24"/>
        </w:rPr>
        <w:t>above, as well as in the discussion of the proportionality of the prefe</w:t>
      </w:r>
      <w:r w:rsidR="00125511">
        <w:rPr>
          <w:noProof/>
          <w:szCs w:val="24"/>
        </w:rPr>
        <w:t>rred options in Section 7 below</w:t>
      </w:r>
      <w:r w:rsidR="003A06BD" w:rsidRPr="003A06BD">
        <w:rPr>
          <w:noProof/>
          <w:szCs w:val="24"/>
        </w:rPr>
        <w:t>.</w:t>
      </w:r>
    </w:p>
    <w:p w:rsidR="00087E22" w:rsidRPr="009B5734" w:rsidRDefault="00A00208" w:rsidP="00A00208">
      <w:pPr>
        <w:pStyle w:val="Heading2"/>
        <w:rPr>
          <w:noProof/>
        </w:rPr>
      </w:pPr>
      <w:bookmarkStart w:id="166" w:name="_Toc58149043"/>
      <w:bookmarkStart w:id="167" w:name="_Toc58604076"/>
      <w:bookmarkStart w:id="168" w:name="_Toc77844238"/>
      <w:bookmarkStart w:id="169" w:name="_Toc86391741"/>
      <w:r w:rsidRPr="00A00208">
        <w:t>6.1.</w:t>
      </w:r>
      <w:r w:rsidRPr="00A00208">
        <w:tab/>
      </w:r>
      <w:r w:rsidR="00087E22" w:rsidRPr="009B5734">
        <w:rPr>
          <w:noProof/>
        </w:rPr>
        <w:t>Problem 1: Consumer</w:t>
      </w:r>
      <w:r w:rsidR="00860717" w:rsidRPr="009B5734">
        <w:rPr>
          <w:noProof/>
        </w:rPr>
        <w:t>s</w:t>
      </w:r>
      <w:r w:rsidR="00087E22" w:rsidRPr="009B5734">
        <w:rPr>
          <w:noProof/>
        </w:rPr>
        <w:t xml:space="preserve"> lack</w:t>
      </w:r>
      <w:r w:rsidR="00F81D73" w:rsidRPr="009B5734">
        <w:rPr>
          <w:noProof/>
        </w:rPr>
        <w:t xml:space="preserve"> reliable</w:t>
      </w:r>
      <w:r w:rsidR="00087E22" w:rsidRPr="009B5734">
        <w:rPr>
          <w:noProof/>
        </w:rPr>
        <w:t xml:space="preserve"> information </w:t>
      </w:r>
      <w:r w:rsidR="00B73C39" w:rsidRPr="00B73C39">
        <w:rPr>
          <w:noProof/>
        </w:rPr>
        <w:t>at the point of sale</w:t>
      </w:r>
      <w:r w:rsidR="00B73C39">
        <w:rPr>
          <w:noProof/>
        </w:rPr>
        <w:t xml:space="preserve"> </w:t>
      </w:r>
      <w:r w:rsidR="00B73C39" w:rsidRPr="00B73C39">
        <w:rPr>
          <w:noProof/>
        </w:rPr>
        <w:t>to make environmentally</w:t>
      </w:r>
      <w:r w:rsidR="00087E22" w:rsidRPr="009B5734">
        <w:rPr>
          <w:noProof/>
        </w:rPr>
        <w:t xml:space="preserve"> sustainable </w:t>
      </w:r>
      <w:bookmarkEnd w:id="166"/>
      <w:bookmarkEnd w:id="167"/>
      <w:r w:rsidR="0080633B">
        <w:rPr>
          <w:noProof/>
        </w:rPr>
        <w:t>consumption choices</w:t>
      </w:r>
      <w:bookmarkEnd w:id="168"/>
      <w:bookmarkEnd w:id="169"/>
    </w:p>
    <w:p w:rsidR="0012211B" w:rsidRPr="0084232A" w:rsidRDefault="00A00208" w:rsidP="00A00208">
      <w:pPr>
        <w:pStyle w:val="Heading4"/>
        <w:rPr>
          <w:noProof/>
        </w:rPr>
      </w:pPr>
      <w:bookmarkStart w:id="170" w:name="_Toc58149045"/>
      <w:bookmarkStart w:id="171" w:name="_Toc58604080"/>
      <w:r w:rsidRPr="00A00208">
        <w:t>6.1.1.</w:t>
      </w:r>
      <w:r w:rsidRPr="00A00208">
        <w:tab/>
      </w:r>
      <w:r w:rsidR="00087E22" w:rsidRPr="005D24D2">
        <w:rPr>
          <w:noProof/>
        </w:rPr>
        <w:t xml:space="preserve">Sub-Problem 1.2: Lack of </w:t>
      </w:r>
      <w:r w:rsidR="00F166B4" w:rsidRPr="005D24D2">
        <w:rPr>
          <w:noProof/>
        </w:rPr>
        <w:t xml:space="preserve">reliable </w:t>
      </w:r>
      <w:r w:rsidR="00087E22" w:rsidRPr="005D24D2">
        <w:rPr>
          <w:noProof/>
        </w:rPr>
        <w:t>information about products’ lifespan</w:t>
      </w:r>
      <w:bookmarkEnd w:id="170"/>
      <w:bookmarkEnd w:id="171"/>
    </w:p>
    <w:tbl>
      <w:tblPr>
        <w:tblStyle w:val="TableGrid"/>
        <w:tblW w:w="8864" w:type="dxa"/>
        <w:tblLook w:val="04A0" w:firstRow="1" w:lastRow="0" w:firstColumn="1" w:lastColumn="0" w:noHBand="0" w:noVBand="1"/>
      </w:tblPr>
      <w:tblGrid>
        <w:gridCol w:w="2939"/>
        <w:gridCol w:w="2985"/>
        <w:gridCol w:w="2940"/>
      </w:tblGrid>
      <w:tr w:rsidR="0012211B" w:rsidRPr="009B5734" w:rsidTr="00463900">
        <w:trPr>
          <w:trHeight w:val="251"/>
        </w:trPr>
        <w:tc>
          <w:tcPr>
            <w:tcW w:w="2939" w:type="dxa"/>
          </w:tcPr>
          <w:p w:rsidR="0012211B" w:rsidRPr="009B5734" w:rsidRDefault="0012211B" w:rsidP="00463900">
            <w:pPr>
              <w:pStyle w:val="Text2"/>
              <w:ind w:left="0" w:firstLine="0"/>
              <w:rPr>
                <w:noProof/>
              </w:rPr>
            </w:pPr>
            <w:r w:rsidRPr="009B5734">
              <w:rPr>
                <w:b/>
                <w:noProof/>
                <w:sz w:val="20"/>
              </w:rPr>
              <w:t>Option 1.2.A</w:t>
            </w:r>
            <w:r w:rsidRPr="009B5734">
              <w:rPr>
                <w:noProof/>
                <w:sz w:val="20"/>
              </w:rPr>
              <w:t>: Obligation to inform consumers about the expected lifespan of goods</w:t>
            </w:r>
          </w:p>
        </w:tc>
        <w:tc>
          <w:tcPr>
            <w:tcW w:w="2985" w:type="dxa"/>
          </w:tcPr>
          <w:p w:rsidR="0012211B" w:rsidRPr="009B5734" w:rsidRDefault="0012211B" w:rsidP="00463900">
            <w:pPr>
              <w:pStyle w:val="Text2"/>
              <w:ind w:left="0" w:firstLine="0"/>
              <w:rPr>
                <w:noProof/>
              </w:rPr>
            </w:pPr>
            <w:r w:rsidRPr="009B5734">
              <w:rPr>
                <w:b/>
                <w:noProof/>
                <w:sz w:val="20"/>
              </w:rPr>
              <w:t>Option 1.2.B</w:t>
            </w:r>
            <w:r w:rsidRPr="009B5734">
              <w:rPr>
                <w:noProof/>
                <w:sz w:val="20"/>
              </w:rPr>
              <w:t>: Obligation to inform consumers of the existence (or absence) of a producer’s commercial guarantee for durability</w:t>
            </w:r>
          </w:p>
        </w:tc>
        <w:tc>
          <w:tcPr>
            <w:tcW w:w="2940" w:type="dxa"/>
          </w:tcPr>
          <w:p w:rsidR="0012211B" w:rsidRPr="009B5734" w:rsidRDefault="0012211B" w:rsidP="00463900">
            <w:pPr>
              <w:pStyle w:val="Text2"/>
              <w:ind w:left="0" w:firstLine="0"/>
              <w:rPr>
                <w:noProof/>
              </w:rPr>
            </w:pPr>
            <w:r w:rsidRPr="009B5734">
              <w:rPr>
                <w:b/>
                <w:noProof/>
                <w:sz w:val="20"/>
              </w:rPr>
              <w:t>Option 1.2.C</w:t>
            </w:r>
            <w:r w:rsidRPr="009B5734">
              <w:rPr>
                <w:noProof/>
                <w:sz w:val="20"/>
              </w:rPr>
              <w:t>: Option 1.2.B + Obligation to inform consumers on the period of time during which free software updates will be provided</w:t>
            </w:r>
          </w:p>
        </w:tc>
      </w:tr>
    </w:tbl>
    <w:p w:rsidR="00764E91" w:rsidRPr="009B5734" w:rsidRDefault="0057721B" w:rsidP="006B18B5">
      <w:pPr>
        <w:pStyle w:val="Heading5"/>
        <w:rPr>
          <w:rFonts w:ascii="Times New Roman" w:hAnsi="Times New Roman" w:cs="Times New Roman"/>
          <w:i w:val="0"/>
          <w:noProof/>
          <w:sz w:val="24"/>
        </w:rPr>
      </w:pPr>
      <w:bookmarkStart w:id="172" w:name="_Toc58149046"/>
      <w:bookmarkStart w:id="173" w:name="_Toc58222424"/>
      <w:bookmarkStart w:id="174" w:name="_Toc58603221"/>
      <w:bookmarkStart w:id="175" w:name="_Toc58604081"/>
      <w:bookmarkStart w:id="176" w:name="_Toc58605398"/>
      <w:bookmarkStart w:id="177" w:name="_Toc60734036"/>
      <w:r w:rsidRPr="009B5734">
        <w:rPr>
          <w:rFonts w:ascii="Times New Roman" w:hAnsi="Times New Roman" w:cs="Times New Roman"/>
          <w:i w:val="0"/>
          <w:noProof/>
          <w:sz w:val="24"/>
        </w:rPr>
        <w:t>Impacts of the policy options</w:t>
      </w:r>
      <w:bookmarkEnd w:id="172"/>
      <w:bookmarkEnd w:id="173"/>
      <w:bookmarkEnd w:id="174"/>
      <w:bookmarkEnd w:id="175"/>
      <w:bookmarkEnd w:id="176"/>
      <w:bookmarkEnd w:id="177"/>
    </w:p>
    <w:p w:rsidR="0067263C" w:rsidRPr="009B5734" w:rsidRDefault="0067263C" w:rsidP="0046415F">
      <w:pPr>
        <w:ind w:left="0" w:firstLine="0"/>
        <w:rPr>
          <w:rFonts w:ascii="Times New Roman" w:hAnsi="Times New Roman" w:cs="Times New Roman"/>
          <w:i/>
          <w:noProof/>
          <w:sz w:val="24"/>
        </w:rPr>
      </w:pPr>
      <w:r w:rsidRPr="009B5734">
        <w:rPr>
          <w:rFonts w:ascii="Times New Roman" w:hAnsi="Times New Roman" w:cs="Times New Roman"/>
          <w:i/>
          <w:noProof/>
          <w:sz w:val="24"/>
        </w:rPr>
        <w:t>Impacts on consumers:</w:t>
      </w:r>
    </w:p>
    <w:p w:rsidR="00DC0168" w:rsidRPr="00F67503" w:rsidRDefault="008374B6">
      <w:pPr>
        <w:ind w:left="0" w:firstLine="0"/>
        <w:rPr>
          <w:rFonts w:ascii="Times New Roman" w:hAnsi="Times New Roman" w:cs="Times New Roman"/>
          <w:noProof/>
          <w:sz w:val="24"/>
          <w:szCs w:val="24"/>
        </w:rPr>
      </w:pPr>
      <w:r w:rsidRPr="005D24D2">
        <w:rPr>
          <w:rFonts w:ascii="Times New Roman" w:hAnsi="Times New Roman" w:cs="Times New Roman"/>
          <w:noProof/>
          <w:sz w:val="24"/>
          <w:szCs w:val="24"/>
        </w:rPr>
        <w:t>As explain</w:t>
      </w:r>
      <w:r w:rsidR="00BA6D04" w:rsidRPr="005D24D2">
        <w:rPr>
          <w:rFonts w:ascii="Times New Roman" w:hAnsi="Times New Roman" w:cs="Times New Roman"/>
          <w:noProof/>
          <w:sz w:val="24"/>
          <w:szCs w:val="24"/>
        </w:rPr>
        <w:t>ed</w:t>
      </w:r>
      <w:r w:rsidR="00A24272" w:rsidRPr="005D24D2">
        <w:rPr>
          <w:rFonts w:ascii="Times New Roman" w:hAnsi="Times New Roman" w:cs="Times New Roman"/>
          <w:noProof/>
          <w:sz w:val="24"/>
          <w:szCs w:val="24"/>
        </w:rPr>
        <w:t xml:space="preserve"> in </w:t>
      </w:r>
      <w:hyperlink w:anchor="_Annex_12:_Consequences_1" w:history="1">
        <w:r w:rsidR="00AF0E44" w:rsidRPr="005D24D2">
          <w:rPr>
            <w:rStyle w:val="Hyperlink"/>
            <w:rFonts w:ascii="Times New Roman" w:hAnsi="Times New Roman" w:cs="Times New Roman"/>
            <w:noProof/>
            <w:sz w:val="24"/>
            <w:szCs w:val="24"/>
          </w:rPr>
          <w:t>Annex 12</w:t>
        </w:r>
      </w:hyperlink>
      <w:r w:rsidRPr="005D24D2">
        <w:rPr>
          <w:rFonts w:ascii="Times New Roman" w:hAnsi="Times New Roman" w:cs="Times New Roman"/>
          <w:noProof/>
          <w:sz w:val="24"/>
          <w:szCs w:val="24"/>
        </w:rPr>
        <w:t>, consumers are interested in having information about the lifespan/durability of products and are even willing to pay for it. However</w:t>
      </w:r>
      <w:r w:rsidR="001E0785" w:rsidRPr="005D24D2">
        <w:rPr>
          <w:rFonts w:ascii="Times New Roman" w:hAnsi="Times New Roman" w:cs="Times New Roman"/>
          <w:noProof/>
          <w:sz w:val="24"/>
          <w:szCs w:val="24"/>
        </w:rPr>
        <w:t>, t</w:t>
      </w:r>
      <w:r w:rsidR="00844F25" w:rsidRPr="005D24D2">
        <w:rPr>
          <w:rFonts w:ascii="Times New Roman" w:hAnsi="Times New Roman" w:cs="Times New Roman"/>
          <w:noProof/>
          <w:sz w:val="24"/>
          <w:szCs w:val="24"/>
        </w:rPr>
        <w:t>he obligation to</w:t>
      </w:r>
      <w:r w:rsidR="00844F25" w:rsidRPr="005D24D2">
        <w:rPr>
          <w:rFonts w:ascii="Times New Roman" w:hAnsi="Times New Roman" w:cs="Times New Roman"/>
          <w:b/>
          <w:bCs/>
          <w:noProof/>
          <w:sz w:val="24"/>
          <w:szCs w:val="24"/>
        </w:rPr>
        <w:t xml:space="preserve"> inform</w:t>
      </w:r>
      <w:r w:rsidR="0067263C" w:rsidRPr="005D24D2">
        <w:rPr>
          <w:rFonts w:ascii="Times New Roman" w:hAnsi="Times New Roman" w:cs="Times New Roman"/>
          <w:b/>
          <w:bCs/>
          <w:noProof/>
          <w:sz w:val="24"/>
          <w:szCs w:val="24"/>
        </w:rPr>
        <w:t xml:space="preserve"> consumers</w:t>
      </w:r>
      <w:r w:rsidR="00844F25" w:rsidRPr="005D24D2">
        <w:rPr>
          <w:rFonts w:ascii="Times New Roman" w:hAnsi="Times New Roman" w:cs="Times New Roman"/>
          <w:b/>
          <w:bCs/>
          <w:noProof/>
          <w:sz w:val="24"/>
          <w:szCs w:val="24"/>
        </w:rPr>
        <w:t xml:space="preserve"> about the expected lifespan of goods, </w:t>
      </w:r>
      <w:r w:rsidR="00844F25" w:rsidRPr="005D24D2">
        <w:rPr>
          <w:rFonts w:ascii="Times New Roman" w:hAnsi="Times New Roman" w:cs="Times New Roman"/>
          <w:noProof/>
          <w:sz w:val="24"/>
          <w:szCs w:val="24"/>
        </w:rPr>
        <w:t>as considered in</w:t>
      </w:r>
      <w:r w:rsidR="00844F25" w:rsidRPr="005D24D2">
        <w:rPr>
          <w:rFonts w:ascii="Times New Roman" w:hAnsi="Times New Roman" w:cs="Times New Roman"/>
          <w:b/>
          <w:bCs/>
          <w:noProof/>
          <w:sz w:val="24"/>
          <w:szCs w:val="24"/>
        </w:rPr>
        <w:t xml:space="preserve"> o</w:t>
      </w:r>
      <w:r w:rsidR="0067263C" w:rsidRPr="005D24D2">
        <w:rPr>
          <w:rFonts w:ascii="Times New Roman" w:hAnsi="Times New Roman" w:cs="Times New Roman"/>
          <w:b/>
          <w:bCs/>
          <w:noProof/>
          <w:sz w:val="24"/>
          <w:szCs w:val="24"/>
        </w:rPr>
        <w:t>ption 1.2.A</w:t>
      </w:r>
      <w:r w:rsidR="00844F25" w:rsidRPr="005D24D2">
        <w:rPr>
          <w:rFonts w:ascii="Times New Roman" w:hAnsi="Times New Roman" w:cs="Times New Roman"/>
          <w:b/>
          <w:bCs/>
          <w:noProof/>
          <w:sz w:val="24"/>
          <w:szCs w:val="24"/>
        </w:rPr>
        <w:t xml:space="preserve"> </w:t>
      </w:r>
      <w:r w:rsidR="0067263C" w:rsidRPr="005D24D2">
        <w:rPr>
          <w:rFonts w:ascii="Times New Roman" w:hAnsi="Times New Roman" w:cs="Times New Roman"/>
          <w:noProof/>
          <w:sz w:val="24"/>
          <w:szCs w:val="24"/>
        </w:rPr>
        <w:t xml:space="preserve">will </w:t>
      </w:r>
      <w:r w:rsidRPr="005D24D2">
        <w:rPr>
          <w:rFonts w:ascii="Times New Roman" w:hAnsi="Times New Roman" w:cs="Times New Roman"/>
          <w:noProof/>
          <w:sz w:val="24"/>
          <w:szCs w:val="24"/>
        </w:rPr>
        <w:t xml:space="preserve">not </w:t>
      </w:r>
      <w:r w:rsidR="0067263C" w:rsidRPr="005D24D2">
        <w:rPr>
          <w:rFonts w:ascii="Times New Roman" w:hAnsi="Times New Roman" w:cs="Times New Roman"/>
          <w:noProof/>
          <w:sz w:val="24"/>
          <w:szCs w:val="24"/>
        </w:rPr>
        <w:t xml:space="preserve">improve the quality of decision-making for consumers. </w:t>
      </w:r>
      <w:r w:rsidRPr="005D24D2">
        <w:rPr>
          <w:rFonts w:ascii="Times New Roman" w:hAnsi="Times New Roman" w:cs="Times New Roman"/>
          <w:noProof/>
          <w:sz w:val="24"/>
          <w:szCs w:val="24"/>
        </w:rPr>
        <w:t>This is because</w:t>
      </w:r>
      <w:r w:rsidR="0067263C" w:rsidRPr="005D24D2">
        <w:rPr>
          <w:rFonts w:ascii="Times New Roman" w:hAnsi="Times New Roman" w:cs="Times New Roman"/>
          <w:noProof/>
          <w:sz w:val="24"/>
          <w:szCs w:val="24"/>
        </w:rPr>
        <w:t xml:space="preserve"> </w:t>
      </w:r>
      <w:r w:rsidR="0067263C" w:rsidRPr="005D24D2">
        <w:rPr>
          <w:rFonts w:ascii="Times New Roman" w:hAnsi="Times New Roman" w:cs="Times New Roman"/>
          <w:b/>
          <w:bCs/>
          <w:noProof/>
          <w:sz w:val="24"/>
          <w:szCs w:val="24"/>
        </w:rPr>
        <w:t>the reliability of the information provided under this option</w:t>
      </w:r>
      <w:r w:rsidR="0067263C" w:rsidRPr="005D24D2">
        <w:rPr>
          <w:rFonts w:ascii="Times New Roman" w:hAnsi="Times New Roman" w:cs="Times New Roman"/>
          <w:noProof/>
          <w:sz w:val="24"/>
          <w:szCs w:val="24"/>
        </w:rPr>
        <w:t xml:space="preserve"> (and the comparability it would allow between products) </w:t>
      </w:r>
      <w:r w:rsidR="0067263C" w:rsidRPr="005D24D2">
        <w:rPr>
          <w:rFonts w:ascii="Times New Roman" w:hAnsi="Times New Roman" w:cs="Times New Roman"/>
          <w:b/>
          <w:bCs/>
          <w:noProof/>
          <w:sz w:val="24"/>
          <w:szCs w:val="24"/>
        </w:rPr>
        <w:t xml:space="preserve">will depend on the methodology used by companies to </w:t>
      </w:r>
      <w:r w:rsidR="006305D2" w:rsidRPr="005D24D2">
        <w:rPr>
          <w:rFonts w:ascii="Times New Roman" w:hAnsi="Times New Roman" w:cs="Times New Roman"/>
          <w:b/>
          <w:bCs/>
          <w:noProof/>
          <w:sz w:val="24"/>
          <w:szCs w:val="24"/>
        </w:rPr>
        <w:t>assess</w:t>
      </w:r>
      <w:r w:rsidR="0067263C" w:rsidRPr="005D24D2">
        <w:rPr>
          <w:rFonts w:ascii="Times New Roman" w:hAnsi="Times New Roman" w:cs="Times New Roman"/>
          <w:b/>
          <w:bCs/>
          <w:noProof/>
          <w:sz w:val="24"/>
          <w:szCs w:val="24"/>
        </w:rPr>
        <w:t xml:space="preserve"> such an expected lifetime</w:t>
      </w:r>
      <w:r w:rsidR="00E50037" w:rsidRPr="005D24D2">
        <w:rPr>
          <w:rFonts w:ascii="Times New Roman" w:hAnsi="Times New Roman" w:cs="Times New Roman"/>
          <w:b/>
          <w:bCs/>
          <w:noProof/>
          <w:sz w:val="24"/>
          <w:szCs w:val="24"/>
        </w:rPr>
        <w:t xml:space="preserve">, </w:t>
      </w:r>
      <w:r w:rsidR="00E50037" w:rsidRPr="005D24D2">
        <w:rPr>
          <w:rFonts w:ascii="Times New Roman" w:hAnsi="Times New Roman" w:cs="Times New Roman"/>
          <w:noProof/>
          <w:sz w:val="24"/>
          <w:szCs w:val="24"/>
        </w:rPr>
        <w:t>which</w:t>
      </w:r>
      <w:r w:rsidRPr="005D24D2">
        <w:rPr>
          <w:rFonts w:ascii="Times New Roman" w:hAnsi="Times New Roman" w:cs="Times New Roman"/>
          <w:noProof/>
          <w:sz w:val="24"/>
          <w:szCs w:val="24"/>
        </w:rPr>
        <w:t xml:space="preserve"> are likely to vary depending on the companies, therefore leading to diverging assessments within a given product category</w:t>
      </w:r>
      <w:r w:rsidR="0067263C" w:rsidRPr="005D24D2" w:rsidDel="008374B6">
        <w:rPr>
          <w:rFonts w:ascii="Times New Roman" w:hAnsi="Times New Roman" w:cs="Times New Roman"/>
          <w:noProof/>
          <w:sz w:val="24"/>
          <w:szCs w:val="24"/>
        </w:rPr>
        <w:t>.</w:t>
      </w:r>
      <w:r w:rsidR="00E50037" w:rsidRPr="005D24D2">
        <w:rPr>
          <w:rFonts w:ascii="Times New Roman" w:hAnsi="Times New Roman" w:cs="Times New Roman"/>
          <w:noProof/>
          <w:sz w:val="24"/>
          <w:szCs w:val="24"/>
        </w:rPr>
        <w:t xml:space="preserve"> </w:t>
      </w:r>
      <w:r w:rsidR="00F710B3" w:rsidRPr="005D24D2">
        <w:rPr>
          <w:rFonts w:ascii="Times New Roman" w:hAnsi="Times New Roman" w:cs="Times New Roman"/>
          <w:noProof/>
          <w:sz w:val="24"/>
          <w:szCs w:val="24"/>
        </w:rPr>
        <w:t xml:space="preserve">It is also technically very challenging to estimate the lifespan of products, and the methods, indicators and techniques used will vary significantly from product category to product category. </w:t>
      </w:r>
      <w:r w:rsidR="00DC0168" w:rsidRPr="009B5734">
        <w:rPr>
          <w:rFonts w:ascii="Times New Roman" w:hAnsi="Times New Roman" w:cs="Times New Roman"/>
          <w:noProof/>
          <w:sz w:val="24"/>
          <w:szCs w:val="24"/>
        </w:rPr>
        <w:t xml:space="preserve">Depending on the level of effectiveness of the </w:t>
      </w:r>
      <w:r w:rsidR="00C9566C" w:rsidRPr="009B5734">
        <w:rPr>
          <w:rFonts w:ascii="Times New Roman" w:hAnsi="Times New Roman" w:cs="Times New Roman"/>
          <w:noProof/>
          <w:sz w:val="24"/>
          <w:szCs w:val="24"/>
        </w:rPr>
        <w:t>option</w:t>
      </w:r>
      <w:r w:rsidR="00DC0168" w:rsidRPr="009B5734">
        <w:rPr>
          <w:rFonts w:ascii="Times New Roman" w:hAnsi="Times New Roman" w:cs="Times New Roman"/>
          <w:noProof/>
          <w:sz w:val="24"/>
          <w:szCs w:val="24"/>
        </w:rPr>
        <w:t xml:space="preserve"> in contributing to consumers purchasing alternatives that last one year longer than in the baseline, </w:t>
      </w:r>
      <w:r w:rsidR="00DC0168" w:rsidRPr="005D24D2">
        <w:rPr>
          <w:rFonts w:ascii="Times New Roman" w:hAnsi="Times New Roman" w:cs="Times New Roman"/>
          <w:b/>
          <w:bCs/>
          <w:noProof/>
          <w:sz w:val="24"/>
          <w:szCs w:val="24"/>
        </w:rPr>
        <w:t xml:space="preserve">the </w:t>
      </w:r>
      <w:r w:rsidR="00A24272" w:rsidRPr="005D24D2">
        <w:rPr>
          <w:rFonts w:ascii="Times New Roman" w:hAnsi="Times New Roman" w:cs="Times New Roman"/>
          <w:b/>
          <w:bCs/>
          <w:noProof/>
          <w:sz w:val="24"/>
          <w:szCs w:val="24"/>
        </w:rPr>
        <w:t xml:space="preserve">monetisable </w:t>
      </w:r>
      <w:r w:rsidR="00DC0168" w:rsidRPr="005D24D2">
        <w:rPr>
          <w:rFonts w:ascii="Times New Roman" w:hAnsi="Times New Roman" w:cs="Times New Roman"/>
          <w:b/>
          <w:bCs/>
          <w:noProof/>
          <w:sz w:val="24"/>
          <w:szCs w:val="24"/>
        </w:rPr>
        <w:t xml:space="preserve">consumer welfare is estimated </w:t>
      </w:r>
      <w:r w:rsidR="00D3197B" w:rsidRPr="005D24D2">
        <w:rPr>
          <w:rFonts w:ascii="Times New Roman" w:hAnsi="Times New Roman" w:cs="Times New Roman"/>
          <w:b/>
          <w:bCs/>
          <w:noProof/>
          <w:sz w:val="24"/>
          <w:szCs w:val="24"/>
        </w:rPr>
        <w:t xml:space="preserve">to be around EUR </w:t>
      </w:r>
      <w:r w:rsidR="00284B5B" w:rsidRPr="005D24D2">
        <w:rPr>
          <w:rFonts w:ascii="Times New Roman" w:hAnsi="Times New Roman" w:cs="Times New Roman"/>
          <w:b/>
          <w:bCs/>
          <w:noProof/>
          <w:sz w:val="24"/>
          <w:szCs w:val="24"/>
        </w:rPr>
        <w:t xml:space="preserve">850 </w:t>
      </w:r>
      <w:r w:rsidR="00D3197B" w:rsidRPr="005D24D2">
        <w:rPr>
          <w:rFonts w:ascii="Times New Roman" w:hAnsi="Times New Roman" w:cs="Times New Roman"/>
          <w:b/>
          <w:bCs/>
          <w:noProof/>
          <w:sz w:val="24"/>
          <w:szCs w:val="24"/>
        </w:rPr>
        <w:t xml:space="preserve">- 1 </w:t>
      </w:r>
      <w:r w:rsidR="001E0F75" w:rsidRPr="005D24D2">
        <w:rPr>
          <w:rFonts w:ascii="Times New Roman" w:hAnsi="Times New Roman" w:cs="Times New Roman"/>
          <w:b/>
          <w:bCs/>
          <w:noProof/>
          <w:sz w:val="24"/>
          <w:szCs w:val="24"/>
        </w:rPr>
        <w:t xml:space="preserve">110 </w:t>
      </w:r>
      <w:r w:rsidR="00D3197B" w:rsidRPr="005D24D2">
        <w:rPr>
          <w:rFonts w:ascii="Times New Roman" w:hAnsi="Times New Roman" w:cs="Times New Roman"/>
          <w:b/>
          <w:bCs/>
          <w:noProof/>
          <w:sz w:val="24"/>
          <w:szCs w:val="24"/>
        </w:rPr>
        <w:t>million</w:t>
      </w:r>
      <w:r w:rsidR="00A24272" w:rsidRPr="005D24D2">
        <w:rPr>
          <w:rFonts w:ascii="Times New Roman" w:hAnsi="Times New Roman" w:cs="Times New Roman"/>
          <w:b/>
          <w:bCs/>
          <w:noProof/>
          <w:sz w:val="24"/>
          <w:szCs w:val="24"/>
        </w:rPr>
        <w:t xml:space="preserve"> for the period 2025-2040</w:t>
      </w:r>
      <w:r w:rsidR="00D3197B" w:rsidRPr="005D24D2">
        <w:rPr>
          <w:rFonts w:ascii="Times New Roman" w:hAnsi="Times New Roman" w:cs="Times New Roman"/>
          <w:b/>
          <w:bCs/>
          <w:noProof/>
          <w:sz w:val="24"/>
          <w:szCs w:val="24"/>
        </w:rPr>
        <w:t xml:space="preserve"> if the information is reliable</w:t>
      </w:r>
      <w:r w:rsidR="003E1B8F">
        <w:rPr>
          <w:rFonts w:ascii="Times New Roman" w:hAnsi="Times New Roman" w:cs="Times New Roman"/>
          <w:b/>
          <w:bCs/>
          <w:noProof/>
          <w:sz w:val="24"/>
          <w:szCs w:val="24"/>
        </w:rPr>
        <w:t xml:space="preserve"> (or EUR 57 – 74 million per year)</w:t>
      </w:r>
      <w:r w:rsidR="00D3197B" w:rsidRPr="009B5734">
        <w:rPr>
          <w:rFonts w:ascii="Times New Roman" w:hAnsi="Times New Roman" w:cs="Times New Roman"/>
          <w:noProof/>
          <w:sz w:val="24"/>
          <w:szCs w:val="24"/>
        </w:rPr>
        <w:t>. It could</w:t>
      </w:r>
      <w:r w:rsidR="004E09BB" w:rsidRPr="009B5734">
        <w:rPr>
          <w:rFonts w:ascii="Times New Roman" w:hAnsi="Times New Roman" w:cs="Times New Roman"/>
          <w:noProof/>
          <w:sz w:val="24"/>
          <w:szCs w:val="24"/>
        </w:rPr>
        <w:t>,</w:t>
      </w:r>
      <w:r w:rsidR="00D3197B" w:rsidRPr="009B5734">
        <w:rPr>
          <w:rFonts w:ascii="Times New Roman" w:hAnsi="Times New Roman" w:cs="Times New Roman"/>
          <w:noProof/>
          <w:sz w:val="24"/>
          <w:szCs w:val="24"/>
        </w:rPr>
        <w:t xml:space="preserve"> however</w:t>
      </w:r>
      <w:r w:rsidR="004E09BB" w:rsidRPr="009B5734">
        <w:rPr>
          <w:rFonts w:ascii="Times New Roman" w:hAnsi="Times New Roman" w:cs="Times New Roman"/>
          <w:noProof/>
          <w:sz w:val="24"/>
          <w:szCs w:val="24"/>
        </w:rPr>
        <w:t>,</w:t>
      </w:r>
      <w:r w:rsidR="00D3197B" w:rsidRPr="009B5734">
        <w:rPr>
          <w:rFonts w:ascii="Times New Roman" w:hAnsi="Times New Roman" w:cs="Times New Roman"/>
          <w:noProof/>
          <w:sz w:val="24"/>
          <w:szCs w:val="24"/>
        </w:rPr>
        <w:t xml:space="preserve"> become negative if each company decides on its </w:t>
      </w:r>
      <w:r w:rsidR="000618F0" w:rsidRPr="009B5734">
        <w:rPr>
          <w:rFonts w:ascii="Times New Roman" w:hAnsi="Times New Roman" w:cs="Times New Roman"/>
          <w:noProof/>
          <w:sz w:val="24"/>
          <w:szCs w:val="24"/>
        </w:rPr>
        <w:t xml:space="preserve">own </w:t>
      </w:r>
      <w:r w:rsidR="00D3197B" w:rsidRPr="009B5734">
        <w:rPr>
          <w:rFonts w:ascii="Times New Roman" w:hAnsi="Times New Roman" w:cs="Times New Roman"/>
          <w:noProof/>
          <w:sz w:val="24"/>
          <w:szCs w:val="24"/>
        </w:rPr>
        <w:t>methodology</w:t>
      </w:r>
      <w:r w:rsidR="007C0F05" w:rsidRPr="009B5734">
        <w:rPr>
          <w:rFonts w:ascii="Times New Roman" w:hAnsi="Times New Roman" w:cs="Times New Roman"/>
          <w:noProof/>
          <w:sz w:val="24"/>
          <w:szCs w:val="24"/>
        </w:rPr>
        <w:t>.</w:t>
      </w:r>
      <w:r w:rsidR="00E50037" w:rsidRPr="009B5734">
        <w:rPr>
          <w:rFonts w:ascii="Times New Roman" w:hAnsi="Times New Roman" w:cs="Times New Roman"/>
          <w:noProof/>
          <w:sz w:val="24"/>
          <w:szCs w:val="24"/>
        </w:rPr>
        <w:t xml:space="preserve"> </w:t>
      </w:r>
      <w:r w:rsidR="00747E39" w:rsidRPr="009B5734">
        <w:rPr>
          <w:rFonts w:ascii="Times New Roman" w:hAnsi="Times New Roman" w:cs="Times New Roman"/>
          <w:noProof/>
          <w:sz w:val="24"/>
          <w:szCs w:val="24"/>
        </w:rPr>
        <w:t xml:space="preserve">The availability of a </w:t>
      </w:r>
      <w:r w:rsidR="00747E39" w:rsidRPr="005D24D2">
        <w:rPr>
          <w:rFonts w:ascii="Times New Roman" w:hAnsi="Times New Roman" w:cs="Times New Roman"/>
          <w:b/>
          <w:bCs/>
          <w:noProof/>
          <w:sz w:val="24"/>
          <w:szCs w:val="24"/>
        </w:rPr>
        <w:t>c</w:t>
      </w:r>
      <w:r w:rsidR="00C9498E" w:rsidRPr="005D24D2">
        <w:rPr>
          <w:rFonts w:ascii="Times New Roman" w:hAnsi="Times New Roman" w:cs="Times New Roman"/>
          <w:b/>
          <w:bCs/>
          <w:noProof/>
          <w:sz w:val="24"/>
          <w:szCs w:val="24"/>
        </w:rPr>
        <w:t>ommercial</w:t>
      </w:r>
      <w:r w:rsidR="00C9498E" w:rsidRPr="005D24D2">
        <w:rPr>
          <w:rFonts w:ascii="Times New Roman" w:hAnsi="Times New Roman"/>
          <w:b/>
          <w:bCs/>
          <w:noProof/>
          <w:sz w:val="24"/>
          <w:szCs w:val="24"/>
        </w:rPr>
        <w:t xml:space="preserve"> guarantee</w:t>
      </w:r>
      <w:r w:rsidR="00C9498E" w:rsidRPr="005D24D2">
        <w:rPr>
          <w:rFonts w:ascii="Times New Roman" w:hAnsi="Times New Roman" w:cs="Times New Roman"/>
          <w:noProof/>
          <w:sz w:val="24"/>
          <w:szCs w:val="24"/>
        </w:rPr>
        <w:t xml:space="preserve"> </w:t>
      </w:r>
      <w:r w:rsidR="00747E39" w:rsidRPr="005D24D2">
        <w:rPr>
          <w:rFonts w:ascii="Times New Roman" w:hAnsi="Times New Roman" w:cs="Times New Roman"/>
          <w:noProof/>
          <w:sz w:val="24"/>
          <w:szCs w:val="24"/>
        </w:rPr>
        <w:t xml:space="preserve">of durability </w:t>
      </w:r>
      <w:r w:rsidR="00C9498E" w:rsidRPr="005D24D2">
        <w:rPr>
          <w:rFonts w:ascii="Times New Roman" w:hAnsi="Times New Roman" w:cs="Times New Roman"/>
          <w:noProof/>
          <w:sz w:val="24"/>
          <w:szCs w:val="24"/>
        </w:rPr>
        <w:t>signal</w:t>
      </w:r>
      <w:r w:rsidR="00747E39" w:rsidRPr="005D24D2">
        <w:rPr>
          <w:rFonts w:ascii="Times New Roman" w:hAnsi="Times New Roman" w:cs="Times New Roman"/>
          <w:noProof/>
          <w:sz w:val="24"/>
          <w:szCs w:val="24"/>
        </w:rPr>
        <w:t>s</w:t>
      </w:r>
      <w:r w:rsidR="00C9498E" w:rsidRPr="005D24D2">
        <w:rPr>
          <w:rFonts w:ascii="Times New Roman" w:hAnsi="Times New Roman" w:cs="Times New Roman"/>
          <w:noProof/>
          <w:sz w:val="24"/>
          <w:szCs w:val="24"/>
        </w:rPr>
        <w:t xml:space="preserve"> that the </w:t>
      </w:r>
      <w:r w:rsidR="00747E39" w:rsidRPr="005D24D2">
        <w:rPr>
          <w:rFonts w:ascii="Times New Roman" w:hAnsi="Times New Roman" w:cs="Times New Roman"/>
          <w:noProof/>
          <w:sz w:val="24"/>
          <w:szCs w:val="24"/>
        </w:rPr>
        <w:t xml:space="preserve">respective </w:t>
      </w:r>
      <w:r w:rsidR="00C9498E" w:rsidRPr="005D24D2">
        <w:rPr>
          <w:rFonts w:ascii="Times New Roman" w:hAnsi="Times New Roman" w:cs="Times New Roman"/>
          <w:noProof/>
          <w:sz w:val="24"/>
          <w:szCs w:val="24"/>
        </w:rPr>
        <w:t>product</w:t>
      </w:r>
      <w:r w:rsidR="00747E39" w:rsidRPr="005D24D2">
        <w:rPr>
          <w:rFonts w:ascii="Times New Roman" w:hAnsi="Times New Roman" w:cs="Times New Roman"/>
          <w:noProof/>
          <w:sz w:val="24"/>
          <w:szCs w:val="24"/>
        </w:rPr>
        <w:t xml:space="preserve"> is</w:t>
      </w:r>
      <w:r w:rsidR="00C9498E" w:rsidRPr="005D24D2">
        <w:rPr>
          <w:rFonts w:ascii="Times New Roman" w:hAnsi="Times New Roman" w:cs="Times New Roman"/>
          <w:noProof/>
          <w:sz w:val="24"/>
          <w:szCs w:val="24"/>
        </w:rPr>
        <w:t xml:space="preserve"> of high-quality and expected to last long</w:t>
      </w:r>
      <w:r w:rsidR="00747E39" w:rsidRPr="005D24D2">
        <w:rPr>
          <w:rFonts w:ascii="Times New Roman" w:hAnsi="Times New Roman" w:cs="Times New Roman"/>
          <w:noProof/>
          <w:sz w:val="24"/>
          <w:szCs w:val="24"/>
        </w:rPr>
        <w:t>er</w:t>
      </w:r>
      <w:r w:rsidR="00C9498E" w:rsidRPr="005D24D2">
        <w:rPr>
          <w:rFonts w:ascii="Times New Roman" w:hAnsi="Times New Roman" w:cs="Times New Roman"/>
          <w:noProof/>
          <w:sz w:val="24"/>
          <w:szCs w:val="24"/>
        </w:rPr>
        <w:t xml:space="preserve">. The provision of information about the </w:t>
      </w:r>
      <w:r w:rsidR="00C9498E" w:rsidRPr="005D24D2">
        <w:rPr>
          <w:rFonts w:ascii="Times New Roman" w:hAnsi="Times New Roman" w:cs="Times New Roman"/>
          <w:b/>
          <w:bCs/>
          <w:noProof/>
          <w:sz w:val="24"/>
          <w:szCs w:val="24"/>
        </w:rPr>
        <w:t xml:space="preserve">existence and length of </w:t>
      </w:r>
      <w:r w:rsidR="00747E39" w:rsidRPr="005D24D2">
        <w:rPr>
          <w:rFonts w:ascii="Times New Roman" w:hAnsi="Times New Roman" w:cs="Times New Roman"/>
          <w:b/>
          <w:bCs/>
          <w:noProof/>
          <w:sz w:val="24"/>
          <w:szCs w:val="24"/>
        </w:rPr>
        <w:t xml:space="preserve">the </w:t>
      </w:r>
      <w:r w:rsidR="00C9498E" w:rsidRPr="005D24D2">
        <w:rPr>
          <w:rFonts w:ascii="Times New Roman" w:hAnsi="Times New Roman" w:cs="Times New Roman"/>
          <w:b/>
          <w:bCs/>
          <w:noProof/>
          <w:sz w:val="24"/>
          <w:szCs w:val="24"/>
        </w:rPr>
        <w:t>commercial guarantee</w:t>
      </w:r>
      <w:r w:rsidR="00747E39" w:rsidRPr="005D24D2">
        <w:rPr>
          <w:rFonts w:ascii="Times New Roman" w:hAnsi="Times New Roman" w:cs="Times New Roman"/>
          <w:b/>
          <w:bCs/>
          <w:noProof/>
          <w:sz w:val="24"/>
          <w:szCs w:val="24"/>
        </w:rPr>
        <w:t xml:space="preserve"> of durability</w:t>
      </w:r>
      <w:r w:rsidR="00F710B3" w:rsidRPr="005D24D2">
        <w:rPr>
          <w:rFonts w:ascii="Times New Roman" w:hAnsi="Times New Roman" w:cs="Times New Roman"/>
          <w:b/>
          <w:bCs/>
          <w:noProof/>
          <w:sz w:val="24"/>
          <w:szCs w:val="24"/>
        </w:rPr>
        <w:t xml:space="preserve"> </w:t>
      </w:r>
      <w:r w:rsidR="00F710B3" w:rsidRPr="005D24D2">
        <w:rPr>
          <w:rFonts w:ascii="Times New Roman" w:hAnsi="Times New Roman" w:cs="Times New Roman"/>
          <w:noProof/>
          <w:sz w:val="24"/>
          <w:szCs w:val="24"/>
        </w:rPr>
        <w:t>as considered</w:t>
      </w:r>
      <w:r w:rsidR="00F710B3" w:rsidRPr="005D24D2">
        <w:rPr>
          <w:rFonts w:ascii="Times New Roman" w:hAnsi="Times New Roman"/>
          <w:b/>
          <w:bCs/>
          <w:noProof/>
          <w:sz w:val="24"/>
          <w:szCs w:val="24"/>
        </w:rPr>
        <w:t xml:space="preserve"> in</w:t>
      </w:r>
      <w:r w:rsidR="00F710B3" w:rsidRPr="005D24D2">
        <w:rPr>
          <w:rFonts w:ascii="Times New Roman" w:hAnsi="Times New Roman" w:cs="Times New Roman"/>
          <w:b/>
          <w:bCs/>
          <w:noProof/>
          <w:sz w:val="24"/>
          <w:szCs w:val="24"/>
        </w:rPr>
        <w:t xml:space="preserve"> option 1.2.B</w:t>
      </w:r>
      <w:r w:rsidR="00C9498E" w:rsidRPr="005D24D2">
        <w:rPr>
          <w:rFonts w:ascii="Times New Roman" w:hAnsi="Times New Roman" w:cs="Times New Roman"/>
          <w:b/>
          <w:bCs/>
          <w:noProof/>
          <w:sz w:val="24"/>
          <w:szCs w:val="24"/>
        </w:rPr>
        <w:t xml:space="preserve"> </w:t>
      </w:r>
      <w:r w:rsidR="00F710B3" w:rsidRPr="005D24D2">
        <w:rPr>
          <w:rFonts w:ascii="Times New Roman" w:hAnsi="Times New Roman" w:cs="Times New Roman"/>
          <w:noProof/>
          <w:sz w:val="24"/>
          <w:szCs w:val="24"/>
        </w:rPr>
        <w:t>would avoid the technical challenge posed by the previous option of needing to assess the expected lifespan of a product, while serving</w:t>
      </w:r>
      <w:r w:rsidR="00F710B3" w:rsidRPr="005D24D2">
        <w:rPr>
          <w:rFonts w:ascii="Times New Roman" w:hAnsi="Times New Roman"/>
          <w:noProof/>
          <w:sz w:val="24"/>
          <w:szCs w:val="24"/>
        </w:rPr>
        <w:t xml:space="preserve"> </w:t>
      </w:r>
      <w:r w:rsidR="00C9498E" w:rsidRPr="005D24D2">
        <w:rPr>
          <w:rFonts w:ascii="Times New Roman" w:hAnsi="Times New Roman"/>
          <w:noProof/>
          <w:sz w:val="24"/>
          <w:szCs w:val="24"/>
        </w:rPr>
        <w:t>as an</w:t>
      </w:r>
      <w:r w:rsidR="00C9498E" w:rsidRPr="005D24D2">
        <w:rPr>
          <w:rFonts w:ascii="Times New Roman" w:hAnsi="Times New Roman" w:cs="Times New Roman"/>
          <w:b/>
          <w:bCs/>
          <w:noProof/>
          <w:sz w:val="24"/>
          <w:szCs w:val="24"/>
        </w:rPr>
        <w:t xml:space="preserve"> excellent proxy for consumers</w:t>
      </w:r>
      <w:r w:rsidR="00C9498E" w:rsidRPr="005D24D2">
        <w:rPr>
          <w:rFonts w:ascii="Times New Roman" w:hAnsi="Times New Roman" w:cs="Times New Roman"/>
          <w:noProof/>
          <w:sz w:val="24"/>
          <w:szCs w:val="24"/>
        </w:rPr>
        <w:t xml:space="preserve"> to identify which products are expected to have a longer lifespan.</w:t>
      </w:r>
      <w:r w:rsidR="00F710B3" w:rsidRPr="005D24D2">
        <w:rPr>
          <w:rFonts w:ascii="Times New Roman" w:hAnsi="Times New Roman" w:cs="Times New Roman"/>
          <w:noProof/>
          <w:sz w:val="24"/>
          <w:szCs w:val="24"/>
        </w:rPr>
        <w:t xml:space="preserve"> This would avoid the technical </w:t>
      </w:r>
      <w:r w:rsidR="00805BC4" w:rsidRPr="005D24D2">
        <w:rPr>
          <w:rFonts w:ascii="Times New Roman" w:hAnsi="Times New Roman" w:cs="Times New Roman"/>
          <w:noProof/>
          <w:sz w:val="24"/>
          <w:szCs w:val="24"/>
        </w:rPr>
        <w:t xml:space="preserve">and methodological </w:t>
      </w:r>
      <w:r w:rsidR="00F710B3" w:rsidRPr="005D24D2">
        <w:rPr>
          <w:rFonts w:ascii="Times New Roman" w:hAnsi="Times New Roman" w:cs="Times New Roman"/>
          <w:noProof/>
          <w:sz w:val="24"/>
          <w:szCs w:val="24"/>
        </w:rPr>
        <w:t>challenge</w:t>
      </w:r>
      <w:r w:rsidR="00805BC4" w:rsidRPr="005D24D2">
        <w:rPr>
          <w:rFonts w:ascii="Times New Roman" w:hAnsi="Times New Roman" w:cs="Times New Roman"/>
          <w:noProof/>
          <w:sz w:val="24"/>
          <w:szCs w:val="24"/>
        </w:rPr>
        <w:t>s</w:t>
      </w:r>
      <w:r w:rsidR="00F710B3" w:rsidRPr="005D24D2">
        <w:rPr>
          <w:rFonts w:ascii="Times New Roman" w:hAnsi="Times New Roman" w:cs="Times New Roman"/>
          <w:noProof/>
          <w:sz w:val="24"/>
          <w:szCs w:val="24"/>
        </w:rPr>
        <w:t xml:space="preserve"> posed by the previous option of needing to assess the expected lifespan of a product.</w:t>
      </w:r>
      <w:r w:rsidR="00C9498E" w:rsidRPr="005D24D2">
        <w:rPr>
          <w:rFonts w:ascii="Times New Roman" w:hAnsi="Times New Roman" w:cs="Times New Roman"/>
          <w:noProof/>
          <w:sz w:val="24"/>
          <w:szCs w:val="24"/>
        </w:rPr>
        <w:t xml:space="preserve"> Simulations carried out for the purpose of this Impact Assessment show that, in the medium term, the share of products covered by commercial guarantees and the duration of the commercial guarantees will increase as a result of the option. </w:t>
      </w:r>
      <w:r w:rsidR="00C9498E" w:rsidRPr="009B5734">
        <w:rPr>
          <w:rFonts w:ascii="Times New Roman" w:hAnsi="Times New Roman" w:cs="Times New Roman"/>
          <w:noProof/>
          <w:sz w:val="24"/>
          <w:szCs w:val="24"/>
        </w:rPr>
        <w:t xml:space="preserve">The option is estimated to bring an increase of monetisable </w:t>
      </w:r>
      <w:r w:rsidR="00C9498E" w:rsidRPr="005D24D2">
        <w:rPr>
          <w:rFonts w:ascii="Times New Roman" w:hAnsi="Times New Roman" w:cs="Times New Roman"/>
          <w:b/>
          <w:bCs/>
          <w:noProof/>
          <w:sz w:val="24"/>
          <w:szCs w:val="24"/>
        </w:rPr>
        <w:t xml:space="preserve">consumer welfare of EUR </w:t>
      </w:r>
      <w:r w:rsidR="001E0F75" w:rsidRPr="005D24D2">
        <w:rPr>
          <w:rFonts w:ascii="Times New Roman" w:hAnsi="Times New Roman" w:cs="Times New Roman"/>
          <w:b/>
          <w:bCs/>
          <w:noProof/>
          <w:sz w:val="24"/>
          <w:szCs w:val="24"/>
        </w:rPr>
        <w:t xml:space="preserve">1 775 </w:t>
      </w:r>
      <w:r w:rsidR="00C9498E" w:rsidRPr="005D24D2">
        <w:rPr>
          <w:rFonts w:ascii="Times New Roman" w:hAnsi="Times New Roman" w:cs="Times New Roman"/>
          <w:b/>
          <w:bCs/>
          <w:noProof/>
          <w:sz w:val="24"/>
          <w:szCs w:val="24"/>
        </w:rPr>
        <w:t xml:space="preserve">– </w:t>
      </w:r>
      <w:r w:rsidR="00284B5B" w:rsidRPr="005D24D2">
        <w:rPr>
          <w:rFonts w:ascii="Times New Roman" w:hAnsi="Times New Roman" w:cs="Times New Roman"/>
          <w:b/>
          <w:bCs/>
          <w:noProof/>
          <w:sz w:val="24"/>
          <w:szCs w:val="24"/>
        </w:rPr>
        <w:t xml:space="preserve">2 </w:t>
      </w:r>
      <w:r w:rsidR="001E0F75" w:rsidRPr="005D24D2">
        <w:rPr>
          <w:rFonts w:ascii="Times New Roman" w:hAnsi="Times New Roman" w:cs="Times New Roman"/>
          <w:b/>
          <w:bCs/>
          <w:noProof/>
          <w:sz w:val="24"/>
          <w:szCs w:val="24"/>
        </w:rPr>
        <w:t xml:space="preserve">465 </w:t>
      </w:r>
      <w:r w:rsidR="00C9498E" w:rsidRPr="005D24D2">
        <w:rPr>
          <w:rFonts w:ascii="Times New Roman" w:hAnsi="Times New Roman" w:cs="Times New Roman"/>
          <w:b/>
          <w:bCs/>
          <w:noProof/>
          <w:sz w:val="24"/>
          <w:szCs w:val="24"/>
        </w:rPr>
        <w:t>million</w:t>
      </w:r>
      <w:r w:rsidR="00C9498E" w:rsidRPr="009B5734">
        <w:rPr>
          <w:rFonts w:ascii="Times New Roman" w:hAnsi="Times New Roman" w:cs="Times New Roman"/>
          <w:noProof/>
          <w:sz w:val="24"/>
          <w:szCs w:val="24"/>
        </w:rPr>
        <w:t xml:space="preserve"> for the period 2025-2040</w:t>
      </w:r>
      <w:r w:rsidR="003E1B8F">
        <w:rPr>
          <w:rFonts w:ascii="Times New Roman" w:hAnsi="Times New Roman" w:cs="Times New Roman"/>
          <w:noProof/>
          <w:sz w:val="24"/>
          <w:szCs w:val="24"/>
        </w:rPr>
        <w:t xml:space="preserve"> (or </w:t>
      </w:r>
      <w:r w:rsidR="003E1B8F" w:rsidRPr="0052518E">
        <w:rPr>
          <w:rFonts w:ascii="Times New Roman" w:hAnsi="Times New Roman" w:cs="Times New Roman"/>
          <w:b/>
          <w:noProof/>
          <w:sz w:val="24"/>
          <w:szCs w:val="24"/>
        </w:rPr>
        <w:t>EUR 118 – 164 million per year</w:t>
      </w:r>
      <w:r w:rsidR="003E1B8F">
        <w:rPr>
          <w:rFonts w:ascii="Times New Roman" w:hAnsi="Times New Roman" w:cs="Times New Roman"/>
          <w:noProof/>
          <w:sz w:val="24"/>
          <w:szCs w:val="24"/>
        </w:rPr>
        <w:t>)</w:t>
      </w:r>
      <w:r w:rsidR="00C9498E" w:rsidRPr="009B5734">
        <w:rPr>
          <w:rFonts w:ascii="Times New Roman" w:hAnsi="Times New Roman" w:cs="Times New Roman"/>
          <w:noProof/>
          <w:sz w:val="24"/>
          <w:szCs w:val="24"/>
        </w:rPr>
        <w:t xml:space="preserve">. </w:t>
      </w:r>
      <w:r w:rsidR="00C9498E" w:rsidRPr="005D24D2">
        <w:rPr>
          <w:rFonts w:ascii="Times New Roman" w:hAnsi="Times New Roman" w:cs="Times New Roman"/>
          <w:b/>
          <w:bCs/>
          <w:noProof/>
          <w:sz w:val="24"/>
          <w:szCs w:val="24"/>
        </w:rPr>
        <w:t>Option 1.2.C</w:t>
      </w:r>
      <w:r w:rsidR="00844F25" w:rsidRPr="005D24D2">
        <w:rPr>
          <w:rFonts w:ascii="Times New Roman" w:hAnsi="Times New Roman" w:cs="Times New Roman"/>
          <w:b/>
          <w:bCs/>
          <w:noProof/>
          <w:sz w:val="24"/>
          <w:szCs w:val="24"/>
        </w:rPr>
        <w:t xml:space="preserve">, </w:t>
      </w:r>
      <w:r w:rsidR="00844F25" w:rsidRPr="009B5734">
        <w:rPr>
          <w:rFonts w:ascii="Times New Roman" w:hAnsi="Times New Roman" w:cs="Times New Roman"/>
          <w:noProof/>
          <w:sz w:val="24"/>
          <w:szCs w:val="24"/>
        </w:rPr>
        <w:t>namely option 1.2.B plus the obligation to inform consumers on the period of time during which free software updates will be provided, would</w:t>
      </w:r>
      <w:r w:rsidR="00C9498E" w:rsidRPr="009B5734">
        <w:rPr>
          <w:rFonts w:ascii="Times New Roman" w:hAnsi="Times New Roman" w:cs="Times New Roman"/>
          <w:noProof/>
          <w:sz w:val="24"/>
          <w:szCs w:val="24"/>
        </w:rPr>
        <w:t xml:space="preserve"> (in addition to the impacts described for option 1.2.B) allow consumers to identify which products </w:t>
      </w:r>
      <w:r w:rsidR="00C9498E" w:rsidRPr="005D24D2">
        <w:rPr>
          <w:rFonts w:ascii="Times New Roman" w:hAnsi="Times New Roman" w:cs="Times New Roman"/>
          <w:b/>
          <w:bCs/>
          <w:noProof/>
          <w:sz w:val="24"/>
          <w:szCs w:val="24"/>
        </w:rPr>
        <w:t>offer better conditions in terms of availability of software updates</w:t>
      </w:r>
      <w:r w:rsidR="00C9498E" w:rsidRPr="009B5734">
        <w:rPr>
          <w:rFonts w:ascii="Times New Roman" w:hAnsi="Times New Roman" w:cs="Times New Roman"/>
          <w:noProof/>
          <w:sz w:val="24"/>
          <w:szCs w:val="24"/>
        </w:rPr>
        <w:t xml:space="preserve"> and therefore improve their decision-making process. </w:t>
      </w:r>
      <w:r w:rsidR="00805BC4" w:rsidRPr="009B5734">
        <w:rPr>
          <w:rFonts w:ascii="Times New Roman" w:hAnsi="Times New Roman" w:cs="Times New Roman"/>
          <w:noProof/>
          <w:sz w:val="24"/>
          <w:szCs w:val="24"/>
        </w:rPr>
        <w:t xml:space="preserve">This would be complementary to the seller’s obligations under the Sale of Goods Directive to supply the consumer with software updates for a period of time which the consumer might reasonably expect so as to ensure that the product remains in conformity. </w:t>
      </w:r>
      <w:r w:rsidR="00C9498E" w:rsidRPr="009B5734">
        <w:rPr>
          <w:rFonts w:ascii="Times New Roman" w:hAnsi="Times New Roman" w:cs="Times New Roman"/>
          <w:noProof/>
          <w:sz w:val="24"/>
          <w:szCs w:val="24"/>
        </w:rPr>
        <w:t xml:space="preserve">Under this option, consumers will experience a “gain”, which according to the partial calculations carried out by the supporting study is likely to be around </w:t>
      </w:r>
      <w:r w:rsidR="00C9498E" w:rsidRPr="005D24D2">
        <w:rPr>
          <w:rFonts w:ascii="Times New Roman" w:hAnsi="Times New Roman" w:cs="Times New Roman"/>
          <w:b/>
          <w:bCs/>
          <w:noProof/>
          <w:sz w:val="24"/>
          <w:szCs w:val="24"/>
        </w:rPr>
        <w:t xml:space="preserve">EUR </w:t>
      </w:r>
      <w:r w:rsidR="001E0F75" w:rsidRPr="005D24D2">
        <w:rPr>
          <w:rFonts w:ascii="Times New Roman" w:hAnsi="Times New Roman" w:cs="Times New Roman"/>
          <w:b/>
          <w:bCs/>
          <w:noProof/>
          <w:sz w:val="24"/>
          <w:szCs w:val="24"/>
        </w:rPr>
        <w:t>2 355</w:t>
      </w:r>
      <w:r w:rsidR="00C9498E" w:rsidRPr="005D24D2">
        <w:rPr>
          <w:rFonts w:ascii="Times New Roman" w:hAnsi="Times New Roman" w:cs="Times New Roman"/>
          <w:b/>
          <w:bCs/>
          <w:noProof/>
          <w:sz w:val="24"/>
          <w:szCs w:val="24"/>
        </w:rPr>
        <w:t xml:space="preserve"> – </w:t>
      </w:r>
      <w:r w:rsidR="001E0F75" w:rsidRPr="005D24D2">
        <w:rPr>
          <w:rFonts w:ascii="Times New Roman" w:hAnsi="Times New Roman" w:cs="Times New Roman"/>
          <w:b/>
          <w:bCs/>
          <w:noProof/>
          <w:sz w:val="24"/>
          <w:szCs w:val="24"/>
        </w:rPr>
        <w:t xml:space="preserve">3 555 </w:t>
      </w:r>
      <w:r w:rsidR="00C9498E" w:rsidRPr="005D24D2">
        <w:rPr>
          <w:rFonts w:ascii="Times New Roman" w:hAnsi="Times New Roman" w:cs="Times New Roman"/>
          <w:b/>
          <w:bCs/>
          <w:noProof/>
          <w:sz w:val="24"/>
          <w:szCs w:val="24"/>
        </w:rPr>
        <w:t>million for the period 2025-2040</w:t>
      </w:r>
      <w:r w:rsidR="0052518E">
        <w:rPr>
          <w:rFonts w:ascii="Times New Roman" w:hAnsi="Times New Roman" w:cs="Times New Roman"/>
          <w:b/>
          <w:bCs/>
          <w:noProof/>
          <w:sz w:val="24"/>
          <w:szCs w:val="24"/>
        </w:rPr>
        <w:t xml:space="preserve"> (</w:t>
      </w:r>
      <w:r w:rsidR="0052518E" w:rsidRPr="0052518E">
        <w:rPr>
          <w:rFonts w:ascii="Times New Roman" w:hAnsi="Times New Roman" w:cs="Times New Roman"/>
          <w:bCs/>
          <w:noProof/>
          <w:sz w:val="24"/>
          <w:szCs w:val="24"/>
        </w:rPr>
        <w:t xml:space="preserve">or </w:t>
      </w:r>
      <w:r w:rsidR="0052518E">
        <w:rPr>
          <w:rFonts w:ascii="Times New Roman" w:hAnsi="Times New Roman" w:cs="Times New Roman"/>
          <w:b/>
          <w:bCs/>
          <w:noProof/>
          <w:sz w:val="24"/>
          <w:szCs w:val="24"/>
        </w:rPr>
        <w:t>EUR 157 – 237 million per year)</w:t>
      </w:r>
      <w:r w:rsidR="00C9498E" w:rsidRPr="009B5734">
        <w:rPr>
          <w:rFonts w:ascii="Times New Roman" w:hAnsi="Times New Roman" w:cs="Times New Roman"/>
          <w:noProof/>
          <w:sz w:val="24"/>
          <w:szCs w:val="24"/>
        </w:rPr>
        <w:t>. To address possible information overload, this information on software updates should be only provided in absence of a commercial guarantee of durability (which will cover software updates), unless the software updates are provided for a longer time than the commercial guarantee of durabil</w:t>
      </w:r>
      <w:r w:rsidR="000618F0" w:rsidRPr="009B5734">
        <w:rPr>
          <w:rFonts w:ascii="Times New Roman" w:hAnsi="Times New Roman" w:cs="Times New Roman"/>
          <w:noProof/>
          <w:sz w:val="24"/>
          <w:szCs w:val="24"/>
        </w:rPr>
        <w:t>i</w:t>
      </w:r>
      <w:r w:rsidR="00C9498E" w:rsidRPr="009B5734">
        <w:rPr>
          <w:rFonts w:ascii="Times New Roman" w:hAnsi="Times New Roman" w:cs="Times New Roman"/>
          <w:noProof/>
          <w:sz w:val="24"/>
          <w:szCs w:val="24"/>
        </w:rPr>
        <w:t>ty.</w:t>
      </w:r>
    </w:p>
    <w:p w:rsidR="0046415F" w:rsidRPr="009B5734" w:rsidRDefault="0046415F" w:rsidP="0046415F">
      <w:pPr>
        <w:ind w:left="0" w:firstLine="0"/>
        <w:rPr>
          <w:noProof/>
        </w:rPr>
      </w:pPr>
    </w:p>
    <w:p w:rsidR="008B6B70" w:rsidRPr="009B5734" w:rsidRDefault="008B6B70" w:rsidP="0046415F">
      <w:pPr>
        <w:ind w:left="0" w:firstLine="0"/>
        <w:rPr>
          <w:i/>
          <w:noProof/>
        </w:rPr>
      </w:pPr>
      <w:r w:rsidRPr="009B5734">
        <w:rPr>
          <w:rFonts w:ascii="Times New Roman" w:hAnsi="Times New Roman" w:cs="Times New Roman"/>
          <w:i/>
          <w:noProof/>
          <w:sz w:val="24"/>
        </w:rPr>
        <w:t>Impacts on businesses:</w:t>
      </w:r>
    </w:p>
    <w:p w:rsidR="002D2416" w:rsidRPr="009B5734" w:rsidRDefault="00E50037" w:rsidP="0046415F">
      <w:pPr>
        <w:pStyle w:val="Text2"/>
        <w:spacing w:after="0"/>
        <w:ind w:left="0" w:firstLine="0"/>
        <w:rPr>
          <w:b/>
          <w:noProof/>
        </w:rPr>
      </w:pPr>
      <w:r w:rsidRPr="009B5734">
        <w:rPr>
          <w:b/>
          <w:noProof/>
        </w:rPr>
        <w:t>Option</w:t>
      </w:r>
      <w:r w:rsidR="00C9498E" w:rsidRPr="009B5734">
        <w:rPr>
          <w:b/>
          <w:noProof/>
        </w:rPr>
        <w:t xml:space="preserve"> 1.2.A</w:t>
      </w:r>
      <w:r w:rsidR="001B6061" w:rsidRPr="009B5734">
        <w:rPr>
          <w:noProof/>
        </w:rPr>
        <w:t xml:space="preserve"> </w:t>
      </w:r>
      <w:r w:rsidR="008B6B70" w:rsidRPr="009B5734">
        <w:rPr>
          <w:noProof/>
        </w:rPr>
        <w:t xml:space="preserve">will have </w:t>
      </w:r>
      <w:r w:rsidR="001B6061" w:rsidRPr="009B5734">
        <w:rPr>
          <w:noProof/>
        </w:rPr>
        <w:t>a</w:t>
      </w:r>
      <w:r w:rsidR="008B6B70" w:rsidRPr="009B5734">
        <w:rPr>
          <w:noProof/>
        </w:rPr>
        <w:t xml:space="preserve"> significant administrative burden on businesses, related to the production of new data to be able to provide information on the expected lifespan of products and</w:t>
      </w:r>
      <w:r w:rsidR="004E09BB" w:rsidRPr="009B5734">
        <w:rPr>
          <w:noProof/>
        </w:rPr>
        <w:t>,</w:t>
      </w:r>
      <w:r w:rsidR="008B6B70" w:rsidRPr="009B5734">
        <w:rPr>
          <w:noProof/>
        </w:rPr>
        <w:t xml:space="preserve"> to a lesser extent</w:t>
      </w:r>
      <w:r w:rsidR="004E09BB" w:rsidRPr="009B5734">
        <w:rPr>
          <w:noProof/>
        </w:rPr>
        <w:t>,</w:t>
      </w:r>
      <w:r w:rsidR="008B6B70" w:rsidRPr="009B5734">
        <w:rPr>
          <w:noProof/>
        </w:rPr>
        <w:t xml:space="preserve"> the tagging of the product. Business organisations have pointed to the </w:t>
      </w:r>
      <w:r w:rsidR="008B6B70" w:rsidRPr="009B5734">
        <w:rPr>
          <w:b/>
          <w:noProof/>
        </w:rPr>
        <w:t>high cost</w:t>
      </w:r>
      <w:r w:rsidR="008B6B70" w:rsidRPr="009B5734">
        <w:rPr>
          <w:noProof/>
        </w:rPr>
        <w:t xml:space="preserve"> of this obligation during the consultation phase. While the obligation is on the </w:t>
      </w:r>
      <w:r w:rsidR="00051D8E" w:rsidRPr="009B5734">
        <w:rPr>
          <w:noProof/>
        </w:rPr>
        <w:t>seller</w:t>
      </w:r>
      <w:r w:rsidR="008B6B70" w:rsidRPr="009B5734">
        <w:rPr>
          <w:noProof/>
        </w:rPr>
        <w:t xml:space="preserve">, </w:t>
      </w:r>
      <w:r w:rsidR="00346365" w:rsidRPr="009B5734">
        <w:rPr>
          <w:noProof/>
        </w:rPr>
        <w:t xml:space="preserve">it is </w:t>
      </w:r>
      <w:r w:rsidR="008B6B70" w:rsidRPr="009B5734">
        <w:rPr>
          <w:noProof/>
        </w:rPr>
        <w:t>assume</w:t>
      </w:r>
      <w:r w:rsidR="00346365" w:rsidRPr="009B5734">
        <w:rPr>
          <w:noProof/>
        </w:rPr>
        <w:t>d</w:t>
      </w:r>
      <w:r w:rsidR="008B6B70" w:rsidRPr="009B5734">
        <w:rPr>
          <w:noProof/>
        </w:rPr>
        <w:t xml:space="preserve"> that </w:t>
      </w:r>
      <w:r w:rsidR="00346365" w:rsidRPr="009B5734">
        <w:rPr>
          <w:noProof/>
        </w:rPr>
        <w:t xml:space="preserve">the </w:t>
      </w:r>
      <w:r w:rsidR="00051D8E" w:rsidRPr="009B5734">
        <w:rPr>
          <w:noProof/>
        </w:rPr>
        <w:t xml:space="preserve">seller </w:t>
      </w:r>
      <w:r w:rsidR="008B6B70" w:rsidRPr="009B5734">
        <w:rPr>
          <w:noProof/>
        </w:rPr>
        <w:t xml:space="preserve">will request this information from manufacturers. </w:t>
      </w:r>
      <w:r w:rsidR="00653B92" w:rsidRPr="009B5734">
        <w:rPr>
          <w:noProof/>
        </w:rPr>
        <w:t xml:space="preserve">These extra costs are estimated to amount to </w:t>
      </w:r>
      <w:r w:rsidR="00653B92" w:rsidRPr="009B5734">
        <w:rPr>
          <w:b/>
          <w:noProof/>
        </w:rPr>
        <w:t xml:space="preserve">EUR </w:t>
      </w:r>
      <w:r w:rsidR="00BF01C2" w:rsidRPr="009B5734">
        <w:rPr>
          <w:b/>
          <w:noProof/>
        </w:rPr>
        <w:t>2</w:t>
      </w:r>
      <w:r w:rsidR="00653B92" w:rsidRPr="009B5734">
        <w:rPr>
          <w:b/>
          <w:noProof/>
        </w:rPr>
        <w:t xml:space="preserve"> </w:t>
      </w:r>
      <w:r w:rsidR="001E0F75" w:rsidRPr="009B5734">
        <w:rPr>
          <w:b/>
          <w:noProof/>
        </w:rPr>
        <w:t xml:space="preserve">435 </w:t>
      </w:r>
      <w:r w:rsidR="00653B92" w:rsidRPr="009B5734">
        <w:rPr>
          <w:b/>
          <w:noProof/>
        </w:rPr>
        <w:t xml:space="preserve">– </w:t>
      </w:r>
      <w:r w:rsidR="001E0F75" w:rsidRPr="009B5734">
        <w:rPr>
          <w:b/>
          <w:noProof/>
        </w:rPr>
        <w:t xml:space="preserve">2 680 </w:t>
      </w:r>
      <w:r w:rsidR="00653B92" w:rsidRPr="009B5734">
        <w:rPr>
          <w:b/>
          <w:noProof/>
        </w:rPr>
        <w:t>million</w:t>
      </w:r>
      <w:r w:rsidR="00653B92" w:rsidRPr="009B5734">
        <w:rPr>
          <w:noProof/>
        </w:rPr>
        <w:t xml:space="preserve"> for the period 202</w:t>
      </w:r>
      <w:r w:rsidR="00BF01C2" w:rsidRPr="009B5734">
        <w:rPr>
          <w:noProof/>
        </w:rPr>
        <w:t>5</w:t>
      </w:r>
      <w:r w:rsidR="00653B92" w:rsidRPr="009B5734">
        <w:rPr>
          <w:noProof/>
        </w:rPr>
        <w:t>-20</w:t>
      </w:r>
      <w:r w:rsidR="00BF01C2" w:rsidRPr="009B5734">
        <w:rPr>
          <w:noProof/>
        </w:rPr>
        <w:t>4</w:t>
      </w:r>
      <w:r w:rsidR="00653B92" w:rsidRPr="009B5734">
        <w:rPr>
          <w:noProof/>
        </w:rPr>
        <w:t>0</w:t>
      </w:r>
      <w:r w:rsidR="0052518E">
        <w:rPr>
          <w:noProof/>
        </w:rPr>
        <w:t xml:space="preserve"> (or </w:t>
      </w:r>
      <w:r w:rsidR="0052518E" w:rsidRPr="0052518E">
        <w:rPr>
          <w:b/>
          <w:noProof/>
        </w:rPr>
        <w:t>EUR 162 – 179 million per year</w:t>
      </w:r>
      <w:r w:rsidR="0052518E">
        <w:rPr>
          <w:noProof/>
        </w:rPr>
        <w:t>)</w:t>
      </w:r>
      <w:r w:rsidR="00653B92" w:rsidRPr="009B5734">
        <w:rPr>
          <w:noProof/>
        </w:rPr>
        <w:t>.</w:t>
      </w:r>
      <w:r w:rsidRPr="009B5734">
        <w:rPr>
          <w:noProof/>
        </w:rPr>
        <w:t xml:space="preserve"> </w:t>
      </w:r>
      <w:r w:rsidRPr="009B5734">
        <w:rPr>
          <w:b/>
          <w:noProof/>
        </w:rPr>
        <w:t>O</w:t>
      </w:r>
      <w:r w:rsidR="00C9498E" w:rsidRPr="009B5734">
        <w:rPr>
          <w:b/>
          <w:noProof/>
        </w:rPr>
        <w:t>ption</w:t>
      </w:r>
      <w:r w:rsidRPr="009B5734">
        <w:rPr>
          <w:b/>
          <w:noProof/>
        </w:rPr>
        <w:t xml:space="preserve"> 1.2.B</w:t>
      </w:r>
      <w:r w:rsidR="00C9498E" w:rsidRPr="009B5734">
        <w:rPr>
          <w:noProof/>
        </w:rPr>
        <w:t xml:space="preserve"> will impose relatively high one-off administrative burdens on businesses, primarily sellers, mostly related to adapting systems, procedures and existing data (e.g. updating websites) and to replacing price tags in physical shops (e.g. on shelves). However, it will have </w:t>
      </w:r>
      <w:r w:rsidR="00C9498E" w:rsidRPr="009B5734">
        <w:rPr>
          <w:b/>
          <w:noProof/>
        </w:rPr>
        <w:t>low recurrent administrative burdens as the activities necessary to provide the information</w:t>
      </w:r>
      <w:r w:rsidR="00C9498E" w:rsidRPr="009B5734">
        <w:rPr>
          <w:noProof/>
        </w:rPr>
        <w:t xml:space="preserve"> would have been carried out in a business-as-usual scenario. These extra costs are estimated to be </w:t>
      </w:r>
      <w:r w:rsidR="00C9498E" w:rsidRPr="009B5734">
        <w:rPr>
          <w:b/>
          <w:noProof/>
        </w:rPr>
        <w:t xml:space="preserve">between EUR </w:t>
      </w:r>
      <w:r w:rsidR="001E0F75" w:rsidRPr="009B5734">
        <w:rPr>
          <w:b/>
          <w:noProof/>
        </w:rPr>
        <w:t>890</w:t>
      </w:r>
      <w:r w:rsidR="00C9498E" w:rsidRPr="009B5734">
        <w:rPr>
          <w:b/>
          <w:noProof/>
        </w:rPr>
        <w:t xml:space="preserve"> – 1 </w:t>
      </w:r>
      <w:r w:rsidR="001E0F75" w:rsidRPr="009B5734">
        <w:rPr>
          <w:b/>
          <w:noProof/>
        </w:rPr>
        <w:t xml:space="preserve">065 </w:t>
      </w:r>
      <w:r w:rsidR="00C9498E" w:rsidRPr="009B5734">
        <w:rPr>
          <w:b/>
          <w:noProof/>
        </w:rPr>
        <w:t>million for the period 2025-2040</w:t>
      </w:r>
      <w:r w:rsidRPr="009B5734">
        <w:rPr>
          <w:noProof/>
        </w:rPr>
        <w:t xml:space="preserve"> </w:t>
      </w:r>
      <w:r w:rsidR="0052518E">
        <w:rPr>
          <w:noProof/>
        </w:rPr>
        <w:t xml:space="preserve">(or </w:t>
      </w:r>
      <w:r w:rsidR="0052518E" w:rsidRPr="0052518E">
        <w:rPr>
          <w:b/>
          <w:noProof/>
        </w:rPr>
        <w:t>EUR 59 – 71 million per year</w:t>
      </w:r>
      <w:r w:rsidR="0052518E">
        <w:rPr>
          <w:noProof/>
        </w:rPr>
        <w:t xml:space="preserve">) </w:t>
      </w:r>
      <w:r w:rsidRPr="009B5734">
        <w:rPr>
          <w:noProof/>
        </w:rPr>
        <w:t>and would</w:t>
      </w:r>
      <w:r w:rsidR="00C9498E" w:rsidRPr="009B5734">
        <w:rPr>
          <w:noProof/>
        </w:rPr>
        <w:t xml:space="preserve"> fall largely on sellers</w:t>
      </w:r>
      <w:r w:rsidRPr="009B5734">
        <w:rPr>
          <w:noProof/>
        </w:rPr>
        <w:t>,</w:t>
      </w:r>
      <w:r w:rsidR="00C9498E" w:rsidRPr="009B5734">
        <w:rPr>
          <w:noProof/>
        </w:rPr>
        <w:t xml:space="preserve"> as they are mainly linked to the display of the required information. These costs are expected to be compensated by an increase in the price of products</w:t>
      </w:r>
      <w:r w:rsidR="009748D2" w:rsidRPr="009B5734">
        <w:rPr>
          <w:noProof/>
        </w:rPr>
        <w:t xml:space="preserve"> offering a commercial guarantee</w:t>
      </w:r>
      <w:r w:rsidR="00C9498E" w:rsidRPr="009B5734">
        <w:rPr>
          <w:noProof/>
        </w:rPr>
        <w:t xml:space="preserve"> (as consumers are willing to pay for longer commercial guarantees) and possibly by an increase </w:t>
      </w:r>
      <w:r w:rsidR="008B55B1" w:rsidRPr="009B5734">
        <w:rPr>
          <w:noProof/>
        </w:rPr>
        <w:t>in</w:t>
      </w:r>
      <w:r w:rsidR="00C9498E" w:rsidRPr="009B5734">
        <w:rPr>
          <w:noProof/>
        </w:rPr>
        <w:t xml:space="preserve"> demand of those same products.</w:t>
      </w:r>
      <w:r w:rsidR="00C9498E" w:rsidRPr="009B5734">
        <w:rPr>
          <w:b/>
          <w:noProof/>
        </w:rPr>
        <w:t xml:space="preserve"> </w:t>
      </w:r>
      <w:r w:rsidR="000618F0" w:rsidRPr="009B5734">
        <w:rPr>
          <w:noProof/>
        </w:rPr>
        <w:t>Th</w:t>
      </w:r>
      <w:r w:rsidR="004648C7" w:rsidRPr="009B5734">
        <w:rPr>
          <w:noProof/>
        </w:rPr>
        <w:t>is</w:t>
      </w:r>
      <w:r w:rsidR="000618F0" w:rsidRPr="009B5734">
        <w:rPr>
          <w:noProof/>
        </w:rPr>
        <w:t xml:space="preserve"> option will systematically increase transparency regarding the commercial guarantee offered for goods and penalise companies that do not offer or offer less attractive commercial guarantees, so contributing</w:t>
      </w:r>
      <w:r w:rsidR="00C9498E" w:rsidRPr="009B5734">
        <w:rPr>
          <w:noProof/>
        </w:rPr>
        <w:t xml:space="preserve"> to </w:t>
      </w:r>
      <w:r w:rsidR="000618F0" w:rsidRPr="009B5734">
        <w:rPr>
          <w:noProof/>
        </w:rPr>
        <w:t xml:space="preserve">a level playing field. </w:t>
      </w:r>
      <w:r w:rsidR="00C9498E" w:rsidRPr="009B5734">
        <w:rPr>
          <w:b/>
          <w:noProof/>
        </w:rPr>
        <w:t>Option 1.2.C</w:t>
      </w:r>
      <w:r w:rsidR="00C9498E" w:rsidRPr="009B5734">
        <w:rPr>
          <w:noProof/>
        </w:rPr>
        <w:t xml:space="preserve"> is expected to have some </w:t>
      </w:r>
      <w:r w:rsidR="000618F0" w:rsidRPr="009B5734">
        <w:rPr>
          <w:noProof/>
        </w:rPr>
        <w:t>further</w:t>
      </w:r>
      <w:r w:rsidR="00C9498E" w:rsidRPr="009B5734">
        <w:rPr>
          <w:noProof/>
        </w:rPr>
        <w:t xml:space="preserve"> positive impact on a level-playing field as it will increase transparency about commitments regarding software update and allow consumers to compare products based on these commitments.</w:t>
      </w:r>
      <w:r w:rsidR="00C9498E" w:rsidRPr="009B5734">
        <w:rPr>
          <w:b/>
          <w:noProof/>
        </w:rPr>
        <w:t xml:space="preserve"> </w:t>
      </w:r>
      <w:r w:rsidR="00C9498E" w:rsidRPr="009B5734">
        <w:rPr>
          <w:noProof/>
        </w:rPr>
        <w:t>However</w:t>
      </w:r>
      <w:r w:rsidR="001E0785" w:rsidRPr="009B5734">
        <w:rPr>
          <w:noProof/>
        </w:rPr>
        <w:t>,</w:t>
      </w:r>
      <w:r w:rsidR="00C9498E" w:rsidRPr="009B5734">
        <w:rPr>
          <w:noProof/>
        </w:rPr>
        <w:t xml:space="preserve"> the option will have costs for manufacturers as they need to decide on the period during which they will provide software updates, and communicate them to sellers. Sellers</w:t>
      </w:r>
      <w:r w:rsidR="00C9498E" w:rsidRPr="009B5734">
        <w:rPr>
          <w:b/>
          <w:noProof/>
        </w:rPr>
        <w:t xml:space="preserve"> </w:t>
      </w:r>
      <w:r w:rsidR="00C9498E" w:rsidRPr="009B5734">
        <w:rPr>
          <w:noProof/>
        </w:rPr>
        <w:t xml:space="preserve">will then have costs to ensure that consumers receive this information at the point of sale. These extra costs are estimated to be between </w:t>
      </w:r>
      <w:r w:rsidR="00C9498E" w:rsidRPr="009B5734">
        <w:rPr>
          <w:b/>
          <w:noProof/>
        </w:rPr>
        <w:t xml:space="preserve">EUR </w:t>
      </w:r>
      <w:r w:rsidR="001E0F75" w:rsidRPr="009B5734">
        <w:rPr>
          <w:b/>
          <w:noProof/>
        </w:rPr>
        <w:t>990</w:t>
      </w:r>
      <w:r w:rsidR="00C9498E" w:rsidRPr="009B5734">
        <w:rPr>
          <w:b/>
          <w:noProof/>
        </w:rPr>
        <w:t xml:space="preserve"> – 1 </w:t>
      </w:r>
      <w:r w:rsidR="001E0F75" w:rsidRPr="009B5734">
        <w:rPr>
          <w:b/>
          <w:noProof/>
        </w:rPr>
        <w:t xml:space="preserve">170 </w:t>
      </w:r>
      <w:r w:rsidR="00C9498E" w:rsidRPr="009B5734">
        <w:rPr>
          <w:b/>
          <w:noProof/>
        </w:rPr>
        <w:t>million for the period 2025-2040</w:t>
      </w:r>
      <w:r w:rsidR="0052518E">
        <w:rPr>
          <w:b/>
          <w:noProof/>
        </w:rPr>
        <w:t xml:space="preserve"> (</w:t>
      </w:r>
      <w:r w:rsidR="0052518E" w:rsidRPr="0052518E">
        <w:rPr>
          <w:noProof/>
        </w:rPr>
        <w:t>or</w:t>
      </w:r>
      <w:r w:rsidR="0052518E">
        <w:rPr>
          <w:b/>
          <w:noProof/>
        </w:rPr>
        <w:t xml:space="preserve"> EUR 66 – 78 million per year)</w:t>
      </w:r>
      <w:r w:rsidR="00C9498E" w:rsidRPr="009B5734">
        <w:rPr>
          <w:noProof/>
        </w:rPr>
        <w:t>.</w:t>
      </w:r>
    </w:p>
    <w:p w:rsidR="001B6061" w:rsidRPr="009B5734" w:rsidRDefault="001B6061" w:rsidP="0046415F">
      <w:pPr>
        <w:pStyle w:val="Text2"/>
        <w:spacing w:after="0"/>
        <w:ind w:left="0" w:firstLine="0"/>
        <w:rPr>
          <w:noProof/>
        </w:rPr>
      </w:pPr>
    </w:p>
    <w:p w:rsidR="002623A8" w:rsidRPr="009B5734" w:rsidRDefault="002623A8" w:rsidP="0046415F">
      <w:pPr>
        <w:ind w:left="0" w:firstLine="0"/>
        <w:rPr>
          <w:i/>
          <w:noProof/>
        </w:rPr>
      </w:pPr>
      <w:r w:rsidRPr="009B5734">
        <w:rPr>
          <w:rFonts w:ascii="Times New Roman" w:hAnsi="Times New Roman" w:cs="Times New Roman"/>
          <w:i/>
          <w:noProof/>
          <w:sz w:val="24"/>
        </w:rPr>
        <w:t>Impacts on public administrations:</w:t>
      </w:r>
    </w:p>
    <w:p w:rsidR="00C9498E" w:rsidRPr="008D65D2" w:rsidRDefault="002623A8" w:rsidP="008D65D2">
      <w:pPr>
        <w:pStyle w:val="Text2"/>
        <w:ind w:left="0" w:firstLine="0"/>
        <w:rPr>
          <w:noProof/>
        </w:rPr>
      </w:pPr>
      <w:r w:rsidRPr="009B5734">
        <w:rPr>
          <w:noProof/>
        </w:rPr>
        <w:t>Enforcement costs</w:t>
      </w:r>
      <w:r w:rsidR="00C9498E" w:rsidRPr="009B5734">
        <w:rPr>
          <w:noProof/>
        </w:rPr>
        <w:t xml:space="preserve"> for </w:t>
      </w:r>
      <w:r w:rsidR="00C9498E" w:rsidRPr="009B5734">
        <w:rPr>
          <w:b/>
          <w:noProof/>
        </w:rPr>
        <w:t>option 1.2.A</w:t>
      </w:r>
      <w:r w:rsidRPr="009B5734">
        <w:rPr>
          <w:b/>
          <w:noProof/>
        </w:rPr>
        <w:t xml:space="preserve"> </w:t>
      </w:r>
      <w:r w:rsidRPr="009B5734">
        <w:rPr>
          <w:noProof/>
        </w:rPr>
        <w:t xml:space="preserve">are estimated to be </w:t>
      </w:r>
      <w:r w:rsidR="00A24272" w:rsidRPr="009B5734">
        <w:rPr>
          <w:noProof/>
        </w:rPr>
        <w:t>between</w:t>
      </w:r>
      <w:r w:rsidRPr="009B5734">
        <w:rPr>
          <w:noProof/>
        </w:rPr>
        <w:t xml:space="preserve"> </w:t>
      </w:r>
      <w:r w:rsidR="00987F79" w:rsidRPr="009B5734">
        <w:rPr>
          <w:b/>
          <w:noProof/>
        </w:rPr>
        <w:t xml:space="preserve">EUR </w:t>
      </w:r>
      <w:r w:rsidR="00284B5B" w:rsidRPr="009B5734">
        <w:rPr>
          <w:b/>
          <w:noProof/>
        </w:rPr>
        <w:t>86</w:t>
      </w:r>
      <w:r w:rsidR="003934C7" w:rsidRPr="009B5734">
        <w:rPr>
          <w:b/>
          <w:noProof/>
        </w:rPr>
        <w:t xml:space="preserve"> - </w:t>
      </w:r>
      <w:r w:rsidR="00284B5B" w:rsidRPr="009B5734">
        <w:rPr>
          <w:b/>
          <w:noProof/>
        </w:rPr>
        <w:t>96</w:t>
      </w:r>
      <w:r w:rsidR="00987F79" w:rsidRPr="009B5734">
        <w:rPr>
          <w:b/>
          <w:noProof/>
        </w:rPr>
        <w:t xml:space="preserve"> </w:t>
      </w:r>
      <w:r w:rsidR="00D97DB9" w:rsidRPr="009B5734">
        <w:rPr>
          <w:b/>
          <w:noProof/>
        </w:rPr>
        <w:t>m</w:t>
      </w:r>
      <w:r w:rsidR="00987F79" w:rsidRPr="009B5734">
        <w:rPr>
          <w:b/>
          <w:noProof/>
        </w:rPr>
        <w:t>illion</w:t>
      </w:r>
      <w:r w:rsidR="00987F79" w:rsidRPr="009B5734">
        <w:rPr>
          <w:noProof/>
        </w:rPr>
        <w:t xml:space="preserve"> for the period 20</w:t>
      </w:r>
      <w:r w:rsidR="00BF01C2" w:rsidRPr="009B5734">
        <w:rPr>
          <w:noProof/>
        </w:rPr>
        <w:t>25</w:t>
      </w:r>
      <w:r w:rsidR="00987F79" w:rsidRPr="009B5734">
        <w:rPr>
          <w:noProof/>
        </w:rPr>
        <w:t>-20</w:t>
      </w:r>
      <w:r w:rsidR="00BF01C2" w:rsidRPr="009B5734">
        <w:rPr>
          <w:noProof/>
        </w:rPr>
        <w:t>4</w:t>
      </w:r>
      <w:r w:rsidR="00987F79" w:rsidRPr="009B5734">
        <w:rPr>
          <w:noProof/>
        </w:rPr>
        <w:t>0</w:t>
      </w:r>
      <w:r w:rsidR="0052518E">
        <w:rPr>
          <w:noProof/>
        </w:rPr>
        <w:t xml:space="preserve"> (or </w:t>
      </w:r>
      <w:r w:rsidR="006020DD" w:rsidRPr="006020DD">
        <w:rPr>
          <w:b/>
          <w:noProof/>
        </w:rPr>
        <w:t>EUR 5.7 – 6.4 million per year</w:t>
      </w:r>
      <w:r w:rsidR="006020DD">
        <w:rPr>
          <w:noProof/>
        </w:rPr>
        <w:t>)</w:t>
      </w:r>
      <w:r w:rsidRPr="009B5734">
        <w:rPr>
          <w:noProof/>
        </w:rPr>
        <w:t xml:space="preserve">. These costs will be generated by the time and expertise needed to check the information provided by businesses, </w:t>
      </w:r>
      <w:r w:rsidR="00B217EF" w:rsidRPr="009B5734">
        <w:rPr>
          <w:noProof/>
        </w:rPr>
        <w:t xml:space="preserve">which will be </w:t>
      </w:r>
      <w:r w:rsidRPr="009B5734">
        <w:rPr>
          <w:noProof/>
        </w:rPr>
        <w:t xml:space="preserve">particularly </w:t>
      </w:r>
      <w:r w:rsidR="00B217EF" w:rsidRPr="009B5734">
        <w:rPr>
          <w:noProof/>
        </w:rPr>
        <w:t xml:space="preserve">challenging </w:t>
      </w:r>
      <w:r w:rsidR="00162A83" w:rsidRPr="009B5734">
        <w:rPr>
          <w:noProof/>
        </w:rPr>
        <w:t>and</w:t>
      </w:r>
      <w:r w:rsidR="00B217EF" w:rsidRPr="009B5734">
        <w:rPr>
          <w:noProof/>
        </w:rPr>
        <w:t xml:space="preserve"> time-consuming</w:t>
      </w:r>
      <w:r w:rsidRPr="009B5734">
        <w:rPr>
          <w:noProof/>
        </w:rPr>
        <w:t xml:space="preserve"> in the absence of common standards/methodolo</w:t>
      </w:r>
      <w:r w:rsidR="00162A83" w:rsidRPr="009B5734">
        <w:rPr>
          <w:noProof/>
        </w:rPr>
        <w:t>gies</w:t>
      </w:r>
      <w:r w:rsidRPr="009B5734">
        <w:rPr>
          <w:noProof/>
        </w:rPr>
        <w:t>.</w:t>
      </w:r>
      <w:r w:rsidR="005E0B86" w:rsidRPr="005E0B86">
        <w:rPr>
          <w:noProof/>
        </w:rPr>
        <w:t xml:space="preserve"> </w:t>
      </w:r>
      <w:r w:rsidR="00227800">
        <w:rPr>
          <w:noProof/>
        </w:rPr>
        <w:t>Based on interviews with</w:t>
      </w:r>
      <w:r w:rsidR="005E0B86">
        <w:rPr>
          <w:noProof/>
        </w:rPr>
        <w:t xml:space="preserve"> </w:t>
      </w:r>
      <w:r w:rsidR="00227800">
        <w:rPr>
          <w:noProof/>
        </w:rPr>
        <w:t>national enforcement</w:t>
      </w:r>
      <w:r w:rsidR="005E0B86">
        <w:rPr>
          <w:noProof/>
        </w:rPr>
        <w:t xml:space="preserve"> authorities, it is assumed that Member States (possibly with the exception of France) would have to create a dedicated team to enforce this measure. The size of the team would be around 5 experts. 25% of their time would be dedicated to monitoring the compliance with the measure, 50% would be to carry out inspections and </w:t>
      </w:r>
      <w:r w:rsidR="00227800">
        <w:rPr>
          <w:noProof/>
        </w:rPr>
        <w:t>25% with handling complaints. It is</w:t>
      </w:r>
      <w:r w:rsidR="005E0B86">
        <w:rPr>
          <w:noProof/>
        </w:rPr>
        <w:t xml:space="preserve"> estimate</w:t>
      </w:r>
      <w:r w:rsidR="00227800">
        <w:rPr>
          <w:noProof/>
        </w:rPr>
        <w:t>d</w:t>
      </w:r>
      <w:r w:rsidR="005E0B86">
        <w:rPr>
          <w:noProof/>
        </w:rPr>
        <w:t xml:space="preserve"> that the number of complaints that can be handled given the available resources will be around 700 per year per Member State (</w:t>
      </w:r>
      <w:r w:rsidR="00F91447">
        <w:rPr>
          <w:noProof/>
        </w:rPr>
        <w:t>a</w:t>
      </w:r>
      <w:r w:rsidR="005E0B86">
        <w:rPr>
          <w:noProof/>
        </w:rPr>
        <w:t>verage as some will</w:t>
      </w:r>
      <w:r w:rsidR="00227800">
        <w:rPr>
          <w:noProof/>
        </w:rPr>
        <w:t xml:space="preserve"> handle</w:t>
      </w:r>
      <w:r w:rsidR="005E0B86">
        <w:rPr>
          <w:noProof/>
        </w:rPr>
        <w:t xml:space="preserve"> significantly more a</w:t>
      </w:r>
      <w:r w:rsidR="00227800">
        <w:rPr>
          <w:noProof/>
        </w:rPr>
        <w:t>nd others significantly less). It is</w:t>
      </w:r>
      <w:r w:rsidR="005E0B86">
        <w:rPr>
          <w:noProof/>
        </w:rPr>
        <w:t xml:space="preserve"> assumed that about 1% will be dealt with through A</w:t>
      </w:r>
      <w:r w:rsidR="00227800">
        <w:rPr>
          <w:noProof/>
        </w:rPr>
        <w:t xml:space="preserve">lternative </w:t>
      </w:r>
      <w:r w:rsidR="005E0B86">
        <w:rPr>
          <w:noProof/>
        </w:rPr>
        <w:t>D</w:t>
      </w:r>
      <w:r w:rsidR="00227800">
        <w:rPr>
          <w:noProof/>
        </w:rPr>
        <w:t xml:space="preserve">ispute </w:t>
      </w:r>
      <w:r w:rsidR="005E0B86">
        <w:rPr>
          <w:noProof/>
        </w:rPr>
        <w:t>R</w:t>
      </w:r>
      <w:r w:rsidR="00227800">
        <w:rPr>
          <w:noProof/>
        </w:rPr>
        <w:t>esolution</w:t>
      </w:r>
      <w:r w:rsidR="005E0B86">
        <w:rPr>
          <w:noProof/>
        </w:rPr>
        <w:t xml:space="preserve"> bodies and 0.1% in courts. The costs of an ADR body adjudication and of a court adjudication were obtained from the Impact Assessment of </w:t>
      </w:r>
      <w:r w:rsidR="00227800">
        <w:rPr>
          <w:noProof/>
        </w:rPr>
        <w:t>the</w:t>
      </w:r>
      <w:r w:rsidR="0078589E">
        <w:rPr>
          <w:noProof/>
        </w:rPr>
        <w:t xml:space="preserve"> review of the</w:t>
      </w:r>
      <w:r w:rsidR="00227800">
        <w:rPr>
          <w:noProof/>
        </w:rPr>
        <w:t xml:space="preserve"> </w:t>
      </w:r>
      <w:r w:rsidR="005E0B86">
        <w:rPr>
          <w:noProof/>
        </w:rPr>
        <w:t>C</w:t>
      </w:r>
      <w:r w:rsidR="00227800">
        <w:rPr>
          <w:noProof/>
        </w:rPr>
        <w:t xml:space="preserve">onsumer </w:t>
      </w:r>
      <w:r w:rsidR="005E0B86">
        <w:rPr>
          <w:noProof/>
        </w:rPr>
        <w:t>P</w:t>
      </w:r>
      <w:r w:rsidR="00227800">
        <w:rPr>
          <w:noProof/>
        </w:rPr>
        <w:t xml:space="preserve">rotection </w:t>
      </w:r>
      <w:r w:rsidR="005E0B86">
        <w:rPr>
          <w:noProof/>
        </w:rPr>
        <w:t>C</w:t>
      </w:r>
      <w:r w:rsidR="00227800">
        <w:rPr>
          <w:noProof/>
        </w:rPr>
        <w:t>ooperation</w:t>
      </w:r>
      <w:r w:rsidR="005E0B86">
        <w:rPr>
          <w:noProof/>
        </w:rPr>
        <w:t xml:space="preserve"> </w:t>
      </w:r>
      <w:r w:rsidR="00227800">
        <w:rPr>
          <w:noProof/>
        </w:rPr>
        <w:t>Regulation and supporting study</w:t>
      </w:r>
      <w:r w:rsidR="0078589E">
        <w:rPr>
          <w:rStyle w:val="FootnoteReference"/>
          <w:noProof/>
        </w:rPr>
        <w:footnoteReference w:id="109"/>
      </w:r>
      <w:r w:rsidR="005E0B86">
        <w:rPr>
          <w:noProof/>
        </w:rPr>
        <w:t xml:space="preserve">. 140h </w:t>
      </w:r>
      <w:r w:rsidR="00227800">
        <w:rPr>
          <w:noProof/>
        </w:rPr>
        <w:t xml:space="preserve">are assumed </w:t>
      </w:r>
      <w:r w:rsidR="005E0B86">
        <w:rPr>
          <w:noProof/>
        </w:rPr>
        <w:t>for familiari</w:t>
      </w:r>
      <w:r w:rsidR="00F91447">
        <w:rPr>
          <w:noProof/>
        </w:rPr>
        <w:t>s</w:t>
      </w:r>
      <w:r w:rsidR="005E0B86">
        <w:rPr>
          <w:noProof/>
        </w:rPr>
        <w:t>ation with the measure and adjust</w:t>
      </w:r>
      <w:r w:rsidR="00227800">
        <w:rPr>
          <w:noProof/>
        </w:rPr>
        <w:t>ment of</w:t>
      </w:r>
      <w:r w:rsidR="005E0B86">
        <w:rPr>
          <w:noProof/>
        </w:rPr>
        <w:t xml:space="preserve"> internal procedures to start enforcing the measure. 16 employ</w:t>
      </w:r>
      <w:r w:rsidR="00227800">
        <w:rPr>
          <w:noProof/>
        </w:rPr>
        <w:t>ees would</w:t>
      </w:r>
      <w:r w:rsidR="005E0B86">
        <w:rPr>
          <w:noProof/>
        </w:rPr>
        <w:t xml:space="preserve"> receive a 7h training. </w:t>
      </w:r>
      <w:r w:rsidR="00227800">
        <w:rPr>
          <w:noProof/>
        </w:rPr>
        <w:t>It is</w:t>
      </w:r>
      <w:r w:rsidR="005E0B86">
        <w:rPr>
          <w:noProof/>
        </w:rPr>
        <w:t xml:space="preserve"> also assumed that there will be a yearly action per Member State, which will amount to EUR 40,000 (based on market research).</w:t>
      </w:r>
      <w:r w:rsidR="00C9498E" w:rsidRPr="009B5734">
        <w:rPr>
          <w:noProof/>
        </w:rPr>
        <w:t xml:space="preserve"> Enforcement costs for </w:t>
      </w:r>
      <w:r w:rsidR="00C9498E" w:rsidRPr="009B5734">
        <w:rPr>
          <w:b/>
          <w:noProof/>
        </w:rPr>
        <w:t>option 1.2.B</w:t>
      </w:r>
      <w:r w:rsidR="00C9498E" w:rsidRPr="009B5734">
        <w:rPr>
          <w:noProof/>
        </w:rPr>
        <w:t xml:space="preserve"> are estimated to be of</w:t>
      </w:r>
      <w:r w:rsidR="00C9498E" w:rsidRPr="009B5734">
        <w:rPr>
          <w:b/>
          <w:noProof/>
        </w:rPr>
        <w:t xml:space="preserve"> EUR 1</w:t>
      </w:r>
      <w:r w:rsidR="00284B5B" w:rsidRPr="009B5734">
        <w:rPr>
          <w:b/>
          <w:noProof/>
        </w:rPr>
        <w:t>5</w:t>
      </w:r>
      <w:r w:rsidR="00C9498E" w:rsidRPr="009B5734">
        <w:rPr>
          <w:b/>
          <w:noProof/>
        </w:rPr>
        <w:t xml:space="preserve"> - </w:t>
      </w:r>
      <w:r w:rsidR="00284B5B" w:rsidRPr="009B5734">
        <w:rPr>
          <w:b/>
          <w:noProof/>
        </w:rPr>
        <w:t>27</w:t>
      </w:r>
      <w:r w:rsidR="00C9498E" w:rsidRPr="009B5734">
        <w:rPr>
          <w:b/>
          <w:noProof/>
        </w:rPr>
        <w:t xml:space="preserve"> million</w:t>
      </w:r>
      <w:r w:rsidR="00C9498E" w:rsidRPr="009B5734">
        <w:rPr>
          <w:noProof/>
        </w:rPr>
        <w:t xml:space="preserve"> </w:t>
      </w:r>
      <w:r w:rsidR="00C9498E" w:rsidRPr="009B5734">
        <w:rPr>
          <w:b/>
          <w:noProof/>
        </w:rPr>
        <w:t>for the period 2025-2040</w:t>
      </w:r>
      <w:r w:rsidR="006020DD">
        <w:rPr>
          <w:b/>
          <w:noProof/>
        </w:rPr>
        <w:t xml:space="preserve"> (</w:t>
      </w:r>
      <w:r w:rsidR="006020DD" w:rsidRPr="006020DD">
        <w:rPr>
          <w:noProof/>
        </w:rPr>
        <w:t>or</w:t>
      </w:r>
      <w:r w:rsidR="006020DD">
        <w:rPr>
          <w:b/>
          <w:noProof/>
        </w:rPr>
        <w:t xml:space="preserve"> EUR 1 – 1.8 million per year)</w:t>
      </w:r>
      <w:r w:rsidR="00C9498E" w:rsidRPr="009B5734">
        <w:rPr>
          <w:noProof/>
        </w:rPr>
        <w:t xml:space="preserve">. Based on interviews with national </w:t>
      </w:r>
      <w:r w:rsidR="00227800">
        <w:rPr>
          <w:noProof/>
        </w:rPr>
        <w:t xml:space="preserve">enforcement </w:t>
      </w:r>
      <w:r w:rsidR="00C9498E" w:rsidRPr="009B5734">
        <w:rPr>
          <w:noProof/>
        </w:rPr>
        <w:t xml:space="preserve">authorities, in the context of the supporting study, </w:t>
      </w:r>
      <w:r w:rsidR="00E50037" w:rsidRPr="009B5734">
        <w:rPr>
          <w:noProof/>
        </w:rPr>
        <w:t>option 1.2.B</w:t>
      </w:r>
      <w:r w:rsidR="00C9498E" w:rsidRPr="009B5734">
        <w:rPr>
          <w:noProof/>
        </w:rPr>
        <w:t xml:space="preserve"> would not require significant additional resources on top of the existing ones to enforce CRD and SGD. </w:t>
      </w:r>
      <w:r w:rsidR="00227800">
        <w:rPr>
          <w:noProof/>
        </w:rPr>
        <w:t xml:space="preserve">It is therefore </w:t>
      </w:r>
      <w:r w:rsidR="005E0B86">
        <w:rPr>
          <w:noProof/>
        </w:rPr>
        <w:t>assume</w:t>
      </w:r>
      <w:r w:rsidR="00227800">
        <w:rPr>
          <w:noProof/>
        </w:rPr>
        <w:t>d</w:t>
      </w:r>
      <w:r w:rsidR="005E0B86">
        <w:rPr>
          <w:noProof/>
        </w:rPr>
        <w:t xml:space="preserve"> that the measure will require an additional Full Time Equivalent, with its time divided equal</w:t>
      </w:r>
      <w:r w:rsidR="00F91447">
        <w:rPr>
          <w:noProof/>
        </w:rPr>
        <w:t xml:space="preserve">ly </w:t>
      </w:r>
      <w:r w:rsidR="005E0B86">
        <w:rPr>
          <w:noProof/>
        </w:rPr>
        <w:t>between monitoring, inspecting, and handling complaints. 70h</w:t>
      </w:r>
      <w:r w:rsidR="00227800">
        <w:rPr>
          <w:noProof/>
        </w:rPr>
        <w:t xml:space="preserve"> are assumed</w:t>
      </w:r>
      <w:r w:rsidR="005E0B86">
        <w:rPr>
          <w:noProof/>
        </w:rPr>
        <w:t xml:space="preserve"> for familiari</w:t>
      </w:r>
      <w:r w:rsidR="00F91447">
        <w:rPr>
          <w:noProof/>
        </w:rPr>
        <w:t>s</w:t>
      </w:r>
      <w:r w:rsidR="005E0B86">
        <w:rPr>
          <w:noProof/>
        </w:rPr>
        <w:t>ation</w:t>
      </w:r>
      <w:r w:rsidR="00227800">
        <w:rPr>
          <w:noProof/>
        </w:rPr>
        <w:t xml:space="preserve"> with the measure and adjustment of</w:t>
      </w:r>
      <w:r w:rsidR="005E0B86">
        <w:rPr>
          <w:noProof/>
        </w:rPr>
        <w:t xml:space="preserve"> internal procedures to start enforcing the measure. 16 employ</w:t>
      </w:r>
      <w:r w:rsidR="00227800">
        <w:rPr>
          <w:noProof/>
        </w:rPr>
        <w:t>ees would</w:t>
      </w:r>
      <w:r w:rsidR="005E0B86">
        <w:rPr>
          <w:noProof/>
        </w:rPr>
        <w:t xml:space="preserve"> receive a 7h training. </w:t>
      </w:r>
      <w:r w:rsidR="00227800">
        <w:rPr>
          <w:noProof/>
        </w:rPr>
        <w:t>It is</w:t>
      </w:r>
      <w:r w:rsidR="005E0B86">
        <w:rPr>
          <w:noProof/>
        </w:rPr>
        <w:t xml:space="preserve"> also assumed that there will be a yearly action per Member State, which will amount to EUR 40,000 (based on market research). The other unit costs are assumed to be the same as in the previous measure. </w:t>
      </w:r>
      <w:r w:rsidR="00C9498E" w:rsidRPr="009B5734">
        <w:rPr>
          <w:noProof/>
        </w:rPr>
        <w:t xml:space="preserve">The costs of </w:t>
      </w:r>
      <w:r w:rsidR="004B45FB" w:rsidRPr="009B5734">
        <w:rPr>
          <w:b/>
          <w:noProof/>
        </w:rPr>
        <w:t xml:space="preserve">option </w:t>
      </w:r>
      <w:r w:rsidR="00C9498E" w:rsidRPr="009B5734">
        <w:rPr>
          <w:b/>
          <w:noProof/>
        </w:rPr>
        <w:t>1.2.C</w:t>
      </w:r>
      <w:r w:rsidR="00C9498E" w:rsidRPr="009B5734">
        <w:rPr>
          <w:noProof/>
        </w:rPr>
        <w:t xml:space="preserve"> for public administrations are expected to be the same as for option 1.2.B</w:t>
      </w:r>
      <w:r w:rsidR="0001550C">
        <w:rPr>
          <w:noProof/>
        </w:rPr>
        <w:t>.</w:t>
      </w:r>
    </w:p>
    <w:p w:rsidR="0046415F" w:rsidRPr="009B5734" w:rsidRDefault="0046415F" w:rsidP="0046415F">
      <w:pPr>
        <w:pStyle w:val="Text2"/>
        <w:spacing w:after="0"/>
        <w:ind w:left="0" w:firstLine="0"/>
        <w:rPr>
          <w:noProof/>
        </w:rPr>
      </w:pPr>
    </w:p>
    <w:p w:rsidR="008B6B70" w:rsidRPr="009B5734" w:rsidRDefault="008B6B70" w:rsidP="0046415F">
      <w:pPr>
        <w:ind w:left="0" w:firstLine="0"/>
        <w:rPr>
          <w:i/>
          <w:noProof/>
        </w:rPr>
      </w:pPr>
      <w:r w:rsidRPr="009B5734">
        <w:rPr>
          <w:rFonts w:ascii="Times New Roman" w:hAnsi="Times New Roman" w:cs="Times New Roman"/>
          <w:i/>
          <w:noProof/>
          <w:sz w:val="24"/>
        </w:rPr>
        <w:t>Impacts on the environment</w:t>
      </w:r>
      <w:r w:rsidR="006305D2" w:rsidRPr="009B5734">
        <w:rPr>
          <w:rFonts w:ascii="Times New Roman" w:hAnsi="Times New Roman" w:cs="Times New Roman"/>
          <w:i/>
          <w:noProof/>
          <w:sz w:val="24"/>
        </w:rPr>
        <w:t>:</w:t>
      </w:r>
    </w:p>
    <w:p w:rsidR="00C9498E" w:rsidRPr="009B5734" w:rsidRDefault="00987F79" w:rsidP="00C9498E">
      <w:pPr>
        <w:pStyle w:val="Text2"/>
        <w:spacing w:after="0"/>
        <w:ind w:left="0" w:firstLine="0"/>
        <w:rPr>
          <w:i/>
          <w:noProof/>
        </w:rPr>
      </w:pPr>
      <w:r w:rsidRPr="009B5734">
        <w:rPr>
          <w:noProof/>
        </w:rPr>
        <w:t xml:space="preserve">Due to the limitation of </w:t>
      </w:r>
      <w:r w:rsidRPr="009B5734">
        <w:rPr>
          <w:b/>
          <w:noProof/>
        </w:rPr>
        <w:t>option</w:t>
      </w:r>
      <w:r w:rsidR="00C9498E" w:rsidRPr="009B5734">
        <w:rPr>
          <w:b/>
          <w:noProof/>
        </w:rPr>
        <w:t xml:space="preserve"> 1.2.A</w:t>
      </w:r>
      <w:r w:rsidRPr="009B5734">
        <w:rPr>
          <w:noProof/>
        </w:rPr>
        <w:t xml:space="preserve"> mentioned above, consumers are unlikely to purchase products that effective</w:t>
      </w:r>
      <w:r w:rsidR="00BD707A" w:rsidRPr="009B5734">
        <w:rPr>
          <w:noProof/>
        </w:rPr>
        <w:t>ly</w:t>
      </w:r>
      <w:r w:rsidRPr="009B5734">
        <w:rPr>
          <w:noProof/>
        </w:rPr>
        <w:t xml:space="preserve"> last longer and so the impact on </w:t>
      </w:r>
      <w:r w:rsidR="004648C7" w:rsidRPr="009B5734">
        <w:rPr>
          <w:noProof/>
        </w:rPr>
        <w:t xml:space="preserve">the </w:t>
      </w:r>
      <w:r w:rsidRPr="009B5734">
        <w:rPr>
          <w:noProof/>
        </w:rPr>
        <w:t>environment is considered negligible</w:t>
      </w:r>
      <w:r w:rsidR="00566175" w:rsidRPr="009B5734">
        <w:rPr>
          <w:noProof/>
        </w:rPr>
        <w:t>.</w:t>
      </w:r>
      <w:r w:rsidR="00C9498E" w:rsidRPr="009B5734">
        <w:rPr>
          <w:noProof/>
        </w:rPr>
        <w:t xml:space="preserve"> As consumers will buy products that last longer, </w:t>
      </w:r>
      <w:r w:rsidR="00C9498E" w:rsidRPr="009B5734">
        <w:rPr>
          <w:b/>
          <w:noProof/>
        </w:rPr>
        <w:t>option 1.2.B</w:t>
      </w:r>
      <w:r w:rsidR="00C9498E" w:rsidRPr="009B5734">
        <w:rPr>
          <w:noProof/>
        </w:rPr>
        <w:t xml:space="preserve"> will have a positive impact on the amount of </w:t>
      </w:r>
      <w:r w:rsidR="00C9498E" w:rsidRPr="009B5734">
        <w:rPr>
          <w:b/>
          <w:noProof/>
        </w:rPr>
        <w:t xml:space="preserve">CO2 emitted during production estimated at </w:t>
      </w:r>
      <w:r w:rsidR="00C9498E" w:rsidRPr="009B5734" w:rsidDel="0042031D">
        <w:rPr>
          <w:b/>
          <w:noProof/>
        </w:rPr>
        <w:t>0.</w:t>
      </w:r>
      <w:r w:rsidR="001E0F75" w:rsidRPr="009B5734">
        <w:rPr>
          <w:b/>
          <w:noProof/>
        </w:rPr>
        <w:t xml:space="preserve">3 </w:t>
      </w:r>
      <w:r w:rsidR="00C9498E" w:rsidRPr="009B5734">
        <w:rPr>
          <w:b/>
          <w:noProof/>
        </w:rPr>
        <w:t xml:space="preserve">– </w:t>
      </w:r>
      <w:r w:rsidR="001E0F75" w:rsidRPr="009B5734">
        <w:rPr>
          <w:b/>
          <w:noProof/>
        </w:rPr>
        <w:t>0.4</w:t>
      </w:r>
      <w:r w:rsidR="00C9498E" w:rsidRPr="009B5734">
        <w:rPr>
          <w:b/>
          <w:noProof/>
        </w:rPr>
        <w:t xml:space="preserve"> mega tons (EUR </w:t>
      </w:r>
      <w:r w:rsidR="001E0F75" w:rsidRPr="009B5734">
        <w:rPr>
          <w:b/>
          <w:noProof/>
        </w:rPr>
        <w:t>6</w:t>
      </w:r>
      <w:r w:rsidR="00C9498E" w:rsidRPr="009B5734">
        <w:rPr>
          <w:b/>
          <w:noProof/>
        </w:rPr>
        <w:t xml:space="preserve"> -</w:t>
      </w:r>
      <w:r w:rsidR="00C9498E" w:rsidRPr="009B5734" w:rsidDel="0042031D">
        <w:rPr>
          <w:b/>
          <w:noProof/>
        </w:rPr>
        <w:t xml:space="preserve"> </w:t>
      </w:r>
      <w:r w:rsidR="001E0F75" w:rsidRPr="009B5734">
        <w:rPr>
          <w:b/>
          <w:noProof/>
        </w:rPr>
        <w:t>8</w:t>
      </w:r>
      <w:r w:rsidR="00C9498E" w:rsidRPr="009B5734">
        <w:rPr>
          <w:b/>
          <w:noProof/>
        </w:rPr>
        <w:t xml:space="preserve"> million)</w:t>
      </w:r>
      <w:r w:rsidR="00C9498E" w:rsidRPr="009B5734">
        <w:rPr>
          <w:noProof/>
        </w:rPr>
        <w:t>, for the period 2025-2040</w:t>
      </w:r>
      <w:r w:rsidR="006020DD">
        <w:rPr>
          <w:noProof/>
        </w:rPr>
        <w:t xml:space="preserve"> (or</w:t>
      </w:r>
      <w:r w:rsidR="00215846">
        <w:rPr>
          <w:noProof/>
        </w:rPr>
        <w:t xml:space="preserve"> </w:t>
      </w:r>
      <w:r w:rsidR="00215846" w:rsidRPr="00215846">
        <w:rPr>
          <w:b/>
          <w:noProof/>
        </w:rPr>
        <w:t>0.02 – 0.03 mega tons per year, valued at</w:t>
      </w:r>
      <w:r w:rsidR="006020DD">
        <w:rPr>
          <w:noProof/>
        </w:rPr>
        <w:t xml:space="preserve"> </w:t>
      </w:r>
      <w:r w:rsidR="006020DD" w:rsidRPr="006020DD">
        <w:rPr>
          <w:b/>
          <w:noProof/>
        </w:rPr>
        <w:t>EUR 0.4 – 0.5 million</w:t>
      </w:r>
      <w:r w:rsidR="006020DD">
        <w:rPr>
          <w:noProof/>
        </w:rPr>
        <w:t>)</w:t>
      </w:r>
      <w:r w:rsidR="00C9498E" w:rsidRPr="009B5734">
        <w:rPr>
          <w:noProof/>
        </w:rPr>
        <w:t xml:space="preserve">. In addition, it will lead to less water used, fewer particulate matter and polluting agents released and a reduction of the amount of waste, and will support the transition towards a more circular and sustainable economy. In addition to the impacts of option 1.2.B, due to the implementation of </w:t>
      </w:r>
      <w:r w:rsidR="00C9498E" w:rsidRPr="009B5734">
        <w:rPr>
          <w:b/>
          <w:noProof/>
        </w:rPr>
        <w:t>option 1.2.C</w:t>
      </w:r>
      <w:r w:rsidR="00C9498E" w:rsidRPr="009B5734">
        <w:rPr>
          <w:noProof/>
        </w:rPr>
        <w:t xml:space="preserve">, consumers will be able to keep products for a longer time compared to a situation where the information on software updates had not been available. This </w:t>
      </w:r>
      <w:r w:rsidR="00E50037" w:rsidRPr="009B5734">
        <w:rPr>
          <w:noProof/>
        </w:rPr>
        <w:t>is expected to</w:t>
      </w:r>
      <w:r w:rsidR="00C9498E" w:rsidRPr="009B5734">
        <w:rPr>
          <w:noProof/>
        </w:rPr>
        <w:t xml:space="preserve"> lead to a reduction of produced units and thus of </w:t>
      </w:r>
      <w:r w:rsidR="00D459F8" w:rsidRPr="009B5734">
        <w:rPr>
          <w:b/>
          <w:noProof/>
        </w:rPr>
        <w:t>CO2</w:t>
      </w:r>
      <w:r w:rsidR="00C9498E" w:rsidRPr="009B5734">
        <w:rPr>
          <w:b/>
          <w:noProof/>
        </w:rPr>
        <w:t xml:space="preserve"> emissions estimated to be around</w:t>
      </w:r>
      <w:r w:rsidR="00C9498E" w:rsidRPr="009B5734">
        <w:rPr>
          <w:noProof/>
        </w:rPr>
        <w:t xml:space="preserve"> </w:t>
      </w:r>
      <w:r w:rsidR="00C9498E" w:rsidRPr="009B5734">
        <w:rPr>
          <w:b/>
          <w:noProof/>
        </w:rPr>
        <w:t>0.</w:t>
      </w:r>
      <w:r w:rsidR="001E0F75" w:rsidRPr="009B5734">
        <w:rPr>
          <w:b/>
          <w:noProof/>
        </w:rPr>
        <w:t>4</w:t>
      </w:r>
      <w:r w:rsidR="00C9498E" w:rsidRPr="009B5734">
        <w:rPr>
          <w:b/>
          <w:noProof/>
        </w:rPr>
        <w:t xml:space="preserve"> – </w:t>
      </w:r>
      <w:r w:rsidR="001E0F75" w:rsidRPr="009B5734">
        <w:rPr>
          <w:b/>
          <w:noProof/>
        </w:rPr>
        <w:t xml:space="preserve">0.7 </w:t>
      </w:r>
      <w:r w:rsidR="00C9498E" w:rsidRPr="009B5734">
        <w:rPr>
          <w:b/>
          <w:noProof/>
        </w:rPr>
        <w:t xml:space="preserve">mega tons (EUR </w:t>
      </w:r>
      <w:r w:rsidR="001E0F75" w:rsidRPr="009B5734">
        <w:rPr>
          <w:b/>
          <w:noProof/>
        </w:rPr>
        <w:t>8</w:t>
      </w:r>
      <w:r w:rsidR="00C9498E" w:rsidRPr="009B5734">
        <w:rPr>
          <w:b/>
          <w:noProof/>
        </w:rPr>
        <w:t xml:space="preserve"> - </w:t>
      </w:r>
      <w:r w:rsidR="001E0F75" w:rsidRPr="009B5734">
        <w:rPr>
          <w:b/>
          <w:noProof/>
        </w:rPr>
        <w:t>13</w:t>
      </w:r>
      <w:r w:rsidR="00C9498E" w:rsidRPr="009B5734">
        <w:rPr>
          <w:b/>
          <w:noProof/>
        </w:rPr>
        <w:t xml:space="preserve"> million) </w:t>
      </w:r>
      <w:r w:rsidR="00C9498E" w:rsidRPr="009B5734">
        <w:rPr>
          <w:noProof/>
        </w:rPr>
        <w:t>during production for the period 2025-2040</w:t>
      </w:r>
      <w:r w:rsidR="006020DD">
        <w:rPr>
          <w:noProof/>
        </w:rPr>
        <w:t xml:space="preserve"> (or </w:t>
      </w:r>
      <w:r w:rsidR="00215846" w:rsidRPr="00215846">
        <w:rPr>
          <w:b/>
          <w:noProof/>
        </w:rPr>
        <w:t xml:space="preserve">0.03 – 0.05 </w:t>
      </w:r>
      <w:r w:rsidR="00215846">
        <w:rPr>
          <w:b/>
          <w:noProof/>
        </w:rPr>
        <w:t>mega tons per year, valued</w:t>
      </w:r>
      <w:r w:rsidR="00215846" w:rsidRPr="00215846">
        <w:rPr>
          <w:b/>
          <w:noProof/>
        </w:rPr>
        <w:t xml:space="preserve"> at </w:t>
      </w:r>
      <w:r w:rsidR="006020DD" w:rsidRPr="00215846">
        <w:rPr>
          <w:b/>
          <w:noProof/>
        </w:rPr>
        <w:t>EUR</w:t>
      </w:r>
      <w:r w:rsidR="006020DD" w:rsidRPr="006020DD">
        <w:rPr>
          <w:b/>
          <w:noProof/>
        </w:rPr>
        <w:t xml:space="preserve"> 0.5 – 0.9 million</w:t>
      </w:r>
      <w:r w:rsidR="006020DD">
        <w:rPr>
          <w:noProof/>
        </w:rPr>
        <w:t>)</w:t>
      </w:r>
      <w:r w:rsidR="00C9498E" w:rsidRPr="009B5734">
        <w:rPr>
          <w:noProof/>
        </w:rPr>
        <w:t>.</w:t>
      </w:r>
    </w:p>
    <w:p w:rsidR="0046415F" w:rsidRPr="009B5734" w:rsidRDefault="0046415F" w:rsidP="0046415F">
      <w:pPr>
        <w:pStyle w:val="Text2"/>
        <w:spacing w:after="0"/>
        <w:ind w:left="0" w:firstLine="0"/>
        <w:rPr>
          <w:noProof/>
        </w:rPr>
      </w:pPr>
    </w:p>
    <w:p w:rsidR="008B6B70" w:rsidRPr="009B5734" w:rsidRDefault="008B6B70" w:rsidP="0046415F">
      <w:pPr>
        <w:ind w:left="0" w:firstLine="0"/>
        <w:rPr>
          <w:i/>
          <w:noProof/>
        </w:rPr>
      </w:pPr>
      <w:r w:rsidRPr="009B5734">
        <w:rPr>
          <w:rFonts w:ascii="Times New Roman" w:hAnsi="Times New Roman" w:cs="Times New Roman"/>
          <w:i/>
          <w:noProof/>
          <w:sz w:val="24"/>
        </w:rPr>
        <w:t>Coherence</w:t>
      </w:r>
      <w:r w:rsidR="00970301" w:rsidRPr="009B5734">
        <w:rPr>
          <w:rFonts w:ascii="Times New Roman" w:hAnsi="Times New Roman" w:cs="Times New Roman"/>
          <w:i/>
          <w:noProof/>
          <w:sz w:val="24"/>
        </w:rPr>
        <w:t xml:space="preserve"> and applicability of the legal framework</w:t>
      </w:r>
      <w:r w:rsidR="007F4B36" w:rsidRPr="009B5734">
        <w:rPr>
          <w:rFonts w:ascii="Times New Roman" w:hAnsi="Times New Roman" w:cs="Times New Roman"/>
          <w:i/>
          <w:noProof/>
          <w:sz w:val="24"/>
        </w:rPr>
        <w:t>:</w:t>
      </w:r>
    </w:p>
    <w:p w:rsidR="00BE27FE" w:rsidRPr="009B5734" w:rsidRDefault="00D61A70" w:rsidP="00E0222B">
      <w:pPr>
        <w:pStyle w:val="Text2"/>
        <w:spacing w:after="0"/>
        <w:ind w:left="0" w:firstLine="0"/>
        <w:rPr>
          <w:noProof/>
        </w:rPr>
      </w:pPr>
      <w:r w:rsidRPr="009B5734">
        <w:rPr>
          <w:noProof/>
        </w:rPr>
        <w:t xml:space="preserve">Overall, </w:t>
      </w:r>
      <w:r w:rsidR="00C9498E" w:rsidRPr="009B5734">
        <w:rPr>
          <w:b/>
          <w:noProof/>
        </w:rPr>
        <w:t>option 1.2.A</w:t>
      </w:r>
      <w:r w:rsidRPr="009B5734">
        <w:rPr>
          <w:noProof/>
        </w:rPr>
        <w:t xml:space="preserve"> </w:t>
      </w:r>
      <w:r w:rsidR="006305D2" w:rsidRPr="009B5734">
        <w:rPr>
          <w:noProof/>
        </w:rPr>
        <w:t xml:space="preserve">will </w:t>
      </w:r>
      <w:r w:rsidR="006305D2" w:rsidRPr="009B5734">
        <w:rPr>
          <w:b/>
          <w:noProof/>
        </w:rPr>
        <w:t>not facilitate the application</w:t>
      </w:r>
      <w:r w:rsidR="006305D2" w:rsidRPr="009B5734">
        <w:rPr>
          <w:noProof/>
        </w:rPr>
        <w:t xml:space="preserve"> of the legal framework as </w:t>
      </w:r>
      <w:r w:rsidR="00E10519" w:rsidRPr="009B5734">
        <w:rPr>
          <w:noProof/>
        </w:rPr>
        <w:t>it</w:t>
      </w:r>
      <w:r w:rsidR="006305D2" w:rsidRPr="009B5734">
        <w:rPr>
          <w:noProof/>
        </w:rPr>
        <w:t xml:space="preserve"> relies on an assessment carried out by businesses </w:t>
      </w:r>
      <w:r w:rsidR="006305D2" w:rsidRPr="009B5734">
        <w:rPr>
          <w:b/>
          <w:noProof/>
        </w:rPr>
        <w:t>according to the methodology of their choice</w:t>
      </w:r>
      <w:r w:rsidR="006305D2" w:rsidRPr="009B5734">
        <w:rPr>
          <w:noProof/>
        </w:rPr>
        <w:t xml:space="preserve">, and thus difficult to verify for enforcers. </w:t>
      </w:r>
      <w:r w:rsidR="00C9498E" w:rsidRPr="009B5734">
        <w:rPr>
          <w:b/>
          <w:noProof/>
        </w:rPr>
        <w:t>Option 1.2.B</w:t>
      </w:r>
      <w:r w:rsidR="00C9498E" w:rsidRPr="009B5734">
        <w:rPr>
          <w:noProof/>
        </w:rPr>
        <w:t xml:space="preserve"> is </w:t>
      </w:r>
      <w:r w:rsidR="00C9498E" w:rsidRPr="009B5734">
        <w:rPr>
          <w:b/>
          <w:noProof/>
        </w:rPr>
        <w:t>coherent with the legal framework and usefully complements the provisions set out in the Sale of Goods Directive and Consumer Rights Directive</w:t>
      </w:r>
      <w:r w:rsidR="00C9498E" w:rsidRPr="009B5734">
        <w:rPr>
          <w:noProof/>
        </w:rPr>
        <w:t xml:space="preserve"> as it will ensure clearer information to consumers at the point of sale on the length of the producer’s commercial guarantees of durability for all goods in scope. For the same reason, the option will also ensure a better and coherent application of the EU legal consumer framework (in particular the SGD and CRD) as it specifies that information on the existence or absence of a producer’s commercial guarantee of durability should be provided to consumers. In addition to option 1.2.B, </w:t>
      </w:r>
      <w:r w:rsidR="00C9498E" w:rsidRPr="009B5734">
        <w:rPr>
          <w:b/>
          <w:noProof/>
        </w:rPr>
        <w:t>option 1.2.C</w:t>
      </w:r>
      <w:r w:rsidR="00C9498E" w:rsidRPr="009B5734">
        <w:rPr>
          <w:noProof/>
        </w:rPr>
        <w:t xml:space="preserve"> would  ensure further coherence with SGD, as it would stipulate the number of years during which manufacturers commit to providing software updates, without prejudice to the statutory SGD right on software updates if the ‘reasonably expected period’ for updates turns out to be longer. </w:t>
      </w:r>
    </w:p>
    <w:p w:rsidR="009A67D5" w:rsidRPr="009B5734" w:rsidRDefault="009A67D5" w:rsidP="006B18B5">
      <w:pPr>
        <w:pStyle w:val="Heading5"/>
        <w:rPr>
          <w:rFonts w:ascii="Times New Roman" w:hAnsi="Times New Roman" w:cs="Times New Roman"/>
          <w:i w:val="0"/>
          <w:noProof/>
          <w:sz w:val="24"/>
        </w:rPr>
      </w:pPr>
      <w:bookmarkStart w:id="178" w:name="_Toc58149047"/>
      <w:bookmarkStart w:id="179" w:name="_Toc58222425"/>
      <w:bookmarkStart w:id="180" w:name="_Toc60734037"/>
      <w:bookmarkStart w:id="181" w:name="_Toc58603222"/>
      <w:bookmarkStart w:id="182" w:name="_Toc58604082"/>
      <w:bookmarkStart w:id="183" w:name="_Toc58605399"/>
      <w:r w:rsidRPr="009B5734">
        <w:rPr>
          <w:rFonts w:ascii="Times New Roman" w:hAnsi="Times New Roman" w:cs="Times New Roman"/>
          <w:i w:val="0"/>
          <w:noProof/>
          <w:sz w:val="24"/>
        </w:rPr>
        <w:t xml:space="preserve">How do the options compare? </w:t>
      </w:r>
    </w:p>
    <w:p w:rsidR="009A67D5" w:rsidRPr="009B5734" w:rsidRDefault="009A67D5" w:rsidP="009A67D5">
      <w:pPr>
        <w:spacing w:after="120"/>
        <w:ind w:left="0" w:firstLine="0"/>
        <w:rPr>
          <w:rFonts w:ascii="Times New Roman" w:hAnsi="Times New Roman"/>
          <w:noProof/>
          <w:sz w:val="24"/>
        </w:rPr>
      </w:pPr>
      <w:r w:rsidRPr="009B5734">
        <w:rPr>
          <w:rFonts w:ascii="Times New Roman" w:hAnsi="Times New Roman"/>
          <w:noProof/>
          <w:sz w:val="24"/>
        </w:rPr>
        <w:t>The results of the multi-criteria analysis (MCA)</w:t>
      </w:r>
      <w:r w:rsidRPr="009B5734">
        <w:rPr>
          <w:rStyle w:val="FootnoteReference"/>
          <w:rFonts w:ascii="Times New Roman" w:hAnsi="Times New Roman" w:cs="Times New Roman"/>
          <w:noProof/>
          <w:sz w:val="24"/>
          <w:szCs w:val="24"/>
        </w:rPr>
        <w:footnoteReference w:id="110"/>
      </w:r>
      <w:r w:rsidRPr="009B5734">
        <w:rPr>
          <w:rFonts w:ascii="Times New Roman" w:hAnsi="Times New Roman"/>
          <w:noProof/>
          <w:sz w:val="24"/>
        </w:rPr>
        <w:t xml:space="preserve"> for the default scenario (presented in </w:t>
      </w:r>
      <w:hyperlink w:anchor="_Sub-problem_1.2:_Lack" w:history="1">
        <w:r w:rsidRPr="009B5734">
          <w:rPr>
            <w:rStyle w:val="Hyperlink"/>
            <w:rFonts w:ascii="Times New Roman" w:hAnsi="Times New Roman"/>
            <w:noProof/>
            <w:sz w:val="24"/>
          </w:rPr>
          <w:t xml:space="preserve">Annex </w:t>
        </w:r>
        <w:r w:rsidR="005950FF" w:rsidRPr="009B5734">
          <w:rPr>
            <w:rStyle w:val="Hyperlink"/>
            <w:rFonts w:ascii="Times New Roman" w:hAnsi="Times New Roman"/>
            <w:noProof/>
            <w:sz w:val="24"/>
          </w:rPr>
          <w:t>9</w:t>
        </w:r>
        <w:r w:rsidRPr="009B5734">
          <w:rPr>
            <w:rStyle w:val="Hyperlink"/>
            <w:rFonts w:ascii="Times New Roman" w:hAnsi="Times New Roman"/>
            <w:noProof/>
            <w:sz w:val="24"/>
          </w:rPr>
          <w:t>, section</w:t>
        </w:r>
        <w:r w:rsidR="009B0C84" w:rsidRPr="009B5734">
          <w:rPr>
            <w:rStyle w:val="Hyperlink"/>
            <w:rFonts w:ascii="Times New Roman" w:hAnsi="Times New Roman"/>
            <w:noProof/>
            <w:sz w:val="24"/>
          </w:rPr>
          <w:t xml:space="preserve"> 2.1</w:t>
        </w:r>
      </w:hyperlink>
      <w:r w:rsidRPr="009B5734">
        <w:rPr>
          <w:rFonts w:ascii="Times New Roman" w:hAnsi="Times New Roman"/>
          <w:noProof/>
          <w:sz w:val="24"/>
        </w:rPr>
        <w:t xml:space="preserve">) shows that the ranking of options with the </w:t>
      </w:r>
      <w:r w:rsidRPr="009B5734">
        <w:rPr>
          <w:rFonts w:ascii="Times New Roman" w:hAnsi="Times New Roman"/>
          <w:b/>
          <w:noProof/>
          <w:sz w:val="24"/>
        </w:rPr>
        <w:t>highest score</w:t>
      </w:r>
      <w:r w:rsidRPr="009B5734">
        <w:rPr>
          <w:rFonts w:ascii="Times New Roman" w:hAnsi="Times New Roman"/>
          <w:noProof/>
          <w:sz w:val="24"/>
        </w:rPr>
        <w:t xml:space="preserve"> is the following: first </w:t>
      </w:r>
      <w:r w:rsidRPr="009B5734">
        <w:rPr>
          <w:rFonts w:ascii="Times New Roman" w:hAnsi="Times New Roman"/>
          <w:b/>
          <w:noProof/>
          <w:sz w:val="24"/>
        </w:rPr>
        <w:t>option 1.2.C</w:t>
      </w:r>
      <w:r w:rsidR="00280633" w:rsidRPr="009B5734">
        <w:rPr>
          <w:rFonts w:ascii="Times New Roman" w:hAnsi="Times New Roman"/>
          <w:noProof/>
          <w:sz w:val="24"/>
        </w:rPr>
        <w:t xml:space="preserve"> (information on commercial guarantee and </w:t>
      </w:r>
      <w:r w:rsidR="006E7152" w:rsidRPr="009B5734">
        <w:rPr>
          <w:rFonts w:ascii="Times New Roman" w:hAnsi="Times New Roman"/>
          <w:noProof/>
          <w:sz w:val="24"/>
        </w:rPr>
        <w:t>information on</w:t>
      </w:r>
      <w:r w:rsidR="002B4B0F" w:rsidRPr="009B5734">
        <w:rPr>
          <w:rFonts w:ascii="Times New Roman" w:hAnsi="Times New Roman"/>
          <w:noProof/>
          <w:sz w:val="24"/>
        </w:rPr>
        <w:t xml:space="preserve"> </w:t>
      </w:r>
      <w:r w:rsidR="00280633" w:rsidRPr="009B5734">
        <w:rPr>
          <w:rFonts w:ascii="Times New Roman" w:hAnsi="Times New Roman"/>
          <w:noProof/>
          <w:sz w:val="24"/>
        </w:rPr>
        <w:t>software updates)</w:t>
      </w:r>
      <w:r w:rsidRPr="009B5734">
        <w:rPr>
          <w:rFonts w:ascii="Times New Roman" w:hAnsi="Times New Roman"/>
          <w:noProof/>
          <w:sz w:val="24"/>
        </w:rPr>
        <w:t>, followed by option 1.2.B (information on commercial guarantee</w:t>
      </w:r>
      <w:r w:rsidR="002B4B0F" w:rsidRPr="009B5734">
        <w:rPr>
          <w:rFonts w:ascii="Times New Roman" w:hAnsi="Times New Roman"/>
          <w:noProof/>
          <w:sz w:val="24"/>
        </w:rPr>
        <w:t xml:space="preserve"> only</w:t>
      </w:r>
      <w:r w:rsidRPr="009B5734">
        <w:rPr>
          <w:rFonts w:ascii="Times New Roman" w:hAnsi="Times New Roman"/>
          <w:noProof/>
          <w:sz w:val="24"/>
        </w:rPr>
        <w:t xml:space="preserve">), then the baseline and finally option 1.2.A (information on expected lifespan). The sensitivity analysis suggests that this ranking of options is consistently the one obtaining the highest-score for the various alternative scenarios considered.  </w:t>
      </w:r>
    </w:p>
    <w:p w:rsidR="00494FE1" w:rsidRPr="00F67503" w:rsidRDefault="001653D6" w:rsidP="004931D3">
      <w:pPr>
        <w:spacing w:after="120"/>
        <w:ind w:left="0" w:firstLine="0"/>
        <w:rPr>
          <w:rFonts w:ascii="Times New Roman" w:hAnsi="Times New Roman"/>
          <w:noProof/>
          <w:sz w:val="24"/>
          <w:szCs w:val="24"/>
        </w:rPr>
      </w:pPr>
      <w:r w:rsidRPr="005D24D2">
        <w:rPr>
          <w:rFonts w:ascii="Times New Roman" w:hAnsi="Times New Roman"/>
          <w:noProof/>
          <w:sz w:val="24"/>
          <w:szCs w:val="24"/>
        </w:rPr>
        <w:t>When looking at the proportionality of the three options (efficiency criterion), t</w:t>
      </w:r>
      <w:r w:rsidR="009A67D5" w:rsidRPr="005D24D2">
        <w:rPr>
          <w:rFonts w:ascii="Times New Roman" w:hAnsi="Times New Roman"/>
          <w:noProof/>
          <w:sz w:val="24"/>
          <w:szCs w:val="24"/>
        </w:rPr>
        <w:t>he MCA shows that the tangible and intangible costs of option</w:t>
      </w:r>
      <w:r w:rsidR="002879B8" w:rsidRPr="005D24D2">
        <w:rPr>
          <w:rFonts w:ascii="Times New Roman" w:hAnsi="Times New Roman"/>
          <w:noProof/>
          <w:sz w:val="24"/>
          <w:szCs w:val="24"/>
        </w:rPr>
        <w:t>s</w:t>
      </w:r>
      <w:r w:rsidR="009A67D5" w:rsidRPr="005D24D2">
        <w:rPr>
          <w:rFonts w:ascii="Times New Roman" w:hAnsi="Times New Roman"/>
          <w:noProof/>
          <w:sz w:val="24"/>
          <w:szCs w:val="24"/>
        </w:rPr>
        <w:t xml:space="preserve"> </w:t>
      </w:r>
      <w:r w:rsidR="002879B8" w:rsidRPr="005D24D2">
        <w:rPr>
          <w:rFonts w:ascii="Times New Roman" w:hAnsi="Times New Roman"/>
          <w:noProof/>
          <w:sz w:val="24"/>
          <w:szCs w:val="24"/>
        </w:rPr>
        <w:t xml:space="preserve">1.2.B and </w:t>
      </w:r>
      <w:r w:rsidR="009A67D5" w:rsidRPr="005D24D2">
        <w:rPr>
          <w:rFonts w:ascii="Times New Roman" w:hAnsi="Times New Roman"/>
          <w:noProof/>
          <w:sz w:val="24"/>
          <w:szCs w:val="24"/>
        </w:rPr>
        <w:t>1.2.C</w:t>
      </w:r>
      <w:r w:rsidR="00A76154">
        <w:rPr>
          <w:rFonts w:ascii="Times New Roman" w:hAnsi="Times New Roman"/>
          <w:noProof/>
          <w:sz w:val="24"/>
          <w:szCs w:val="24"/>
        </w:rPr>
        <w:t xml:space="preserve">, including on businesses </w:t>
      </w:r>
      <w:r w:rsidR="00A76154" w:rsidRPr="008D65D2">
        <w:rPr>
          <w:rFonts w:ascii="Times New Roman" w:hAnsi="Times New Roman" w:cs="Times New Roman"/>
          <w:noProof/>
          <w:sz w:val="24"/>
          <w:szCs w:val="24"/>
        </w:rPr>
        <w:t>and public administrations</w:t>
      </w:r>
      <w:r w:rsidR="00A76154">
        <w:rPr>
          <w:noProof/>
        </w:rPr>
        <w:t>,</w:t>
      </w:r>
      <w:r w:rsidR="00A76154">
        <w:rPr>
          <w:rFonts w:ascii="Times New Roman" w:hAnsi="Times New Roman"/>
          <w:noProof/>
          <w:sz w:val="24"/>
          <w:szCs w:val="24"/>
        </w:rPr>
        <w:t>,</w:t>
      </w:r>
      <w:r w:rsidR="009A67D5" w:rsidRPr="005D24D2">
        <w:rPr>
          <w:rFonts w:ascii="Times New Roman" w:hAnsi="Times New Roman"/>
          <w:noProof/>
          <w:sz w:val="24"/>
          <w:szCs w:val="24"/>
        </w:rPr>
        <w:t xml:space="preserve"> are outweighed by their expected benefits</w:t>
      </w:r>
      <w:r w:rsidR="00A76154">
        <w:rPr>
          <w:rFonts w:ascii="Times New Roman" w:hAnsi="Times New Roman"/>
          <w:noProof/>
          <w:sz w:val="24"/>
          <w:szCs w:val="24"/>
        </w:rPr>
        <w:t xml:space="preserve"> to consumers and</w:t>
      </w:r>
      <w:r w:rsidR="00A76154" w:rsidRPr="00A76154">
        <w:rPr>
          <w:rFonts w:ascii="Times New Roman" w:hAnsi="Times New Roman"/>
          <w:noProof/>
          <w:sz w:val="24"/>
          <w:szCs w:val="24"/>
        </w:rPr>
        <w:t xml:space="preserve"> the environment</w:t>
      </w:r>
      <w:r w:rsidR="009A67D5" w:rsidRPr="005D24D2">
        <w:rPr>
          <w:rFonts w:ascii="Times New Roman" w:hAnsi="Times New Roman"/>
          <w:noProof/>
          <w:sz w:val="24"/>
          <w:szCs w:val="24"/>
        </w:rPr>
        <w:t>(even for the worst-case scenario</w:t>
      </w:r>
      <w:r w:rsidR="009A67D5" w:rsidRPr="009B5734">
        <w:rPr>
          <w:rFonts w:ascii="Times New Roman" w:hAnsi="Times New Roman" w:cs="Times New Roman"/>
          <w:noProof/>
          <w:sz w:val="24"/>
          <w:szCs w:val="24"/>
        </w:rPr>
        <w:t xml:space="preserve">). </w:t>
      </w:r>
      <w:r w:rsidR="003E662F" w:rsidRPr="009B5734">
        <w:rPr>
          <w:rFonts w:ascii="Times New Roman" w:hAnsi="Times New Roman" w:cs="Times New Roman"/>
          <w:noProof/>
          <w:sz w:val="24"/>
          <w:szCs w:val="24"/>
        </w:rPr>
        <w:t xml:space="preserve">In the </w:t>
      </w:r>
      <w:r w:rsidR="004F77F7" w:rsidRPr="009B5734">
        <w:rPr>
          <w:rFonts w:ascii="Times New Roman" w:hAnsi="Times New Roman" w:cs="Times New Roman"/>
          <w:noProof/>
          <w:sz w:val="24"/>
          <w:szCs w:val="24"/>
        </w:rPr>
        <w:t>eight</w:t>
      </w:r>
      <w:r w:rsidR="003E662F" w:rsidRPr="009B5734">
        <w:rPr>
          <w:rFonts w:ascii="Times New Roman" w:hAnsi="Times New Roman" w:cs="Times New Roman"/>
          <w:noProof/>
          <w:sz w:val="24"/>
          <w:szCs w:val="24"/>
        </w:rPr>
        <w:t xml:space="preserve"> scenarios that we simulated for the options, options 1.2.B and 1.2.C had a net positive outcome for society compared to the baseline. </w:t>
      </w:r>
      <w:r w:rsidR="009A67D5" w:rsidRPr="009B5734">
        <w:rPr>
          <w:rFonts w:ascii="Times New Roman" w:hAnsi="Times New Roman" w:cs="Times New Roman"/>
          <w:noProof/>
          <w:sz w:val="24"/>
          <w:szCs w:val="24"/>
        </w:rPr>
        <w:t>The</w:t>
      </w:r>
      <w:r w:rsidR="009A67D5" w:rsidRPr="005D24D2">
        <w:rPr>
          <w:rFonts w:ascii="Times New Roman" w:hAnsi="Times New Roman"/>
          <w:noProof/>
          <w:sz w:val="24"/>
          <w:szCs w:val="24"/>
        </w:rPr>
        <w:t xml:space="preserve"> results of the partial cost-benefit analysis (which only considers tangible and monetisable impacts) also suggest that the benefits of option 1.2.C and option 1.2.B are higher than their expected costs, with option 1.2.C presenting the highest net present value of the </w:t>
      </w:r>
      <w:r w:rsidR="004F77F7" w:rsidRPr="005D24D2">
        <w:rPr>
          <w:rFonts w:ascii="Times New Roman" w:hAnsi="Times New Roman"/>
          <w:noProof/>
          <w:sz w:val="24"/>
          <w:szCs w:val="24"/>
        </w:rPr>
        <w:t>three</w:t>
      </w:r>
      <w:r w:rsidR="002B4B0F" w:rsidRPr="005D24D2">
        <w:rPr>
          <w:rFonts w:ascii="Times New Roman" w:hAnsi="Times New Roman"/>
          <w:noProof/>
          <w:sz w:val="24"/>
          <w:szCs w:val="24"/>
        </w:rPr>
        <w:t xml:space="preserve"> </w:t>
      </w:r>
      <w:r w:rsidR="009A67D5" w:rsidRPr="005D24D2">
        <w:rPr>
          <w:rFonts w:ascii="Times New Roman" w:hAnsi="Times New Roman"/>
          <w:noProof/>
          <w:sz w:val="24"/>
          <w:szCs w:val="24"/>
        </w:rPr>
        <w:t>options considered</w:t>
      </w:r>
      <w:r w:rsidR="002C548E" w:rsidRPr="005D24D2">
        <w:rPr>
          <w:rFonts w:ascii="Times New Roman" w:hAnsi="Times New Roman"/>
          <w:noProof/>
          <w:sz w:val="24"/>
          <w:szCs w:val="24"/>
        </w:rPr>
        <w:t xml:space="preserve">. The cost and lack of harmonised methodology to assess products’ lifespan represent the main weak points of </w:t>
      </w:r>
      <w:r w:rsidR="004F77F7" w:rsidRPr="005D24D2">
        <w:rPr>
          <w:rFonts w:ascii="Times New Roman" w:hAnsi="Times New Roman"/>
          <w:noProof/>
          <w:sz w:val="24"/>
          <w:szCs w:val="24"/>
        </w:rPr>
        <w:t>o</w:t>
      </w:r>
      <w:r w:rsidR="002C548E" w:rsidRPr="005D24D2">
        <w:rPr>
          <w:rFonts w:ascii="Times New Roman" w:hAnsi="Times New Roman"/>
          <w:noProof/>
          <w:sz w:val="24"/>
          <w:szCs w:val="24"/>
        </w:rPr>
        <w:t>ption 1.2.A, undermining its effectiveness and efficiency. Its effectiveness would improve if product-specific rules imposed on the manufacturer are established that define the method and assumptions to calculate the expected durability of products. However, this would not be suitable within the scope of a horizontal consumer law instrument, with information obligations for the seller.</w:t>
      </w:r>
      <w:r w:rsidR="00202686" w:rsidRPr="009B5734">
        <w:rPr>
          <w:noProof/>
        </w:rPr>
        <w:t xml:space="preserve"> </w:t>
      </w:r>
    </w:p>
    <w:p w:rsidR="00AB4D9C" w:rsidRPr="0084232A" w:rsidRDefault="00A00208" w:rsidP="00A00208">
      <w:pPr>
        <w:pStyle w:val="Heading4"/>
        <w:rPr>
          <w:noProof/>
        </w:rPr>
      </w:pPr>
      <w:bookmarkStart w:id="184" w:name="_Toc58149048"/>
      <w:bookmarkStart w:id="185" w:name="_Toc58604083"/>
      <w:bookmarkEnd w:id="178"/>
      <w:bookmarkEnd w:id="179"/>
      <w:bookmarkEnd w:id="180"/>
      <w:bookmarkEnd w:id="181"/>
      <w:bookmarkEnd w:id="182"/>
      <w:bookmarkEnd w:id="183"/>
      <w:r w:rsidRPr="00A00208">
        <w:t>6.1.2.</w:t>
      </w:r>
      <w:r w:rsidRPr="00A00208">
        <w:tab/>
      </w:r>
      <w:r w:rsidR="00AB4D9C" w:rsidRPr="005D24D2">
        <w:rPr>
          <w:noProof/>
        </w:rPr>
        <w:t xml:space="preserve">Sub-Problem 1.3: Lack of </w:t>
      </w:r>
      <w:r w:rsidR="00F166B4" w:rsidRPr="005D24D2">
        <w:rPr>
          <w:noProof/>
        </w:rPr>
        <w:t xml:space="preserve">reliable </w:t>
      </w:r>
      <w:r w:rsidR="00AB4D9C" w:rsidRPr="005D24D2">
        <w:rPr>
          <w:noProof/>
        </w:rPr>
        <w:t>information about products’ reparability</w:t>
      </w:r>
      <w:bookmarkEnd w:id="184"/>
      <w:bookmarkEnd w:id="185"/>
    </w:p>
    <w:tbl>
      <w:tblPr>
        <w:tblStyle w:val="TableGrid"/>
        <w:tblW w:w="9004" w:type="dxa"/>
        <w:tblLook w:val="04A0" w:firstRow="1" w:lastRow="0" w:firstColumn="1" w:lastColumn="0" w:noHBand="0" w:noVBand="1"/>
      </w:tblPr>
      <w:tblGrid>
        <w:gridCol w:w="1867"/>
        <w:gridCol w:w="1946"/>
        <w:gridCol w:w="1885"/>
        <w:gridCol w:w="1490"/>
        <w:gridCol w:w="1816"/>
      </w:tblGrid>
      <w:tr w:rsidR="0012211B" w:rsidRPr="009B5734" w:rsidTr="0012211B">
        <w:trPr>
          <w:trHeight w:val="251"/>
        </w:trPr>
        <w:tc>
          <w:tcPr>
            <w:tcW w:w="1964" w:type="dxa"/>
          </w:tcPr>
          <w:p w:rsidR="0012211B" w:rsidRPr="009B5734" w:rsidRDefault="0012211B" w:rsidP="00463900">
            <w:pPr>
              <w:pStyle w:val="Text2"/>
              <w:ind w:left="0" w:firstLine="0"/>
              <w:rPr>
                <w:noProof/>
                <w:sz w:val="20"/>
              </w:rPr>
            </w:pPr>
            <w:r w:rsidRPr="009B5734">
              <w:rPr>
                <w:b/>
                <w:noProof/>
                <w:sz w:val="20"/>
              </w:rPr>
              <w:t xml:space="preserve">Option 1.3.A: </w:t>
            </w:r>
            <w:r w:rsidRPr="009B5734">
              <w:rPr>
                <w:noProof/>
                <w:sz w:val="20"/>
              </w:rPr>
              <w:t>Provision of updated, user-friendly repair and user manuals</w:t>
            </w:r>
          </w:p>
        </w:tc>
        <w:tc>
          <w:tcPr>
            <w:tcW w:w="2033" w:type="dxa"/>
          </w:tcPr>
          <w:p w:rsidR="0012211B" w:rsidRPr="009B5734" w:rsidRDefault="0012211B" w:rsidP="00463900">
            <w:pPr>
              <w:pStyle w:val="Text2"/>
              <w:ind w:left="0" w:firstLine="0"/>
              <w:rPr>
                <w:noProof/>
                <w:sz w:val="20"/>
              </w:rPr>
            </w:pPr>
            <w:r w:rsidRPr="009B5734">
              <w:rPr>
                <w:b/>
                <w:noProof/>
                <w:sz w:val="20"/>
              </w:rPr>
              <w:t xml:space="preserve">Option 1.3.B: </w:t>
            </w:r>
            <w:r w:rsidRPr="009B5734">
              <w:rPr>
                <w:noProof/>
                <w:sz w:val="20"/>
              </w:rPr>
              <w:t>Provision of information about how long and which spare parts are available</w:t>
            </w:r>
          </w:p>
        </w:tc>
        <w:tc>
          <w:tcPr>
            <w:tcW w:w="1965" w:type="dxa"/>
          </w:tcPr>
          <w:p w:rsidR="0012211B" w:rsidRPr="009B5734" w:rsidRDefault="0012211B" w:rsidP="0012211B">
            <w:pPr>
              <w:pStyle w:val="Text2"/>
              <w:ind w:left="0" w:firstLine="0"/>
              <w:rPr>
                <w:b/>
                <w:noProof/>
                <w:sz w:val="20"/>
              </w:rPr>
            </w:pPr>
            <w:r w:rsidRPr="009B5734">
              <w:rPr>
                <w:b/>
                <w:noProof/>
                <w:sz w:val="20"/>
              </w:rPr>
              <w:t xml:space="preserve">Option 1.3.C: </w:t>
            </w:r>
            <w:r w:rsidRPr="009B5734">
              <w:rPr>
                <w:noProof/>
                <w:sz w:val="20"/>
              </w:rPr>
              <w:t>Provision of information on availability of repair services</w:t>
            </w:r>
          </w:p>
          <w:p w:rsidR="0012211B" w:rsidRPr="009B5734" w:rsidRDefault="0012211B" w:rsidP="00463900">
            <w:pPr>
              <w:pStyle w:val="Text2"/>
              <w:ind w:left="0" w:firstLine="0"/>
              <w:rPr>
                <w:noProof/>
              </w:rPr>
            </w:pPr>
          </w:p>
        </w:tc>
        <w:tc>
          <w:tcPr>
            <w:tcW w:w="1521" w:type="dxa"/>
          </w:tcPr>
          <w:p w:rsidR="0012211B" w:rsidRPr="009B5734" w:rsidRDefault="0012211B" w:rsidP="00463900">
            <w:pPr>
              <w:pStyle w:val="Text2"/>
              <w:ind w:left="0" w:firstLine="0"/>
              <w:rPr>
                <w:b/>
                <w:noProof/>
                <w:sz w:val="20"/>
              </w:rPr>
            </w:pPr>
            <w:r w:rsidRPr="009B5734">
              <w:rPr>
                <w:b/>
                <w:noProof/>
                <w:sz w:val="20"/>
              </w:rPr>
              <w:t xml:space="preserve">Option 1.3.D: </w:t>
            </w:r>
            <w:r w:rsidRPr="009B5734">
              <w:rPr>
                <w:noProof/>
                <w:sz w:val="20"/>
              </w:rPr>
              <w:t>Reparability Scoring Index</w:t>
            </w:r>
          </w:p>
        </w:tc>
        <w:tc>
          <w:tcPr>
            <w:tcW w:w="1521" w:type="dxa"/>
          </w:tcPr>
          <w:p w:rsidR="0012211B" w:rsidRPr="009B5734" w:rsidRDefault="0012211B" w:rsidP="00463900">
            <w:pPr>
              <w:pStyle w:val="Text2"/>
              <w:ind w:left="0" w:firstLine="0"/>
              <w:rPr>
                <w:b/>
                <w:noProof/>
                <w:sz w:val="20"/>
              </w:rPr>
            </w:pPr>
            <w:r w:rsidRPr="009B5734">
              <w:rPr>
                <w:b/>
                <w:noProof/>
                <w:sz w:val="20"/>
              </w:rPr>
              <w:t xml:space="preserve">Option 1.3.E: </w:t>
            </w:r>
            <w:r w:rsidRPr="009B5734">
              <w:rPr>
                <w:noProof/>
                <w:sz w:val="20"/>
              </w:rPr>
              <w:t>Provision of Repair Scoring Index, or other relevant repair information on a where applicable/available basis</w:t>
            </w:r>
          </w:p>
        </w:tc>
      </w:tr>
    </w:tbl>
    <w:p w:rsidR="00764E91" w:rsidRPr="009B5734" w:rsidRDefault="000208FA" w:rsidP="006B18B5">
      <w:pPr>
        <w:pStyle w:val="Heading5"/>
        <w:rPr>
          <w:rFonts w:ascii="Times New Roman" w:hAnsi="Times New Roman" w:cs="Times New Roman"/>
          <w:i w:val="0"/>
          <w:noProof/>
          <w:sz w:val="24"/>
        </w:rPr>
      </w:pPr>
      <w:bookmarkStart w:id="186" w:name="_Toc58149049"/>
      <w:bookmarkStart w:id="187" w:name="_Toc58222427"/>
      <w:bookmarkStart w:id="188" w:name="_Toc58603224"/>
      <w:bookmarkStart w:id="189" w:name="_Toc58604084"/>
      <w:bookmarkStart w:id="190" w:name="_Toc58605401"/>
      <w:bookmarkStart w:id="191" w:name="_Toc60734039"/>
      <w:r w:rsidRPr="009B5734">
        <w:rPr>
          <w:rFonts w:ascii="Times New Roman" w:hAnsi="Times New Roman" w:cs="Times New Roman"/>
          <w:i w:val="0"/>
          <w:noProof/>
          <w:sz w:val="24"/>
        </w:rPr>
        <w:t>Impacts of the policy options</w:t>
      </w:r>
      <w:bookmarkEnd w:id="186"/>
      <w:bookmarkEnd w:id="187"/>
      <w:bookmarkEnd w:id="188"/>
      <w:bookmarkEnd w:id="189"/>
      <w:bookmarkEnd w:id="190"/>
      <w:bookmarkEnd w:id="191"/>
    </w:p>
    <w:p w:rsidR="009A563C" w:rsidRPr="009B5734" w:rsidRDefault="009A563C" w:rsidP="00202946">
      <w:pPr>
        <w:pStyle w:val="Text2"/>
        <w:spacing w:after="0"/>
        <w:ind w:left="0" w:firstLine="0"/>
        <w:rPr>
          <w:i/>
          <w:noProof/>
        </w:rPr>
      </w:pPr>
      <w:r w:rsidRPr="009B5734">
        <w:rPr>
          <w:i/>
          <w:noProof/>
        </w:rPr>
        <w:t>Impacts on consumers:</w:t>
      </w:r>
    </w:p>
    <w:p w:rsidR="00403B31" w:rsidRPr="009B5734" w:rsidRDefault="00844F25" w:rsidP="00D459F8">
      <w:pPr>
        <w:pStyle w:val="Text2"/>
        <w:spacing w:after="0"/>
        <w:ind w:left="0" w:firstLine="0"/>
        <w:rPr>
          <w:noProof/>
        </w:rPr>
      </w:pPr>
      <w:r w:rsidRPr="009B5734">
        <w:rPr>
          <w:noProof/>
          <w:szCs w:val="24"/>
        </w:rPr>
        <w:t xml:space="preserve">The provision of </w:t>
      </w:r>
      <w:r w:rsidRPr="009B5734">
        <w:rPr>
          <w:b/>
          <w:noProof/>
          <w:szCs w:val="24"/>
        </w:rPr>
        <w:t>updated, user-friendly repair and user manuals</w:t>
      </w:r>
      <w:r w:rsidRPr="009B5734">
        <w:rPr>
          <w:noProof/>
          <w:szCs w:val="24"/>
        </w:rPr>
        <w:t xml:space="preserve"> as considered under</w:t>
      </w:r>
      <w:r w:rsidRPr="009B5734">
        <w:rPr>
          <w:b/>
          <w:noProof/>
          <w:szCs w:val="24"/>
        </w:rPr>
        <w:t xml:space="preserve"> o</w:t>
      </w:r>
      <w:r w:rsidR="009A563C" w:rsidRPr="009B5734">
        <w:rPr>
          <w:b/>
          <w:noProof/>
          <w:szCs w:val="24"/>
        </w:rPr>
        <w:t>ption</w:t>
      </w:r>
      <w:r w:rsidR="009A563C" w:rsidRPr="009B5734">
        <w:rPr>
          <w:b/>
          <w:noProof/>
        </w:rPr>
        <w:t xml:space="preserve"> 1.3.A</w:t>
      </w:r>
      <w:r w:rsidR="009A563C" w:rsidRPr="009B5734">
        <w:rPr>
          <w:noProof/>
        </w:rPr>
        <w:t xml:space="preserve"> will remove some barrier</w:t>
      </w:r>
      <w:r w:rsidR="0075194A" w:rsidRPr="009B5734">
        <w:rPr>
          <w:noProof/>
        </w:rPr>
        <w:t>s</w:t>
      </w:r>
      <w:r w:rsidR="009A563C" w:rsidRPr="009B5734">
        <w:rPr>
          <w:noProof/>
        </w:rPr>
        <w:t xml:space="preserve"> to </w:t>
      </w:r>
      <w:r w:rsidR="0075194A" w:rsidRPr="009B5734">
        <w:rPr>
          <w:noProof/>
        </w:rPr>
        <w:t>self-repair and</w:t>
      </w:r>
      <w:r w:rsidR="00921E78" w:rsidRPr="009B5734">
        <w:rPr>
          <w:noProof/>
        </w:rPr>
        <w:t>,</w:t>
      </w:r>
      <w:r w:rsidR="0075194A" w:rsidRPr="009B5734">
        <w:rPr>
          <w:noProof/>
        </w:rPr>
        <w:t xml:space="preserve"> to some extent</w:t>
      </w:r>
      <w:r w:rsidR="00921E78" w:rsidRPr="009B5734">
        <w:rPr>
          <w:noProof/>
        </w:rPr>
        <w:t>,</w:t>
      </w:r>
      <w:r w:rsidR="0075194A" w:rsidRPr="009B5734">
        <w:rPr>
          <w:noProof/>
        </w:rPr>
        <w:t xml:space="preserve"> better</w:t>
      </w:r>
      <w:r w:rsidR="00921E78" w:rsidRPr="009B5734">
        <w:rPr>
          <w:noProof/>
        </w:rPr>
        <w:t>-</w:t>
      </w:r>
      <w:r w:rsidR="0075194A" w:rsidRPr="009B5734">
        <w:rPr>
          <w:noProof/>
        </w:rPr>
        <w:t>informed purchasing decisions</w:t>
      </w:r>
      <w:r w:rsidR="009A563C" w:rsidRPr="009B5734">
        <w:rPr>
          <w:noProof/>
        </w:rPr>
        <w:t>, giving a se</w:t>
      </w:r>
      <w:r w:rsidR="0075756B" w:rsidRPr="009B5734">
        <w:rPr>
          <w:noProof/>
        </w:rPr>
        <w:t>nse of empowerment to consumers</w:t>
      </w:r>
      <w:r w:rsidR="009A563C" w:rsidRPr="009B5734">
        <w:rPr>
          <w:noProof/>
        </w:rPr>
        <w:t>. By providing consumers with repair manual</w:t>
      </w:r>
      <w:r w:rsidR="0075194A" w:rsidRPr="009B5734">
        <w:rPr>
          <w:noProof/>
        </w:rPr>
        <w:t>s</w:t>
      </w:r>
      <w:r w:rsidR="009A563C" w:rsidRPr="009B5734">
        <w:rPr>
          <w:noProof/>
        </w:rPr>
        <w:t xml:space="preserve">, </w:t>
      </w:r>
      <w:r w:rsidR="0075756B" w:rsidRPr="009B5734">
        <w:rPr>
          <w:noProof/>
        </w:rPr>
        <w:t>consumers are expected to</w:t>
      </w:r>
      <w:r w:rsidR="009A563C" w:rsidRPr="009B5734">
        <w:rPr>
          <w:noProof/>
        </w:rPr>
        <w:t xml:space="preserve"> experience a “gain” equal to the value of the additional lifespan gained as a result of the repair, which is estimated to amount to </w:t>
      </w:r>
      <w:r w:rsidR="009A563C" w:rsidRPr="009B5734">
        <w:rPr>
          <w:b/>
          <w:noProof/>
        </w:rPr>
        <w:t xml:space="preserve">EUR </w:t>
      </w:r>
      <w:r w:rsidR="00954647" w:rsidRPr="009B5734">
        <w:rPr>
          <w:b/>
          <w:noProof/>
        </w:rPr>
        <w:t>4</w:t>
      </w:r>
      <w:r w:rsidR="00A008B2" w:rsidRPr="009B5734">
        <w:rPr>
          <w:b/>
          <w:noProof/>
        </w:rPr>
        <w:t>35</w:t>
      </w:r>
      <w:r w:rsidR="00954647" w:rsidRPr="009B5734">
        <w:rPr>
          <w:b/>
          <w:noProof/>
        </w:rPr>
        <w:t xml:space="preserve"> – </w:t>
      </w:r>
      <w:r w:rsidR="00A008B2" w:rsidRPr="009B5734">
        <w:rPr>
          <w:b/>
          <w:noProof/>
        </w:rPr>
        <w:t xml:space="preserve">760 </w:t>
      </w:r>
      <w:r w:rsidR="005F2512" w:rsidRPr="009B5734">
        <w:rPr>
          <w:b/>
          <w:noProof/>
        </w:rPr>
        <w:t>million</w:t>
      </w:r>
      <w:r w:rsidR="005F2512" w:rsidRPr="009B5734">
        <w:rPr>
          <w:noProof/>
        </w:rPr>
        <w:t xml:space="preserve"> for the period 202</w:t>
      </w:r>
      <w:r w:rsidR="00954647" w:rsidRPr="009B5734">
        <w:rPr>
          <w:noProof/>
        </w:rPr>
        <w:t>5</w:t>
      </w:r>
      <w:r w:rsidR="005F2512" w:rsidRPr="009B5734">
        <w:rPr>
          <w:noProof/>
        </w:rPr>
        <w:t>-20</w:t>
      </w:r>
      <w:r w:rsidR="00954647" w:rsidRPr="009B5734">
        <w:rPr>
          <w:noProof/>
        </w:rPr>
        <w:t>4</w:t>
      </w:r>
      <w:r w:rsidR="005F2512" w:rsidRPr="009B5734">
        <w:rPr>
          <w:noProof/>
        </w:rPr>
        <w:t>0</w:t>
      </w:r>
      <w:r w:rsidR="00C4302C">
        <w:rPr>
          <w:noProof/>
        </w:rPr>
        <w:t xml:space="preserve"> (or </w:t>
      </w:r>
      <w:r w:rsidR="00C4302C" w:rsidRPr="00C4302C">
        <w:rPr>
          <w:b/>
          <w:noProof/>
        </w:rPr>
        <w:t>EUR 29 – 51 million</w:t>
      </w:r>
      <w:r w:rsidR="00C4302C">
        <w:rPr>
          <w:noProof/>
        </w:rPr>
        <w:t xml:space="preserve"> </w:t>
      </w:r>
      <w:r w:rsidR="00C4302C" w:rsidRPr="00C4302C">
        <w:rPr>
          <w:b/>
          <w:noProof/>
        </w:rPr>
        <w:t>per year</w:t>
      </w:r>
      <w:r w:rsidR="00C4302C">
        <w:rPr>
          <w:noProof/>
        </w:rPr>
        <w:t>)</w:t>
      </w:r>
      <w:r w:rsidR="009A563C" w:rsidRPr="009B5734">
        <w:rPr>
          <w:noProof/>
        </w:rPr>
        <w:t>.</w:t>
      </w:r>
      <w:r w:rsidR="004A62A6" w:rsidRPr="009B5734">
        <w:rPr>
          <w:noProof/>
        </w:rPr>
        <w:t xml:space="preserve"> </w:t>
      </w:r>
      <w:r w:rsidRPr="009B5734">
        <w:rPr>
          <w:noProof/>
          <w:szCs w:val="24"/>
        </w:rPr>
        <w:t>The provision</w:t>
      </w:r>
      <w:r w:rsidRPr="009B5734">
        <w:rPr>
          <w:b/>
          <w:noProof/>
          <w:szCs w:val="24"/>
        </w:rPr>
        <w:t xml:space="preserve"> </w:t>
      </w:r>
      <w:r w:rsidRPr="009B5734">
        <w:rPr>
          <w:noProof/>
          <w:szCs w:val="24"/>
        </w:rPr>
        <w:t>of</w:t>
      </w:r>
      <w:r w:rsidRPr="009B5734">
        <w:rPr>
          <w:b/>
          <w:noProof/>
          <w:szCs w:val="24"/>
        </w:rPr>
        <w:t xml:space="preserve"> information about how long and which spare parts are available </w:t>
      </w:r>
      <w:r w:rsidRPr="009B5734">
        <w:rPr>
          <w:noProof/>
          <w:szCs w:val="24"/>
        </w:rPr>
        <w:t>as considered under</w:t>
      </w:r>
      <w:r w:rsidRPr="009B5734">
        <w:rPr>
          <w:b/>
          <w:noProof/>
          <w:szCs w:val="24"/>
        </w:rPr>
        <w:t xml:space="preserve"> o</w:t>
      </w:r>
      <w:r w:rsidR="003006FC" w:rsidRPr="009B5734">
        <w:rPr>
          <w:b/>
          <w:noProof/>
          <w:szCs w:val="24"/>
        </w:rPr>
        <w:t>ption</w:t>
      </w:r>
      <w:r w:rsidR="003006FC" w:rsidRPr="009B5734">
        <w:rPr>
          <w:noProof/>
        </w:rPr>
        <w:t xml:space="preserve"> </w:t>
      </w:r>
      <w:r w:rsidR="003006FC" w:rsidRPr="009B5734">
        <w:rPr>
          <w:b/>
          <w:noProof/>
        </w:rPr>
        <w:t>1.3.B</w:t>
      </w:r>
      <w:r w:rsidR="003006FC" w:rsidRPr="009B5734">
        <w:rPr>
          <w:noProof/>
        </w:rPr>
        <w:t xml:space="preserve"> will help consumers identify which products offer better conditions in terms of availability of spare parts and therefore improve their decision-making process. </w:t>
      </w:r>
      <w:r w:rsidR="00386B8E" w:rsidRPr="009B5734">
        <w:rPr>
          <w:noProof/>
        </w:rPr>
        <w:t>Similarly as under the previous option</w:t>
      </w:r>
      <w:r w:rsidR="003006FC" w:rsidRPr="009B5734">
        <w:rPr>
          <w:noProof/>
        </w:rPr>
        <w:t xml:space="preserve">, consumers </w:t>
      </w:r>
      <w:r w:rsidR="0075756B" w:rsidRPr="009B5734">
        <w:rPr>
          <w:noProof/>
        </w:rPr>
        <w:t>are expected to</w:t>
      </w:r>
      <w:r w:rsidR="003006FC" w:rsidRPr="009B5734">
        <w:rPr>
          <w:noProof/>
        </w:rPr>
        <w:t xml:space="preserve"> experience a “gain” equal to the value of the additional lifespan gained as a result of the repair, which is estimated to amount to </w:t>
      </w:r>
      <w:r w:rsidR="003006FC" w:rsidRPr="009B5734">
        <w:rPr>
          <w:b/>
          <w:noProof/>
        </w:rPr>
        <w:t xml:space="preserve">EUR 1 </w:t>
      </w:r>
      <w:r w:rsidR="00A008B2" w:rsidRPr="009B5734">
        <w:rPr>
          <w:b/>
          <w:noProof/>
        </w:rPr>
        <w:t>220</w:t>
      </w:r>
      <w:r w:rsidR="003006FC" w:rsidRPr="009B5734">
        <w:rPr>
          <w:b/>
          <w:noProof/>
        </w:rPr>
        <w:t xml:space="preserve"> – </w:t>
      </w:r>
      <w:r w:rsidR="00A008B2" w:rsidRPr="009B5734">
        <w:rPr>
          <w:b/>
          <w:noProof/>
        </w:rPr>
        <w:t xml:space="preserve">2 970 </w:t>
      </w:r>
      <w:r w:rsidR="003006FC" w:rsidRPr="009B5734">
        <w:rPr>
          <w:b/>
          <w:noProof/>
        </w:rPr>
        <w:t>million for the period 2025-2040</w:t>
      </w:r>
      <w:r w:rsidR="00C4302C">
        <w:rPr>
          <w:b/>
          <w:noProof/>
        </w:rPr>
        <w:t xml:space="preserve"> (</w:t>
      </w:r>
      <w:r w:rsidR="00C4302C" w:rsidRPr="00C4302C">
        <w:rPr>
          <w:noProof/>
        </w:rPr>
        <w:t>or</w:t>
      </w:r>
      <w:r w:rsidR="00C4302C">
        <w:rPr>
          <w:b/>
          <w:noProof/>
        </w:rPr>
        <w:t xml:space="preserve"> EUR 81 – 198 million per year)</w:t>
      </w:r>
      <w:r w:rsidR="003006FC" w:rsidRPr="009B5734">
        <w:rPr>
          <w:noProof/>
        </w:rPr>
        <w:t xml:space="preserve">. </w:t>
      </w:r>
      <w:r w:rsidR="00403B31" w:rsidRPr="009B5734">
        <w:rPr>
          <w:b/>
          <w:noProof/>
        </w:rPr>
        <w:t>Opti</w:t>
      </w:r>
      <w:r w:rsidR="00403B31" w:rsidRPr="009B5734">
        <w:rPr>
          <w:b/>
          <w:noProof/>
          <w:szCs w:val="24"/>
        </w:rPr>
        <w:t>on 1.3.C</w:t>
      </w:r>
      <w:r w:rsidRPr="009B5734">
        <w:rPr>
          <w:noProof/>
          <w:szCs w:val="24"/>
        </w:rPr>
        <w:t>,</w:t>
      </w:r>
      <w:r w:rsidRPr="009B5734">
        <w:rPr>
          <w:b/>
          <w:noProof/>
          <w:szCs w:val="24"/>
        </w:rPr>
        <w:t xml:space="preserve"> </w:t>
      </w:r>
      <w:r w:rsidRPr="009B5734">
        <w:rPr>
          <w:noProof/>
          <w:szCs w:val="24"/>
        </w:rPr>
        <w:t>namely the provision of</w:t>
      </w:r>
      <w:r w:rsidRPr="009B5734">
        <w:rPr>
          <w:b/>
          <w:noProof/>
          <w:szCs w:val="24"/>
        </w:rPr>
        <w:t xml:space="preserve"> information on availability of repair services,</w:t>
      </w:r>
      <w:r w:rsidR="003006FC" w:rsidRPr="009B5734">
        <w:rPr>
          <w:noProof/>
        </w:rPr>
        <w:t xml:space="preserve"> will have </w:t>
      </w:r>
      <w:r w:rsidR="00857B88" w:rsidRPr="009B5734">
        <w:rPr>
          <w:noProof/>
        </w:rPr>
        <w:t xml:space="preserve">less </w:t>
      </w:r>
      <w:r w:rsidR="003006FC" w:rsidRPr="009B5734">
        <w:rPr>
          <w:noProof/>
        </w:rPr>
        <w:t>impact on consumers who do not live near the place where the product was purchased</w:t>
      </w:r>
      <w:r w:rsidR="00857B88" w:rsidRPr="009B5734">
        <w:rPr>
          <w:noProof/>
        </w:rPr>
        <w:t>. Although producers will be able to provide information on repair services in other regions and Member States with which they are affiliated or associated, sellers will be less likely to have available information on the existence of local or independent r</w:t>
      </w:r>
      <w:r w:rsidR="008A41C0" w:rsidRPr="009B5734">
        <w:rPr>
          <w:noProof/>
        </w:rPr>
        <w:t>epair services in other regions</w:t>
      </w:r>
      <w:r w:rsidR="003006FC" w:rsidRPr="009B5734">
        <w:rPr>
          <w:noProof/>
        </w:rPr>
        <w:t xml:space="preserve">. </w:t>
      </w:r>
      <w:r w:rsidR="00403B31" w:rsidRPr="009B5734">
        <w:rPr>
          <w:noProof/>
        </w:rPr>
        <w:t>Furthermore, t</w:t>
      </w:r>
      <w:r w:rsidR="00E34D6C" w:rsidRPr="009B5734">
        <w:rPr>
          <w:noProof/>
        </w:rPr>
        <w:t>he</w:t>
      </w:r>
      <w:r w:rsidR="00E34D6C" w:rsidRPr="009B5734">
        <w:rPr>
          <w:b/>
          <w:noProof/>
        </w:rPr>
        <w:t xml:space="preserve"> </w:t>
      </w:r>
      <w:r w:rsidR="003006FC" w:rsidRPr="009B5734">
        <w:rPr>
          <w:noProof/>
        </w:rPr>
        <w:t xml:space="preserve">lack of effectiveness of the option in providing complete information is expected to lead only to a minor increase of the consumer surplus, which is estimated to amount to </w:t>
      </w:r>
      <w:r w:rsidR="003006FC" w:rsidRPr="009B5734">
        <w:rPr>
          <w:b/>
          <w:noProof/>
        </w:rPr>
        <w:t xml:space="preserve">EUR </w:t>
      </w:r>
      <w:r w:rsidR="00A008B2" w:rsidRPr="009B5734">
        <w:rPr>
          <w:b/>
          <w:noProof/>
        </w:rPr>
        <w:t xml:space="preserve">115 </w:t>
      </w:r>
      <w:r w:rsidR="003006FC" w:rsidRPr="009B5734">
        <w:rPr>
          <w:b/>
          <w:noProof/>
        </w:rPr>
        <w:t xml:space="preserve">- </w:t>
      </w:r>
      <w:r w:rsidR="00A008B2" w:rsidRPr="009B5734">
        <w:rPr>
          <w:b/>
          <w:noProof/>
        </w:rPr>
        <w:t xml:space="preserve">250 </w:t>
      </w:r>
      <w:r w:rsidR="003006FC" w:rsidRPr="009B5734">
        <w:rPr>
          <w:b/>
          <w:noProof/>
        </w:rPr>
        <w:t>million in the period 2025-2040</w:t>
      </w:r>
      <w:r w:rsidR="00C4302C">
        <w:rPr>
          <w:b/>
          <w:noProof/>
        </w:rPr>
        <w:t xml:space="preserve"> (</w:t>
      </w:r>
      <w:r w:rsidR="00C4302C" w:rsidRPr="00C4302C">
        <w:rPr>
          <w:noProof/>
        </w:rPr>
        <w:t>or</w:t>
      </w:r>
      <w:r w:rsidR="00C4302C">
        <w:rPr>
          <w:b/>
          <w:noProof/>
        </w:rPr>
        <w:t xml:space="preserve"> EUR 8 – 17 million per year)</w:t>
      </w:r>
      <w:r w:rsidR="003006FC" w:rsidRPr="009B5734">
        <w:rPr>
          <w:noProof/>
        </w:rPr>
        <w:t>.</w:t>
      </w:r>
      <w:r w:rsidR="007C04DD" w:rsidRPr="009B5734">
        <w:rPr>
          <w:noProof/>
        </w:rPr>
        <w:t xml:space="preserve"> </w:t>
      </w:r>
      <w:r w:rsidRPr="009B5734">
        <w:rPr>
          <w:noProof/>
          <w:szCs w:val="24"/>
        </w:rPr>
        <w:t xml:space="preserve">The provision of a </w:t>
      </w:r>
      <w:r w:rsidRPr="009B5734">
        <w:rPr>
          <w:b/>
          <w:noProof/>
          <w:szCs w:val="24"/>
        </w:rPr>
        <w:t xml:space="preserve">Reparability Scoring Index, </w:t>
      </w:r>
      <w:r w:rsidRPr="009B5734">
        <w:rPr>
          <w:noProof/>
          <w:szCs w:val="24"/>
        </w:rPr>
        <w:t>as considered under</w:t>
      </w:r>
      <w:r w:rsidRPr="009B5734">
        <w:rPr>
          <w:b/>
          <w:noProof/>
          <w:szCs w:val="24"/>
        </w:rPr>
        <w:t xml:space="preserve"> o</w:t>
      </w:r>
      <w:r w:rsidR="007C04DD" w:rsidRPr="009B5734">
        <w:rPr>
          <w:b/>
          <w:noProof/>
          <w:szCs w:val="24"/>
        </w:rPr>
        <w:t>ption 1.3.D</w:t>
      </w:r>
      <w:r w:rsidRPr="009B5734">
        <w:rPr>
          <w:b/>
          <w:noProof/>
          <w:szCs w:val="24"/>
        </w:rPr>
        <w:t>,</w:t>
      </w:r>
      <w:r w:rsidR="007C04DD" w:rsidRPr="009B5734">
        <w:rPr>
          <w:noProof/>
        </w:rPr>
        <w:t xml:space="preserve"> is expected to have a limited impact on the quality of consumer decisions. </w:t>
      </w:r>
      <w:r w:rsidR="00E34D6C" w:rsidRPr="009B5734">
        <w:rPr>
          <w:noProof/>
        </w:rPr>
        <w:t>A repair score allows for</w:t>
      </w:r>
      <w:r w:rsidR="007C04DD" w:rsidRPr="009B5734">
        <w:rPr>
          <w:noProof/>
        </w:rPr>
        <w:t xml:space="preserve"> a wide range of reparability aspects</w:t>
      </w:r>
      <w:r w:rsidR="00E34D6C" w:rsidRPr="009B5734">
        <w:rPr>
          <w:noProof/>
        </w:rPr>
        <w:t xml:space="preserve"> to be covered</w:t>
      </w:r>
      <w:r w:rsidR="007C04DD" w:rsidRPr="009B5734">
        <w:rPr>
          <w:noProof/>
        </w:rPr>
        <w:t xml:space="preserve"> effectively, without leading to information overload. </w:t>
      </w:r>
      <w:r w:rsidR="00E34D6C" w:rsidRPr="009B5734">
        <w:rPr>
          <w:b/>
          <w:noProof/>
        </w:rPr>
        <w:t>However this option requires</w:t>
      </w:r>
      <w:r w:rsidR="007C04DD" w:rsidRPr="009B5734">
        <w:rPr>
          <w:b/>
          <w:noProof/>
        </w:rPr>
        <w:t xml:space="preserve"> that all manufacturers </w:t>
      </w:r>
      <w:r w:rsidR="00E34D6C" w:rsidRPr="009B5734">
        <w:rPr>
          <w:b/>
          <w:noProof/>
        </w:rPr>
        <w:t>implement</w:t>
      </w:r>
      <w:r w:rsidR="007C04DD" w:rsidRPr="009B5734">
        <w:rPr>
          <w:b/>
          <w:noProof/>
        </w:rPr>
        <w:t xml:space="preserve"> the JRC general</w:t>
      </w:r>
      <w:r w:rsidR="00E34D6C" w:rsidRPr="009B5734">
        <w:rPr>
          <w:b/>
          <w:noProof/>
        </w:rPr>
        <w:t xml:space="preserve"> repair score</w:t>
      </w:r>
      <w:r w:rsidR="007C04DD" w:rsidRPr="009B5734">
        <w:rPr>
          <w:b/>
          <w:noProof/>
        </w:rPr>
        <w:t xml:space="preserve"> methodology in exactly the same way</w:t>
      </w:r>
      <w:r w:rsidR="007C04DD" w:rsidRPr="009B5734">
        <w:rPr>
          <w:noProof/>
        </w:rPr>
        <w:t xml:space="preserve"> to guarantee a reliable comparability between products</w:t>
      </w:r>
      <w:r w:rsidR="00E34D6C" w:rsidRPr="009B5734">
        <w:rPr>
          <w:noProof/>
        </w:rPr>
        <w:t>. This could be difficult in reality given the heterogeneous nature of products.</w:t>
      </w:r>
      <w:r w:rsidR="007C04DD" w:rsidRPr="009B5734">
        <w:rPr>
          <w:noProof/>
        </w:rPr>
        <w:t xml:space="preserve"> Nevertheless, this option is expected to lead to an increase in the consumer surplus, which is estimated to amount to </w:t>
      </w:r>
      <w:r w:rsidR="007C04DD" w:rsidRPr="009B5734">
        <w:rPr>
          <w:b/>
          <w:noProof/>
        </w:rPr>
        <w:t xml:space="preserve">EUR </w:t>
      </w:r>
      <w:r w:rsidR="00A008B2" w:rsidRPr="009B5734">
        <w:rPr>
          <w:b/>
          <w:noProof/>
        </w:rPr>
        <w:t xml:space="preserve">455 </w:t>
      </w:r>
      <w:r w:rsidR="007C04DD" w:rsidRPr="009B5734">
        <w:rPr>
          <w:b/>
          <w:noProof/>
        </w:rPr>
        <w:t xml:space="preserve">– </w:t>
      </w:r>
      <w:r w:rsidR="00A008B2" w:rsidRPr="009B5734">
        <w:rPr>
          <w:b/>
          <w:noProof/>
        </w:rPr>
        <w:t>995</w:t>
      </w:r>
      <w:r w:rsidR="007C04DD" w:rsidRPr="009B5734">
        <w:rPr>
          <w:b/>
          <w:noProof/>
        </w:rPr>
        <w:t xml:space="preserve"> million in the period 2025-2040</w:t>
      </w:r>
      <w:r w:rsidR="00C4302C">
        <w:rPr>
          <w:b/>
          <w:noProof/>
        </w:rPr>
        <w:t xml:space="preserve"> (</w:t>
      </w:r>
      <w:r w:rsidR="00C4302C" w:rsidRPr="00C4302C">
        <w:rPr>
          <w:noProof/>
        </w:rPr>
        <w:t>or</w:t>
      </w:r>
      <w:r w:rsidR="00C4302C">
        <w:rPr>
          <w:b/>
          <w:noProof/>
        </w:rPr>
        <w:t xml:space="preserve"> EUR 30 – 66 million per year)</w:t>
      </w:r>
      <w:r w:rsidR="007C04DD" w:rsidRPr="009B5734">
        <w:rPr>
          <w:noProof/>
        </w:rPr>
        <w:t>.</w:t>
      </w:r>
      <w:r w:rsidR="00F754B6" w:rsidRPr="009B5734">
        <w:rPr>
          <w:noProof/>
        </w:rPr>
        <w:t xml:space="preserve"> </w:t>
      </w:r>
      <w:r w:rsidR="00F754B6" w:rsidRPr="009B5734">
        <w:rPr>
          <w:b/>
          <w:noProof/>
        </w:rPr>
        <w:t>Option 1.3.E</w:t>
      </w:r>
      <w:r w:rsidRPr="009B5734">
        <w:rPr>
          <w:noProof/>
        </w:rPr>
        <w:t>,</w:t>
      </w:r>
      <w:r w:rsidRPr="009B5734">
        <w:rPr>
          <w:b/>
          <w:noProof/>
        </w:rPr>
        <w:t xml:space="preserve"> </w:t>
      </w:r>
      <w:r w:rsidRPr="009B5734">
        <w:rPr>
          <w:noProof/>
        </w:rPr>
        <w:t>namely the provision of a</w:t>
      </w:r>
      <w:r w:rsidRPr="009B5734">
        <w:rPr>
          <w:b/>
          <w:noProof/>
        </w:rPr>
        <w:t xml:space="preserve"> Repair Scoring Index, or other relevant repair information on a where applicable/available basis</w:t>
      </w:r>
      <w:r w:rsidR="00F754B6" w:rsidRPr="009B5734">
        <w:rPr>
          <w:noProof/>
        </w:rPr>
        <w:t xml:space="preserve"> </w:t>
      </w:r>
      <w:r w:rsidR="00E34D6C" w:rsidRPr="009B5734">
        <w:rPr>
          <w:noProof/>
        </w:rPr>
        <w:t>is expected to</w:t>
      </w:r>
      <w:r w:rsidR="00F754B6" w:rsidRPr="009B5734">
        <w:rPr>
          <w:noProof/>
        </w:rPr>
        <w:t xml:space="preserve"> increase the quality of consumer decision-making as it will increase the likelihood that high quality information is provided to th</w:t>
      </w:r>
      <w:r w:rsidR="001E55CE" w:rsidRPr="009B5734">
        <w:rPr>
          <w:noProof/>
        </w:rPr>
        <w:t>e consumer at the point of sale</w:t>
      </w:r>
      <w:r w:rsidR="001D38FB">
        <w:rPr>
          <w:noProof/>
        </w:rPr>
        <w:t xml:space="preserve"> without leading to information overload</w:t>
      </w:r>
      <w:r w:rsidR="00F754B6" w:rsidRPr="009B5734">
        <w:rPr>
          <w:noProof/>
        </w:rPr>
        <w:t>. Furthermore it avoids the drawback of option 1.3.D which relies on all manufacturers implementing the JRC general repair score methodology in exactly the same way</w:t>
      </w:r>
      <w:r w:rsidR="001E55CE" w:rsidRPr="009B5734">
        <w:rPr>
          <w:noProof/>
        </w:rPr>
        <w:t xml:space="preserve">, in that it </w:t>
      </w:r>
      <w:r w:rsidR="00F754B6" w:rsidRPr="009B5734">
        <w:rPr>
          <w:noProof/>
        </w:rPr>
        <w:t xml:space="preserve">provides for the provision at the point of sale of those repair scores </w:t>
      </w:r>
      <w:r w:rsidR="00F754B6" w:rsidRPr="009B5734">
        <w:rPr>
          <w:b/>
          <w:noProof/>
        </w:rPr>
        <w:t>which are applicable in the case of the product and sector in question</w:t>
      </w:r>
      <w:r w:rsidR="00F754B6" w:rsidRPr="009B5734">
        <w:rPr>
          <w:noProof/>
        </w:rPr>
        <w:t xml:space="preserve">. It also has the benefit that the information </w:t>
      </w:r>
      <w:r w:rsidR="00386B8E" w:rsidRPr="009B5734">
        <w:rPr>
          <w:noProof/>
        </w:rPr>
        <w:t xml:space="preserve">can </w:t>
      </w:r>
      <w:r w:rsidR="00F754B6" w:rsidRPr="009B5734">
        <w:rPr>
          <w:noProof/>
        </w:rPr>
        <w:t xml:space="preserve">be provided on a </w:t>
      </w:r>
      <w:r w:rsidR="00F754B6" w:rsidRPr="009B5734">
        <w:rPr>
          <w:b/>
          <w:noProof/>
        </w:rPr>
        <w:t>wider range of products</w:t>
      </w:r>
      <w:r w:rsidR="00386B8E" w:rsidRPr="009B5734">
        <w:rPr>
          <w:noProof/>
        </w:rPr>
        <w:t xml:space="preserve"> then </w:t>
      </w:r>
      <w:r w:rsidR="006E7152" w:rsidRPr="009B5734">
        <w:rPr>
          <w:noProof/>
        </w:rPr>
        <w:t xml:space="preserve">the other </w:t>
      </w:r>
      <w:r w:rsidR="00F754B6" w:rsidRPr="009B5734">
        <w:rPr>
          <w:noProof/>
        </w:rPr>
        <w:t>options</w:t>
      </w:r>
      <w:r w:rsidR="006E7152" w:rsidRPr="009B5734">
        <w:rPr>
          <w:noProof/>
        </w:rPr>
        <w:t>, as they</w:t>
      </w:r>
      <w:r w:rsidR="00F754B6" w:rsidRPr="009B5734">
        <w:rPr>
          <w:noProof/>
        </w:rPr>
        <w:t xml:space="preserve"> would provide repair information on a defined, hence more narrow, product scope (i.e. energy-using goods only), while manufacturers may be potentially interested/able to provide repair information for other product categories as well. Finally, </w:t>
      </w:r>
      <w:r w:rsidR="00386B8E" w:rsidRPr="009B5734">
        <w:rPr>
          <w:noProof/>
        </w:rPr>
        <w:t xml:space="preserve">under option 1.3.E </w:t>
      </w:r>
      <w:r w:rsidR="00F754B6" w:rsidRPr="009B5734">
        <w:rPr>
          <w:noProof/>
        </w:rPr>
        <w:t>the fact that manufacturers who provide repair information on their products can be certain that such information will be presented to consumers at the point of sale</w:t>
      </w:r>
      <w:r w:rsidR="00D3773F" w:rsidRPr="009B5734">
        <w:rPr>
          <w:noProof/>
        </w:rPr>
        <w:t xml:space="preserve">, </w:t>
      </w:r>
      <w:r w:rsidR="00F754B6" w:rsidRPr="009B5734">
        <w:rPr>
          <w:noProof/>
        </w:rPr>
        <w:t>mean</w:t>
      </w:r>
      <w:r w:rsidR="00D3773F" w:rsidRPr="009B5734">
        <w:rPr>
          <w:noProof/>
        </w:rPr>
        <w:t>ing</w:t>
      </w:r>
      <w:r w:rsidR="00F754B6" w:rsidRPr="009B5734">
        <w:rPr>
          <w:noProof/>
        </w:rPr>
        <w:t xml:space="preserve"> that manufacturers will be </w:t>
      </w:r>
      <w:r w:rsidR="00F754B6" w:rsidRPr="009B5734">
        <w:rPr>
          <w:b/>
          <w:noProof/>
        </w:rPr>
        <w:t>incentivised to compete</w:t>
      </w:r>
      <w:r w:rsidR="00F754B6" w:rsidRPr="009B5734">
        <w:rPr>
          <w:noProof/>
        </w:rPr>
        <w:t xml:space="preserve"> to provide the best repair conditions on their products. This increased competition is expected to provide further benefits for consumers.</w:t>
      </w:r>
    </w:p>
    <w:p w:rsidR="00403B31" w:rsidRPr="009B5734" w:rsidRDefault="00403B31" w:rsidP="00202946">
      <w:pPr>
        <w:ind w:left="0" w:firstLine="0"/>
        <w:rPr>
          <w:rFonts w:ascii="Times New Roman" w:hAnsi="Times New Roman" w:cs="Times New Roman"/>
          <w:i/>
          <w:noProof/>
          <w:sz w:val="24"/>
        </w:rPr>
      </w:pPr>
    </w:p>
    <w:p w:rsidR="009A563C" w:rsidRPr="009B5734" w:rsidRDefault="009A563C" w:rsidP="00202946">
      <w:pPr>
        <w:ind w:left="0" w:firstLine="0"/>
        <w:rPr>
          <w:i/>
          <w:noProof/>
        </w:rPr>
      </w:pPr>
      <w:r w:rsidRPr="009B5734">
        <w:rPr>
          <w:rFonts w:ascii="Times New Roman" w:hAnsi="Times New Roman" w:cs="Times New Roman"/>
          <w:i/>
          <w:noProof/>
          <w:sz w:val="24"/>
        </w:rPr>
        <w:t>Impacts on businesses:</w:t>
      </w:r>
    </w:p>
    <w:p w:rsidR="00F754B6" w:rsidRPr="009B5734" w:rsidRDefault="003006FC" w:rsidP="00F754B6">
      <w:pPr>
        <w:ind w:left="0" w:firstLine="0"/>
        <w:rPr>
          <w:rFonts w:ascii="Times New Roman" w:hAnsi="Times New Roman" w:cs="Times New Roman"/>
          <w:i/>
          <w:noProof/>
          <w:sz w:val="24"/>
          <w:szCs w:val="24"/>
        </w:rPr>
      </w:pPr>
      <w:r w:rsidRPr="009B5734">
        <w:rPr>
          <w:rFonts w:ascii="Times New Roman" w:eastAsia="Times New Roman" w:hAnsi="Times New Roman" w:cs="Times New Roman"/>
          <w:noProof/>
          <w:sz w:val="24"/>
          <w:szCs w:val="20"/>
        </w:rPr>
        <w:t xml:space="preserve">Under </w:t>
      </w:r>
      <w:r w:rsidRPr="009B5734">
        <w:rPr>
          <w:rFonts w:ascii="Times New Roman" w:eastAsia="Times New Roman" w:hAnsi="Times New Roman" w:cs="Times New Roman"/>
          <w:b/>
          <w:noProof/>
          <w:sz w:val="24"/>
          <w:szCs w:val="20"/>
        </w:rPr>
        <w:t xml:space="preserve">option 1.3.A </w:t>
      </w:r>
      <w:r w:rsidR="001E55CE" w:rsidRPr="009B5734">
        <w:rPr>
          <w:rFonts w:ascii="Times New Roman" w:eastAsia="Times New Roman" w:hAnsi="Times New Roman" w:cs="Times New Roman"/>
          <w:noProof/>
          <w:sz w:val="24"/>
          <w:szCs w:val="20"/>
        </w:rPr>
        <w:t>m</w:t>
      </w:r>
      <w:r w:rsidR="009A563C" w:rsidRPr="009B5734">
        <w:rPr>
          <w:rFonts w:ascii="Times New Roman" w:eastAsia="Times New Roman" w:hAnsi="Times New Roman" w:cs="Times New Roman"/>
          <w:noProof/>
          <w:sz w:val="24"/>
          <w:szCs w:val="20"/>
        </w:rPr>
        <w:t xml:space="preserve">anufacturers will have to produce repair manuals for each model. </w:t>
      </w:r>
      <w:r w:rsidR="001E55CE" w:rsidRPr="009B5734">
        <w:rPr>
          <w:rFonts w:ascii="Times New Roman" w:eastAsia="Times New Roman" w:hAnsi="Times New Roman" w:cs="Times New Roman"/>
          <w:noProof/>
          <w:sz w:val="24"/>
          <w:szCs w:val="20"/>
        </w:rPr>
        <w:t>It</w:t>
      </w:r>
      <w:r w:rsidR="00C7454C" w:rsidRPr="009B5734">
        <w:rPr>
          <w:rFonts w:ascii="Times New Roman" w:eastAsia="Times New Roman" w:hAnsi="Times New Roman" w:cs="Times New Roman"/>
          <w:noProof/>
          <w:sz w:val="24"/>
          <w:szCs w:val="20"/>
        </w:rPr>
        <w:t xml:space="preserve"> is </w:t>
      </w:r>
      <w:r w:rsidR="009A563C" w:rsidRPr="009B5734">
        <w:rPr>
          <w:rFonts w:ascii="Times New Roman" w:eastAsia="Times New Roman" w:hAnsi="Times New Roman" w:cs="Times New Roman"/>
          <w:noProof/>
          <w:sz w:val="24"/>
          <w:szCs w:val="20"/>
        </w:rPr>
        <w:t>estimate</w:t>
      </w:r>
      <w:r w:rsidR="00C7454C" w:rsidRPr="009B5734">
        <w:rPr>
          <w:rFonts w:ascii="Times New Roman" w:eastAsia="Times New Roman" w:hAnsi="Times New Roman" w:cs="Times New Roman"/>
          <w:noProof/>
          <w:sz w:val="24"/>
          <w:szCs w:val="20"/>
        </w:rPr>
        <w:t>d that</w:t>
      </w:r>
      <w:r w:rsidR="009A563C" w:rsidRPr="009B5734">
        <w:rPr>
          <w:rFonts w:ascii="Times New Roman" w:eastAsia="Times New Roman" w:hAnsi="Times New Roman" w:cs="Times New Roman"/>
          <w:noProof/>
          <w:sz w:val="24"/>
          <w:szCs w:val="20"/>
        </w:rPr>
        <w:t xml:space="preserve"> the minimum cost of producing a repair manual (for users) </w:t>
      </w:r>
      <w:r w:rsidR="00C7454C" w:rsidRPr="009B5734">
        <w:rPr>
          <w:rFonts w:ascii="Times New Roman" w:eastAsia="Times New Roman" w:hAnsi="Times New Roman" w:cs="Times New Roman"/>
          <w:noProof/>
          <w:sz w:val="24"/>
          <w:szCs w:val="20"/>
        </w:rPr>
        <w:t>is</w:t>
      </w:r>
      <w:r w:rsidR="009A563C" w:rsidRPr="009B5734">
        <w:rPr>
          <w:rFonts w:ascii="Times New Roman" w:eastAsia="Times New Roman" w:hAnsi="Times New Roman" w:cs="Times New Roman"/>
          <w:noProof/>
          <w:sz w:val="24"/>
          <w:szCs w:val="20"/>
        </w:rPr>
        <w:t xml:space="preserve"> between EUR 4</w:t>
      </w:r>
      <w:r w:rsidR="00DA4D24" w:rsidRPr="009B5734">
        <w:rPr>
          <w:rFonts w:ascii="Times New Roman" w:eastAsia="Times New Roman" w:hAnsi="Times New Roman" w:cs="Times New Roman"/>
          <w:noProof/>
          <w:sz w:val="24"/>
          <w:szCs w:val="20"/>
        </w:rPr>
        <w:t> </w:t>
      </w:r>
      <w:r w:rsidR="009A563C" w:rsidRPr="009B5734">
        <w:rPr>
          <w:rFonts w:ascii="Times New Roman" w:eastAsia="Times New Roman" w:hAnsi="Times New Roman" w:cs="Times New Roman"/>
          <w:noProof/>
          <w:sz w:val="24"/>
          <w:szCs w:val="20"/>
        </w:rPr>
        <w:t>000 and 6</w:t>
      </w:r>
      <w:r w:rsidR="00DA4D24" w:rsidRPr="009B5734">
        <w:rPr>
          <w:rFonts w:ascii="Times New Roman" w:eastAsia="Times New Roman" w:hAnsi="Times New Roman" w:cs="Times New Roman"/>
          <w:noProof/>
          <w:sz w:val="24"/>
          <w:szCs w:val="20"/>
        </w:rPr>
        <w:t> </w:t>
      </w:r>
      <w:r w:rsidR="009A563C" w:rsidRPr="009B5734">
        <w:rPr>
          <w:rFonts w:ascii="Times New Roman" w:eastAsia="Times New Roman" w:hAnsi="Times New Roman" w:cs="Times New Roman"/>
          <w:noProof/>
          <w:sz w:val="24"/>
          <w:szCs w:val="20"/>
        </w:rPr>
        <w:t xml:space="preserve">000. </w:t>
      </w:r>
      <w:r w:rsidR="00DA4D24" w:rsidRPr="009B5734">
        <w:rPr>
          <w:rFonts w:ascii="Times New Roman" w:eastAsia="Times New Roman" w:hAnsi="Times New Roman" w:cs="Times New Roman"/>
          <w:noProof/>
          <w:sz w:val="24"/>
          <w:szCs w:val="20"/>
        </w:rPr>
        <w:t>In the case of a digital solution, these extra cost</w:t>
      </w:r>
      <w:r w:rsidR="00921E78" w:rsidRPr="009B5734">
        <w:rPr>
          <w:rFonts w:ascii="Times New Roman" w:eastAsia="Times New Roman" w:hAnsi="Times New Roman" w:cs="Times New Roman"/>
          <w:noProof/>
          <w:sz w:val="24"/>
          <w:szCs w:val="20"/>
        </w:rPr>
        <w:t>s</w:t>
      </w:r>
      <w:r w:rsidR="00DA4D24" w:rsidRPr="009B5734">
        <w:rPr>
          <w:rFonts w:ascii="Times New Roman" w:eastAsia="Times New Roman" w:hAnsi="Times New Roman" w:cs="Times New Roman"/>
          <w:noProof/>
          <w:sz w:val="24"/>
          <w:szCs w:val="20"/>
        </w:rPr>
        <w:t xml:space="preserve"> are estimated to </w:t>
      </w:r>
      <w:r w:rsidR="001E55CE" w:rsidRPr="009B5734">
        <w:rPr>
          <w:rFonts w:ascii="Times New Roman" w:eastAsia="Times New Roman" w:hAnsi="Times New Roman" w:cs="Times New Roman"/>
          <w:noProof/>
          <w:sz w:val="24"/>
          <w:szCs w:val="20"/>
        </w:rPr>
        <w:t>amount to</w:t>
      </w:r>
      <w:r w:rsidR="00DA4D24" w:rsidRPr="009B5734">
        <w:rPr>
          <w:rFonts w:ascii="Times New Roman" w:eastAsia="Times New Roman" w:hAnsi="Times New Roman" w:cs="Times New Roman"/>
          <w:noProof/>
          <w:sz w:val="24"/>
          <w:szCs w:val="20"/>
        </w:rPr>
        <w:t xml:space="preserve"> </w:t>
      </w:r>
      <w:r w:rsidR="00DA4D24" w:rsidRPr="009B5734">
        <w:rPr>
          <w:rFonts w:ascii="Times New Roman" w:eastAsia="Times New Roman" w:hAnsi="Times New Roman" w:cs="Times New Roman"/>
          <w:b/>
          <w:noProof/>
          <w:sz w:val="24"/>
          <w:szCs w:val="20"/>
        </w:rPr>
        <w:t xml:space="preserve">EUR </w:t>
      </w:r>
      <w:r w:rsidR="00A008B2" w:rsidRPr="009B5734">
        <w:rPr>
          <w:rFonts w:ascii="Times New Roman" w:eastAsia="Times New Roman" w:hAnsi="Times New Roman" w:cs="Times New Roman"/>
          <w:b/>
          <w:noProof/>
          <w:sz w:val="24"/>
          <w:szCs w:val="20"/>
        </w:rPr>
        <w:t xml:space="preserve">785 </w:t>
      </w:r>
      <w:r w:rsidR="00261259" w:rsidRPr="009B5734">
        <w:rPr>
          <w:rFonts w:ascii="Times New Roman" w:eastAsia="Times New Roman" w:hAnsi="Times New Roman" w:cs="Times New Roman"/>
          <w:b/>
          <w:noProof/>
          <w:sz w:val="24"/>
          <w:szCs w:val="20"/>
        </w:rPr>
        <w:t xml:space="preserve">– </w:t>
      </w:r>
      <w:r w:rsidR="00284B5B" w:rsidRPr="009B5734">
        <w:rPr>
          <w:rFonts w:ascii="Times New Roman" w:eastAsia="Times New Roman" w:hAnsi="Times New Roman" w:cs="Times New Roman"/>
          <w:b/>
          <w:noProof/>
          <w:sz w:val="24"/>
          <w:szCs w:val="20"/>
        </w:rPr>
        <w:t>9</w:t>
      </w:r>
      <w:r w:rsidR="00A008B2" w:rsidRPr="009B5734">
        <w:rPr>
          <w:rFonts w:ascii="Times New Roman" w:eastAsia="Times New Roman" w:hAnsi="Times New Roman" w:cs="Times New Roman"/>
          <w:b/>
          <w:noProof/>
          <w:sz w:val="24"/>
          <w:szCs w:val="20"/>
        </w:rPr>
        <w:t>35</w:t>
      </w:r>
      <w:r w:rsidR="00261259" w:rsidRPr="009B5734">
        <w:rPr>
          <w:rFonts w:ascii="Times New Roman" w:eastAsia="Times New Roman" w:hAnsi="Times New Roman" w:cs="Times New Roman"/>
          <w:b/>
          <w:noProof/>
          <w:sz w:val="24"/>
          <w:szCs w:val="20"/>
        </w:rPr>
        <w:t xml:space="preserve"> </w:t>
      </w:r>
      <w:r w:rsidR="00261259" w:rsidRPr="009B5734">
        <w:rPr>
          <w:rFonts w:ascii="Times New Roman" w:hAnsi="Times New Roman" w:cs="Times New Roman"/>
          <w:b/>
          <w:noProof/>
          <w:sz w:val="24"/>
        </w:rPr>
        <w:t>million in the period 2025-2040</w:t>
      </w:r>
      <w:r w:rsidR="00526808">
        <w:rPr>
          <w:rFonts w:ascii="Times New Roman" w:hAnsi="Times New Roman" w:cs="Times New Roman"/>
          <w:b/>
          <w:noProof/>
          <w:sz w:val="24"/>
        </w:rPr>
        <w:t xml:space="preserve"> (</w:t>
      </w:r>
      <w:r w:rsidR="00526808" w:rsidRPr="00526808">
        <w:rPr>
          <w:rFonts w:ascii="Times New Roman" w:hAnsi="Times New Roman" w:cs="Times New Roman"/>
          <w:noProof/>
          <w:sz w:val="24"/>
        </w:rPr>
        <w:t>or</w:t>
      </w:r>
      <w:r w:rsidR="00526808">
        <w:rPr>
          <w:rFonts w:ascii="Times New Roman" w:hAnsi="Times New Roman" w:cs="Times New Roman"/>
          <w:b/>
          <w:noProof/>
          <w:sz w:val="24"/>
        </w:rPr>
        <w:t xml:space="preserve"> EUR 52 – 62 million per year),</w:t>
      </w:r>
      <w:r w:rsidR="00261259" w:rsidRPr="009B5734">
        <w:rPr>
          <w:rFonts w:ascii="Times New Roman" w:hAnsi="Times New Roman" w:cs="Times New Roman"/>
          <w:b/>
          <w:noProof/>
          <w:sz w:val="24"/>
        </w:rPr>
        <w:t xml:space="preserve"> of which </w:t>
      </w:r>
      <w:r w:rsidR="00284B5B" w:rsidRPr="009B5734">
        <w:rPr>
          <w:rFonts w:ascii="Times New Roman" w:hAnsi="Times New Roman" w:cs="Times New Roman"/>
          <w:b/>
          <w:noProof/>
          <w:sz w:val="24"/>
        </w:rPr>
        <w:t xml:space="preserve">about </w:t>
      </w:r>
      <w:r w:rsidR="00A008B2" w:rsidRPr="009B5734">
        <w:rPr>
          <w:rFonts w:ascii="Times New Roman" w:hAnsi="Times New Roman" w:cs="Times New Roman"/>
          <w:b/>
          <w:noProof/>
          <w:sz w:val="24"/>
        </w:rPr>
        <w:t>12</w:t>
      </w:r>
      <w:r w:rsidR="00284B5B" w:rsidRPr="009B5734">
        <w:rPr>
          <w:rFonts w:ascii="Times New Roman" w:hAnsi="Times New Roman" w:cs="Times New Roman"/>
          <w:b/>
          <w:noProof/>
          <w:sz w:val="24"/>
        </w:rPr>
        <w:t>%</w:t>
      </w:r>
      <w:r w:rsidR="00261259" w:rsidRPr="009B5734">
        <w:rPr>
          <w:rFonts w:ascii="Times New Roman" w:hAnsi="Times New Roman" w:cs="Times New Roman"/>
          <w:b/>
          <w:noProof/>
          <w:sz w:val="24"/>
        </w:rPr>
        <w:t xml:space="preserve"> for SMEs. </w:t>
      </w:r>
      <w:r w:rsidR="00261259" w:rsidRPr="009B5734">
        <w:rPr>
          <w:rFonts w:ascii="Times New Roman" w:hAnsi="Times New Roman" w:cs="Times New Roman"/>
          <w:noProof/>
          <w:sz w:val="24"/>
        </w:rPr>
        <w:t>In the case of a paper version, the extra costs are much higher.</w:t>
      </w:r>
      <w:r w:rsidR="00B17226" w:rsidRPr="009B5734">
        <w:rPr>
          <w:rFonts w:ascii="Times New Roman" w:hAnsi="Times New Roman" w:cs="Times New Roman"/>
          <w:noProof/>
          <w:sz w:val="24"/>
        </w:rPr>
        <w:t xml:space="preserve"> </w:t>
      </w:r>
      <w:r w:rsidRPr="009B5734">
        <w:rPr>
          <w:rFonts w:ascii="Times New Roman" w:hAnsi="Times New Roman" w:cs="Times New Roman"/>
          <w:noProof/>
          <w:sz w:val="24"/>
        </w:rPr>
        <w:t xml:space="preserve">Administrative burdens under </w:t>
      </w:r>
      <w:r w:rsidRPr="009B5734">
        <w:rPr>
          <w:rFonts w:ascii="Times New Roman" w:hAnsi="Times New Roman" w:cs="Times New Roman"/>
          <w:b/>
          <w:noProof/>
          <w:sz w:val="24"/>
        </w:rPr>
        <w:t>option 1.3.B</w:t>
      </w:r>
      <w:r w:rsidRPr="009B5734">
        <w:rPr>
          <w:rFonts w:ascii="Times New Roman" w:hAnsi="Times New Roman" w:cs="Times New Roman"/>
          <w:noProof/>
          <w:sz w:val="24"/>
        </w:rPr>
        <w:t xml:space="preserve"> </w:t>
      </w:r>
      <w:r w:rsidR="002B5846" w:rsidRPr="009B5734">
        <w:rPr>
          <w:rFonts w:ascii="Times New Roman" w:hAnsi="Times New Roman" w:cs="Times New Roman"/>
          <w:noProof/>
          <w:sz w:val="24"/>
        </w:rPr>
        <w:t>mean that</w:t>
      </w:r>
      <w:r w:rsidRPr="009B5734">
        <w:rPr>
          <w:rFonts w:ascii="Times New Roman" w:hAnsi="Times New Roman" w:cs="Times New Roman"/>
          <w:noProof/>
          <w:sz w:val="24"/>
        </w:rPr>
        <w:t xml:space="preserve"> manufacturers </w:t>
      </w:r>
      <w:r w:rsidR="002B5846" w:rsidRPr="009B5734">
        <w:rPr>
          <w:rFonts w:ascii="Times New Roman" w:hAnsi="Times New Roman" w:cs="Times New Roman"/>
          <w:noProof/>
          <w:sz w:val="24"/>
        </w:rPr>
        <w:t>will have</w:t>
      </w:r>
      <w:r w:rsidRPr="009B5734">
        <w:rPr>
          <w:rFonts w:ascii="Times New Roman" w:hAnsi="Times New Roman" w:cs="Times New Roman"/>
          <w:noProof/>
          <w:sz w:val="24"/>
        </w:rPr>
        <w:t xml:space="preserve"> to provide the necessary information to sellers (which include the costs of identifying which spare parts will be available and for how long) </w:t>
      </w:r>
      <w:r w:rsidR="002B5846" w:rsidRPr="009B5734">
        <w:rPr>
          <w:rFonts w:ascii="Times New Roman" w:hAnsi="Times New Roman" w:cs="Times New Roman"/>
          <w:noProof/>
          <w:sz w:val="24"/>
        </w:rPr>
        <w:t xml:space="preserve">and that </w:t>
      </w:r>
      <w:r w:rsidRPr="009B5734">
        <w:rPr>
          <w:rFonts w:ascii="Times New Roman" w:hAnsi="Times New Roman" w:cs="Times New Roman"/>
          <w:noProof/>
          <w:sz w:val="24"/>
        </w:rPr>
        <w:t xml:space="preserve">sellers </w:t>
      </w:r>
      <w:r w:rsidR="002B5846" w:rsidRPr="009B5734">
        <w:rPr>
          <w:rFonts w:ascii="Times New Roman" w:hAnsi="Times New Roman" w:cs="Times New Roman"/>
          <w:noProof/>
          <w:sz w:val="24"/>
        </w:rPr>
        <w:t>will have</w:t>
      </w:r>
      <w:r w:rsidRPr="009B5734">
        <w:rPr>
          <w:rFonts w:ascii="Times New Roman" w:hAnsi="Times New Roman" w:cs="Times New Roman"/>
          <w:noProof/>
          <w:sz w:val="24"/>
        </w:rPr>
        <w:t xml:space="preserve"> to ensure that consumers receive this information (which could </w:t>
      </w:r>
      <w:r w:rsidR="002B5846" w:rsidRPr="009B5734">
        <w:rPr>
          <w:rFonts w:ascii="Times New Roman" w:hAnsi="Times New Roman" w:cs="Times New Roman"/>
          <w:noProof/>
          <w:sz w:val="24"/>
        </w:rPr>
        <w:t>entail merely</w:t>
      </w:r>
      <w:r w:rsidRPr="009B5734">
        <w:rPr>
          <w:rFonts w:ascii="Times New Roman" w:hAnsi="Times New Roman" w:cs="Times New Roman"/>
          <w:noProof/>
          <w:sz w:val="24"/>
        </w:rPr>
        <w:t xml:space="preserve"> providing a link to the website of the manufacturer). The total extra costs are estimated to be </w:t>
      </w:r>
      <w:r w:rsidRPr="009B5734">
        <w:rPr>
          <w:rFonts w:ascii="Times New Roman" w:hAnsi="Times New Roman" w:cs="Times New Roman"/>
          <w:b/>
          <w:noProof/>
          <w:sz w:val="24"/>
        </w:rPr>
        <w:t>EUR 1 </w:t>
      </w:r>
      <w:r w:rsidR="00A008B2" w:rsidRPr="009B5734">
        <w:rPr>
          <w:rFonts w:ascii="Times New Roman" w:hAnsi="Times New Roman" w:cs="Times New Roman"/>
          <w:b/>
          <w:noProof/>
          <w:sz w:val="24"/>
        </w:rPr>
        <w:t xml:space="preserve">685 </w:t>
      </w:r>
      <w:r w:rsidRPr="009B5734">
        <w:rPr>
          <w:rFonts w:ascii="Times New Roman" w:hAnsi="Times New Roman" w:cs="Times New Roman"/>
          <w:b/>
          <w:noProof/>
          <w:sz w:val="24"/>
        </w:rPr>
        <w:t xml:space="preserve">– </w:t>
      </w:r>
      <w:r w:rsidR="00284B5B" w:rsidRPr="009B5734">
        <w:rPr>
          <w:rFonts w:ascii="Times New Roman" w:hAnsi="Times New Roman" w:cs="Times New Roman"/>
          <w:b/>
          <w:noProof/>
          <w:sz w:val="24"/>
        </w:rPr>
        <w:t>1 7</w:t>
      </w:r>
      <w:r w:rsidR="00A008B2" w:rsidRPr="009B5734">
        <w:rPr>
          <w:rFonts w:ascii="Times New Roman" w:hAnsi="Times New Roman" w:cs="Times New Roman"/>
          <w:b/>
          <w:noProof/>
          <w:sz w:val="24"/>
        </w:rPr>
        <w:t>1</w:t>
      </w:r>
      <w:r w:rsidR="00284B5B" w:rsidRPr="009B5734">
        <w:rPr>
          <w:rFonts w:ascii="Times New Roman" w:hAnsi="Times New Roman" w:cs="Times New Roman"/>
          <w:b/>
          <w:noProof/>
          <w:sz w:val="24"/>
        </w:rPr>
        <w:t>5</w:t>
      </w:r>
      <w:r w:rsidRPr="009B5734">
        <w:rPr>
          <w:rFonts w:ascii="Times New Roman" w:hAnsi="Times New Roman" w:cs="Times New Roman"/>
          <w:b/>
          <w:noProof/>
          <w:sz w:val="24"/>
        </w:rPr>
        <w:t xml:space="preserve"> million in the period 2025-2040</w:t>
      </w:r>
      <w:r w:rsidR="00526808">
        <w:rPr>
          <w:rFonts w:ascii="Times New Roman" w:hAnsi="Times New Roman" w:cs="Times New Roman"/>
          <w:b/>
          <w:noProof/>
          <w:sz w:val="24"/>
        </w:rPr>
        <w:t xml:space="preserve"> (</w:t>
      </w:r>
      <w:r w:rsidR="00526808" w:rsidRPr="00526808">
        <w:rPr>
          <w:rFonts w:ascii="Times New Roman" w:hAnsi="Times New Roman" w:cs="Times New Roman"/>
          <w:noProof/>
          <w:sz w:val="24"/>
        </w:rPr>
        <w:t>or</w:t>
      </w:r>
      <w:r w:rsidR="00526808">
        <w:rPr>
          <w:rFonts w:ascii="Times New Roman" w:hAnsi="Times New Roman" w:cs="Times New Roman"/>
          <w:b/>
          <w:noProof/>
          <w:sz w:val="24"/>
        </w:rPr>
        <w:t xml:space="preserve"> EUR 112 – 114 million per year)</w:t>
      </w:r>
      <w:r w:rsidRPr="009B5734">
        <w:rPr>
          <w:rFonts w:ascii="Times New Roman" w:hAnsi="Times New Roman" w:cs="Times New Roman"/>
          <w:noProof/>
          <w:sz w:val="24"/>
        </w:rPr>
        <w:t xml:space="preserve">. </w:t>
      </w:r>
      <w:r w:rsidRPr="009B5734">
        <w:rPr>
          <w:rFonts w:ascii="Times New Roman" w:hAnsi="Times New Roman" w:cs="Times New Roman"/>
          <w:b/>
          <w:noProof/>
          <w:sz w:val="24"/>
        </w:rPr>
        <w:t>Option 1.3.C</w:t>
      </w:r>
      <w:r w:rsidRPr="009B5734">
        <w:rPr>
          <w:rFonts w:ascii="Times New Roman" w:hAnsi="Times New Roman" w:cs="Times New Roman"/>
          <w:noProof/>
          <w:sz w:val="24"/>
        </w:rPr>
        <w:t xml:space="preserve"> involves the need to maintain an updated list of repair services </w:t>
      </w:r>
      <w:r w:rsidR="00403B31" w:rsidRPr="009B5734">
        <w:rPr>
          <w:rFonts w:ascii="Times New Roman" w:hAnsi="Times New Roman" w:cs="Times New Roman"/>
          <w:noProof/>
          <w:sz w:val="24"/>
        </w:rPr>
        <w:t xml:space="preserve">available </w:t>
      </w:r>
      <w:r w:rsidRPr="009B5734">
        <w:rPr>
          <w:rFonts w:ascii="Times New Roman" w:hAnsi="Times New Roman" w:cs="Times New Roman"/>
          <w:noProof/>
          <w:sz w:val="24"/>
        </w:rPr>
        <w:t xml:space="preserve">and to ensure that consumers have access to that list. These </w:t>
      </w:r>
      <w:r w:rsidRPr="009B5734">
        <w:rPr>
          <w:rFonts w:ascii="Times New Roman" w:hAnsi="Times New Roman" w:cs="Times New Roman"/>
          <w:b/>
          <w:noProof/>
          <w:sz w:val="24"/>
        </w:rPr>
        <w:t>extra costs are estimated to be EUR 3 </w:t>
      </w:r>
      <w:r w:rsidR="00A008B2" w:rsidRPr="009B5734">
        <w:rPr>
          <w:rFonts w:ascii="Times New Roman" w:hAnsi="Times New Roman" w:cs="Times New Roman"/>
          <w:b/>
          <w:noProof/>
          <w:sz w:val="24"/>
        </w:rPr>
        <w:t xml:space="preserve">120 </w:t>
      </w:r>
      <w:r w:rsidRPr="009B5734">
        <w:rPr>
          <w:rFonts w:ascii="Times New Roman" w:hAnsi="Times New Roman" w:cs="Times New Roman"/>
          <w:b/>
          <w:noProof/>
          <w:sz w:val="24"/>
        </w:rPr>
        <w:t xml:space="preserve">– 3 </w:t>
      </w:r>
      <w:r w:rsidR="00284B5B" w:rsidRPr="009B5734">
        <w:rPr>
          <w:rFonts w:ascii="Times New Roman" w:hAnsi="Times New Roman" w:cs="Times New Roman"/>
          <w:b/>
          <w:noProof/>
          <w:sz w:val="24"/>
        </w:rPr>
        <w:t>3</w:t>
      </w:r>
      <w:r w:rsidR="00A008B2" w:rsidRPr="009B5734">
        <w:rPr>
          <w:rFonts w:ascii="Times New Roman" w:hAnsi="Times New Roman" w:cs="Times New Roman"/>
          <w:b/>
          <w:noProof/>
          <w:sz w:val="24"/>
        </w:rPr>
        <w:t>8</w:t>
      </w:r>
      <w:r w:rsidRPr="009B5734">
        <w:rPr>
          <w:rFonts w:ascii="Times New Roman" w:hAnsi="Times New Roman" w:cs="Times New Roman"/>
          <w:b/>
          <w:noProof/>
          <w:sz w:val="24"/>
        </w:rPr>
        <w:t>0 million</w:t>
      </w:r>
      <w:r w:rsidR="005D55C4" w:rsidRPr="009B5734">
        <w:rPr>
          <w:rFonts w:ascii="Times New Roman" w:hAnsi="Times New Roman" w:cs="Times New Roman"/>
          <w:b/>
          <w:noProof/>
          <w:sz w:val="24"/>
        </w:rPr>
        <w:t xml:space="preserve"> for the period 2025-2040</w:t>
      </w:r>
      <w:r w:rsidR="00526808">
        <w:rPr>
          <w:rFonts w:ascii="Times New Roman" w:hAnsi="Times New Roman" w:cs="Times New Roman"/>
          <w:b/>
          <w:noProof/>
          <w:sz w:val="24"/>
        </w:rPr>
        <w:t xml:space="preserve"> (</w:t>
      </w:r>
      <w:r w:rsidR="00526808" w:rsidRPr="00526808">
        <w:rPr>
          <w:rFonts w:ascii="Times New Roman" w:hAnsi="Times New Roman" w:cs="Times New Roman"/>
          <w:noProof/>
          <w:sz w:val="24"/>
        </w:rPr>
        <w:t>or</w:t>
      </w:r>
      <w:r w:rsidR="00526808">
        <w:rPr>
          <w:rFonts w:ascii="Times New Roman" w:hAnsi="Times New Roman" w:cs="Times New Roman"/>
          <w:b/>
          <w:noProof/>
          <w:sz w:val="24"/>
        </w:rPr>
        <w:t xml:space="preserve"> EUR 208 – 225 million per year)</w:t>
      </w:r>
      <w:r w:rsidRPr="009B5734">
        <w:rPr>
          <w:rFonts w:ascii="Times New Roman" w:hAnsi="Times New Roman" w:cs="Times New Roman"/>
          <w:noProof/>
          <w:sz w:val="24"/>
        </w:rPr>
        <w:t>.</w:t>
      </w:r>
      <w:r w:rsidR="007C6AEC" w:rsidRPr="009B5734">
        <w:rPr>
          <w:rFonts w:ascii="Times New Roman" w:hAnsi="Times New Roman" w:cs="Times New Roman"/>
          <w:noProof/>
          <w:sz w:val="24"/>
        </w:rPr>
        <w:t xml:space="preserve"> The administrative burden of </w:t>
      </w:r>
      <w:r w:rsidR="007C6AEC" w:rsidRPr="009B5734">
        <w:rPr>
          <w:rFonts w:ascii="Times New Roman" w:hAnsi="Times New Roman" w:cs="Times New Roman"/>
          <w:b/>
          <w:noProof/>
          <w:sz w:val="24"/>
        </w:rPr>
        <w:t>option 1.3.D</w:t>
      </w:r>
      <w:r w:rsidR="007C6AEC" w:rsidRPr="009B5734">
        <w:rPr>
          <w:rFonts w:ascii="Times New Roman" w:hAnsi="Times New Roman" w:cs="Times New Roman"/>
          <w:noProof/>
          <w:sz w:val="24"/>
        </w:rPr>
        <w:t xml:space="preserve"> involves the need to assess the reparability of products and inform consumers of that assessment. These total extra cost are estimated to be </w:t>
      </w:r>
      <w:r w:rsidR="007C6AEC" w:rsidRPr="009B5734">
        <w:rPr>
          <w:rFonts w:ascii="Times New Roman" w:hAnsi="Times New Roman" w:cs="Times New Roman"/>
          <w:b/>
          <w:noProof/>
          <w:sz w:val="24"/>
        </w:rPr>
        <w:t xml:space="preserve">EUR 4 </w:t>
      </w:r>
      <w:r w:rsidR="00284B5B" w:rsidRPr="009B5734">
        <w:rPr>
          <w:rFonts w:ascii="Times New Roman" w:hAnsi="Times New Roman" w:cs="Times New Roman"/>
          <w:b/>
          <w:noProof/>
          <w:sz w:val="24"/>
        </w:rPr>
        <w:t>1</w:t>
      </w:r>
      <w:r w:rsidR="00A008B2" w:rsidRPr="009B5734">
        <w:rPr>
          <w:rFonts w:ascii="Times New Roman" w:hAnsi="Times New Roman" w:cs="Times New Roman"/>
          <w:b/>
          <w:noProof/>
          <w:sz w:val="24"/>
        </w:rPr>
        <w:t>80</w:t>
      </w:r>
      <w:r w:rsidR="00284B5B" w:rsidRPr="009B5734">
        <w:rPr>
          <w:rFonts w:ascii="Times New Roman" w:hAnsi="Times New Roman" w:cs="Times New Roman"/>
          <w:b/>
          <w:noProof/>
          <w:sz w:val="24"/>
        </w:rPr>
        <w:t xml:space="preserve"> </w:t>
      </w:r>
      <w:r w:rsidR="007C6AEC" w:rsidRPr="009B5734">
        <w:rPr>
          <w:rFonts w:ascii="Times New Roman" w:hAnsi="Times New Roman" w:cs="Times New Roman"/>
          <w:b/>
          <w:noProof/>
          <w:sz w:val="24"/>
        </w:rPr>
        <w:t>– 4 </w:t>
      </w:r>
      <w:r w:rsidR="00284B5B" w:rsidRPr="009B5734">
        <w:rPr>
          <w:rFonts w:ascii="Times New Roman" w:hAnsi="Times New Roman" w:cs="Times New Roman"/>
          <w:b/>
          <w:noProof/>
          <w:sz w:val="24"/>
        </w:rPr>
        <w:t>3</w:t>
      </w:r>
      <w:r w:rsidR="00A008B2" w:rsidRPr="009B5734">
        <w:rPr>
          <w:rFonts w:ascii="Times New Roman" w:hAnsi="Times New Roman" w:cs="Times New Roman"/>
          <w:b/>
          <w:noProof/>
          <w:sz w:val="24"/>
        </w:rPr>
        <w:t>6</w:t>
      </w:r>
      <w:r w:rsidR="00284B5B" w:rsidRPr="009B5734">
        <w:rPr>
          <w:rFonts w:ascii="Times New Roman" w:hAnsi="Times New Roman" w:cs="Times New Roman"/>
          <w:b/>
          <w:noProof/>
          <w:sz w:val="24"/>
        </w:rPr>
        <w:t xml:space="preserve">0 </w:t>
      </w:r>
      <w:r w:rsidR="007C6AEC" w:rsidRPr="009B5734">
        <w:rPr>
          <w:rFonts w:ascii="Times New Roman" w:hAnsi="Times New Roman" w:cs="Times New Roman"/>
          <w:b/>
          <w:noProof/>
          <w:sz w:val="24"/>
        </w:rPr>
        <w:t>million for the period 2025-2040</w:t>
      </w:r>
      <w:r w:rsidR="00526808">
        <w:rPr>
          <w:rFonts w:ascii="Times New Roman" w:hAnsi="Times New Roman" w:cs="Times New Roman"/>
          <w:b/>
          <w:noProof/>
          <w:sz w:val="24"/>
        </w:rPr>
        <w:t xml:space="preserve"> (</w:t>
      </w:r>
      <w:r w:rsidR="00526808" w:rsidRPr="00526808">
        <w:rPr>
          <w:rFonts w:ascii="Times New Roman" w:hAnsi="Times New Roman" w:cs="Times New Roman"/>
          <w:noProof/>
          <w:sz w:val="24"/>
        </w:rPr>
        <w:t>or</w:t>
      </w:r>
      <w:r w:rsidR="00526808">
        <w:rPr>
          <w:rFonts w:ascii="Times New Roman" w:hAnsi="Times New Roman" w:cs="Times New Roman"/>
          <w:b/>
          <w:noProof/>
          <w:sz w:val="24"/>
        </w:rPr>
        <w:t xml:space="preserve"> EUR 279 – 290 million per year)</w:t>
      </w:r>
      <w:r w:rsidR="007C6AEC" w:rsidRPr="009B5734">
        <w:rPr>
          <w:rFonts w:ascii="Times New Roman" w:hAnsi="Times New Roman" w:cs="Times New Roman"/>
          <w:noProof/>
          <w:sz w:val="24"/>
        </w:rPr>
        <w:t>. Given the substantial amount of resources that the assessment will require, in particular in the absence of detailed guidance/methodology for a given product category, it is expected that the option will have a negative impact on SME growth.</w:t>
      </w:r>
      <w:r w:rsidR="00F754B6" w:rsidRPr="009B5734">
        <w:rPr>
          <w:rFonts w:ascii="Times New Roman" w:hAnsi="Times New Roman" w:cs="Times New Roman"/>
          <w:noProof/>
          <w:sz w:val="24"/>
        </w:rPr>
        <w:t xml:space="preserve"> </w:t>
      </w:r>
      <w:r w:rsidR="00F754B6" w:rsidRPr="009B5734">
        <w:rPr>
          <w:rFonts w:ascii="Times New Roman" w:hAnsi="Times New Roman" w:cs="Times New Roman"/>
          <w:noProof/>
          <w:sz w:val="24"/>
          <w:szCs w:val="24"/>
        </w:rPr>
        <w:t xml:space="preserve">The costs of </w:t>
      </w:r>
      <w:r w:rsidR="00F754B6" w:rsidRPr="009B5734">
        <w:rPr>
          <w:rFonts w:ascii="Times New Roman" w:hAnsi="Times New Roman" w:cs="Times New Roman"/>
          <w:b/>
          <w:noProof/>
          <w:sz w:val="24"/>
          <w:szCs w:val="24"/>
        </w:rPr>
        <w:t>option 1.3.E</w:t>
      </w:r>
      <w:r w:rsidR="00F754B6" w:rsidRPr="009B5734">
        <w:rPr>
          <w:rFonts w:ascii="Times New Roman" w:hAnsi="Times New Roman" w:cs="Times New Roman"/>
          <w:noProof/>
          <w:sz w:val="24"/>
          <w:szCs w:val="24"/>
        </w:rPr>
        <w:t xml:space="preserve"> for businesses are expected to be </w:t>
      </w:r>
      <w:r w:rsidR="005D55C4" w:rsidRPr="009B5734">
        <w:rPr>
          <w:rFonts w:ascii="Times New Roman" w:hAnsi="Times New Roman" w:cs="Times New Roman"/>
          <w:noProof/>
          <w:sz w:val="24"/>
          <w:szCs w:val="24"/>
        </w:rPr>
        <w:t xml:space="preserve">much </w:t>
      </w:r>
      <w:r w:rsidR="00F754B6" w:rsidRPr="009B5734">
        <w:rPr>
          <w:rFonts w:ascii="Times New Roman" w:hAnsi="Times New Roman" w:cs="Times New Roman"/>
          <w:noProof/>
          <w:sz w:val="24"/>
          <w:szCs w:val="24"/>
        </w:rPr>
        <w:t>low</w:t>
      </w:r>
      <w:r w:rsidR="005D55C4" w:rsidRPr="009B5734">
        <w:rPr>
          <w:rFonts w:ascii="Times New Roman" w:hAnsi="Times New Roman" w:cs="Times New Roman"/>
          <w:noProof/>
          <w:sz w:val="24"/>
          <w:szCs w:val="24"/>
        </w:rPr>
        <w:t>er</w:t>
      </w:r>
      <w:r w:rsidR="00F754B6" w:rsidRPr="009B5734">
        <w:rPr>
          <w:rFonts w:ascii="Times New Roman" w:hAnsi="Times New Roman" w:cs="Times New Roman"/>
          <w:noProof/>
          <w:sz w:val="24"/>
          <w:szCs w:val="24"/>
        </w:rPr>
        <w:t>, as sellers will have to provide only such information as manufacturers make it available. There will be no</w:t>
      </w:r>
      <w:r w:rsidR="00F754B6" w:rsidRPr="009B5734" w:rsidDel="005D55C4">
        <w:rPr>
          <w:rFonts w:ascii="Times New Roman" w:hAnsi="Times New Roman" w:cs="Times New Roman"/>
          <w:noProof/>
          <w:sz w:val="24"/>
          <w:szCs w:val="24"/>
        </w:rPr>
        <w:t xml:space="preserve"> </w:t>
      </w:r>
      <w:r w:rsidR="005D55C4" w:rsidRPr="009B5734">
        <w:rPr>
          <w:rFonts w:ascii="Times New Roman" w:hAnsi="Times New Roman" w:cs="Times New Roman"/>
          <w:noProof/>
          <w:sz w:val="24"/>
          <w:szCs w:val="24"/>
        </w:rPr>
        <w:t xml:space="preserve">specific </w:t>
      </w:r>
      <w:r w:rsidR="00F754B6" w:rsidRPr="009B5734">
        <w:rPr>
          <w:rFonts w:ascii="Times New Roman" w:hAnsi="Times New Roman" w:cs="Times New Roman"/>
          <w:noProof/>
          <w:sz w:val="24"/>
          <w:szCs w:val="24"/>
        </w:rPr>
        <w:t xml:space="preserve">obligation for manufacturers to provide such information on their products. The administrative costs are expected to be </w:t>
      </w:r>
      <w:r w:rsidR="00F754B6" w:rsidRPr="009B5734">
        <w:rPr>
          <w:rFonts w:ascii="Times New Roman" w:hAnsi="Times New Roman" w:cs="Times New Roman"/>
          <w:b/>
          <w:noProof/>
          <w:sz w:val="24"/>
          <w:szCs w:val="24"/>
        </w:rPr>
        <w:t xml:space="preserve">EUR </w:t>
      </w:r>
      <w:r w:rsidR="00284B5B" w:rsidRPr="009B5734">
        <w:rPr>
          <w:rFonts w:ascii="Times New Roman" w:hAnsi="Times New Roman" w:cs="Times New Roman"/>
          <w:b/>
          <w:noProof/>
          <w:sz w:val="24"/>
          <w:szCs w:val="24"/>
        </w:rPr>
        <w:t xml:space="preserve">222 </w:t>
      </w:r>
      <w:r w:rsidR="00F754B6" w:rsidRPr="009B5734">
        <w:rPr>
          <w:rFonts w:ascii="Times New Roman" w:hAnsi="Times New Roman" w:cs="Times New Roman"/>
          <w:b/>
          <w:noProof/>
          <w:sz w:val="24"/>
          <w:szCs w:val="24"/>
        </w:rPr>
        <w:t>million in the period 2025-2040</w:t>
      </w:r>
      <w:r w:rsidR="0019796F">
        <w:rPr>
          <w:rFonts w:ascii="Times New Roman" w:hAnsi="Times New Roman" w:cs="Times New Roman"/>
          <w:b/>
          <w:noProof/>
          <w:sz w:val="24"/>
          <w:szCs w:val="24"/>
        </w:rPr>
        <w:t xml:space="preserve"> (</w:t>
      </w:r>
      <w:r w:rsidR="0019796F" w:rsidRPr="0019796F">
        <w:rPr>
          <w:rFonts w:ascii="Times New Roman" w:hAnsi="Times New Roman" w:cs="Times New Roman"/>
          <w:noProof/>
          <w:sz w:val="24"/>
          <w:szCs w:val="24"/>
        </w:rPr>
        <w:t xml:space="preserve">or </w:t>
      </w:r>
      <w:r w:rsidR="0019796F">
        <w:rPr>
          <w:rFonts w:ascii="Times New Roman" w:hAnsi="Times New Roman" w:cs="Times New Roman"/>
          <w:b/>
          <w:noProof/>
          <w:sz w:val="24"/>
          <w:szCs w:val="24"/>
        </w:rPr>
        <w:t>EUR 15 million per year)</w:t>
      </w:r>
      <w:r w:rsidR="00F754B6" w:rsidRPr="009B5734">
        <w:rPr>
          <w:rFonts w:ascii="Times New Roman" w:hAnsi="Times New Roman" w:cs="Times New Roman"/>
          <w:noProof/>
          <w:sz w:val="24"/>
          <w:szCs w:val="24"/>
        </w:rPr>
        <w:t>.</w:t>
      </w:r>
    </w:p>
    <w:p w:rsidR="00202946" w:rsidRPr="009B5734" w:rsidRDefault="00202946" w:rsidP="00202946">
      <w:pPr>
        <w:ind w:left="0" w:firstLine="0"/>
        <w:rPr>
          <w:rFonts w:ascii="Times New Roman" w:eastAsia="Times New Roman" w:hAnsi="Times New Roman" w:cs="Times New Roman"/>
          <w:noProof/>
          <w:sz w:val="24"/>
          <w:szCs w:val="20"/>
        </w:rPr>
      </w:pPr>
    </w:p>
    <w:p w:rsidR="009A563C" w:rsidRPr="009B5734" w:rsidRDefault="009A563C" w:rsidP="00202946">
      <w:pPr>
        <w:ind w:left="0" w:firstLine="0"/>
        <w:rPr>
          <w:i/>
          <w:noProof/>
        </w:rPr>
      </w:pPr>
      <w:r w:rsidRPr="009B5734">
        <w:rPr>
          <w:rFonts w:ascii="Times New Roman" w:hAnsi="Times New Roman" w:cs="Times New Roman"/>
          <w:i/>
          <w:noProof/>
          <w:sz w:val="24"/>
        </w:rPr>
        <w:t>Impacts on public administrations:</w:t>
      </w:r>
    </w:p>
    <w:p w:rsidR="005E0B86" w:rsidRPr="009B5734" w:rsidRDefault="009A563C" w:rsidP="005E0B86">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Enforcement costs </w:t>
      </w:r>
      <w:r w:rsidR="003006FC" w:rsidRPr="009B5734">
        <w:rPr>
          <w:rFonts w:ascii="Times New Roman" w:hAnsi="Times New Roman" w:cs="Times New Roman"/>
          <w:noProof/>
          <w:sz w:val="24"/>
          <w:szCs w:val="24"/>
        </w:rPr>
        <w:t xml:space="preserve">for </w:t>
      </w:r>
      <w:r w:rsidR="003006FC" w:rsidRPr="009B5734">
        <w:rPr>
          <w:rFonts w:ascii="Times New Roman" w:hAnsi="Times New Roman" w:cs="Times New Roman"/>
          <w:b/>
          <w:noProof/>
          <w:sz w:val="24"/>
          <w:szCs w:val="24"/>
        </w:rPr>
        <w:t>option 1.3.A</w:t>
      </w:r>
      <w:r w:rsidR="003006FC" w:rsidRPr="009B5734">
        <w:rPr>
          <w:rFonts w:ascii="Times New Roman" w:hAnsi="Times New Roman" w:cs="Times New Roman"/>
          <w:noProof/>
          <w:sz w:val="24"/>
          <w:szCs w:val="24"/>
        </w:rPr>
        <w:t xml:space="preserve"> </w:t>
      </w:r>
      <w:r w:rsidR="00501A01" w:rsidRPr="009B5734">
        <w:rPr>
          <w:rFonts w:ascii="Times New Roman" w:hAnsi="Times New Roman" w:cs="Times New Roman"/>
          <w:noProof/>
          <w:sz w:val="24"/>
          <w:szCs w:val="24"/>
        </w:rPr>
        <w:t xml:space="preserve">and </w:t>
      </w:r>
      <w:r w:rsidR="00403B31" w:rsidRPr="009B5734">
        <w:rPr>
          <w:rFonts w:ascii="Times New Roman" w:hAnsi="Times New Roman" w:cs="Times New Roman"/>
          <w:noProof/>
          <w:sz w:val="24"/>
          <w:szCs w:val="24"/>
        </w:rPr>
        <w:t xml:space="preserve">for </w:t>
      </w:r>
      <w:r w:rsidR="00403B31" w:rsidRPr="009B5734">
        <w:rPr>
          <w:rFonts w:ascii="Times New Roman" w:hAnsi="Times New Roman" w:cs="Times New Roman"/>
          <w:b/>
          <w:noProof/>
          <w:sz w:val="24"/>
          <w:szCs w:val="24"/>
        </w:rPr>
        <w:t>option 1.3.B</w:t>
      </w:r>
      <w:r w:rsidR="00403B31" w:rsidRPr="009B5734">
        <w:rPr>
          <w:rFonts w:ascii="Times New Roman" w:hAnsi="Times New Roman" w:cs="Times New Roman"/>
          <w:noProof/>
          <w:sz w:val="24"/>
          <w:szCs w:val="24"/>
        </w:rPr>
        <w:t xml:space="preserve"> </w:t>
      </w:r>
      <w:r w:rsidRPr="009B5734">
        <w:rPr>
          <w:rFonts w:ascii="Times New Roman" w:hAnsi="Times New Roman" w:cs="Times New Roman"/>
          <w:noProof/>
          <w:sz w:val="24"/>
          <w:szCs w:val="24"/>
        </w:rPr>
        <w:t xml:space="preserve">are </w:t>
      </w:r>
      <w:r w:rsidR="00501A01" w:rsidRPr="009B5734">
        <w:rPr>
          <w:rFonts w:ascii="Times New Roman" w:hAnsi="Times New Roman" w:cs="Times New Roman"/>
          <w:noProof/>
          <w:sz w:val="24"/>
          <w:szCs w:val="24"/>
        </w:rPr>
        <w:t xml:space="preserve">limited and </w:t>
      </w:r>
      <w:r w:rsidR="00403B31" w:rsidRPr="009B5734">
        <w:rPr>
          <w:rFonts w:ascii="Times New Roman" w:hAnsi="Times New Roman" w:cs="Times New Roman"/>
          <w:noProof/>
          <w:sz w:val="24"/>
          <w:szCs w:val="24"/>
        </w:rPr>
        <w:t xml:space="preserve">each </w:t>
      </w:r>
      <w:r w:rsidRPr="009B5734">
        <w:rPr>
          <w:rFonts w:ascii="Times New Roman" w:hAnsi="Times New Roman" w:cs="Times New Roman"/>
          <w:noProof/>
          <w:sz w:val="24"/>
          <w:szCs w:val="24"/>
        </w:rPr>
        <w:t xml:space="preserve">estimated to </w:t>
      </w:r>
      <w:r w:rsidR="00403B31" w:rsidRPr="009B5734">
        <w:rPr>
          <w:rFonts w:ascii="Times New Roman" w:hAnsi="Times New Roman" w:cs="Times New Roman"/>
          <w:noProof/>
          <w:sz w:val="24"/>
          <w:szCs w:val="24"/>
        </w:rPr>
        <w:t>amount to</w:t>
      </w:r>
      <w:r w:rsidRPr="009B5734">
        <w:rPr>
          <w:rFonts w:ascii="Times New Roman" w:hAnsi="Times New Roman" w:cs="Times New Roman"/>
          <w:noProof/>
          <w:sz w:val="24"/>
          <w:szCs w:val="24"/>
        </w:rPr>
        <w:t xml:space="preserve"> </w:t>
      </w:r>
      <w:r w:rsidRPr="009B5734">
        <w:rPr>
          <w:rFonts w:ascii="Times New Roman" w:hAnsi="Times New Roman" w:cs="Times New Roman"/>
          <w:b/>
          <w:noProof/>
          <w:sz w:val="24"/>
          <w:szCs w:val="24"/>
        </w:rPr>
        <w:t xml:space="preserve">EUR </w:t>
      </w:r>
      <w:r w:rsidR="00A008B2" w:rsidRPr="009B5734">
        <w:rPr>
          <w:rFonts w:ascii="Times New Roman" w:hAnsi="Times New Roman" w:cs="Times New Roman"/>
          <w:b/>
          <w:noProof/>
          <w:sz w:val="24"/>
          <w:szCs w:val="24"/>
        </w:rPr>
        <w:t>16</w:t>
      </w:r>
      <w:r w:rsidR="00261259" w:rsidRPr="009B5734">
        <w:rPr>
          <w:rFonts w:ascii="Times New Roman" w:hAnsi="Times New Roman" w:cs="Times New Roman"/>
          <w:b/>
          <w:noProof/>
          <w:sz w:val="24"/>
          <w:szCs w:val="24"/>
        </w:rPr>
        <w:t>-2</w:t>
      </w:r>
      <w:r w:rsidR="00A008B2" w:rsidRPr="009B5734">
        <w:rPr>
          <w:rFonts w:ascii="Times New Roman" w:hAnsi="Times New Roman" w:cs="Times New Roman"/>
          <w:b/>
          <w:noProof/>
          <w:sz w:val="24"/>
          <w:szCs w:val="24"/>
        </w:rPr>
        <w:t>1</w:t>
      </w:r>
      <w:r w:rsidR="00261259" w:rsidRPr="009B5734">
        <w:rPr>
          <w:rFonts w:ascii="Times New Roman" w:hAnsi="Times New Roman" w:cs="Times New Roman"/>
          <w:b/>
          <w:noProof/>
          <w:sz w:val="24"/>
          <w:szCs w:val="24"/>
        </w:rPr>
        <w:t xml:space="preserve"> million for the period 2025-2040</w:t>
      </w:r>
      <w:r w:rsidR="002F122B">
        <w:rPr>
          <w:rFonts w:ascii="Times New Roman" w:hAnsi="Times New Roman" w:cs="Times New Roman"/>
          <w:b/>
          <w:noProof/>
          <w:sz w:val="24"/>
          <w:szCs w:val="24"/>
        </w:rPr>
        <w:t xml:space="preserve"> (</w:t>
      </w:r>
      <w:r w:rsidR="002F122B" w:rsidRPr="002F122B">
        <w:rPr>
          <w:rFonts w:ascii="Times New Roman" w:hAnsi="Times New Roman" w:cs="Times New Roman"/>
          <w:noProof/>
          <w:sz w:val="24"/>
          <w:szCs w:val="24"/>
        </w:rPr>
        <w:t>or</w:t>
      </w:r>
      <w:r w:rsidR="002F122B">
        <w:rPr>
          <w:rFonts w:ascii="Times New Roman" w:hAnsi="Times New Roman" w:cs="Times New Roman"/>
          <w:b/>
          <w:noProof/>
          <w:sz w:val="24"/>
          <w:szCs w:val="24"/>
        </w:rPr>
        <w:t xml:space="preserve"> EUR 1 – 1.4 million per year)</w:t>
      </w:r>
      <w:r w:rsidRPr="009B5734">
        <w:rPr>
          <w:rFonts w:ascii="Times New Roman" w:hAnsi="Times New Roman" w:cs="Times New Roman"/>
          <w:noProof/>
          <w:sz w:val="24"/>
          <w:szCs w:val="24"/>
        </w:rPr>
        <w:t xml:space="preserve">. </w:t>
      </w:r>
      <w:r w:rsidR="005E0B86" w:rsidRPr="009B5734">
        <w:rPr>
          <w:rFonts w:ascii="Times New Roman" w:hAnsi="Times New Roman" w:cs="Times New Roman"/>
          <w:noProof/>
          <w:sz w:val="24"/>
          <w:szCs w:val="24"/>
        </w:rPr>
        <w:t xml:space="preserve">Based on interviews with </w:t>
      </w:r>
      <w:r w:rsidR="00227800">
        <w:rPr>
          <w:rFonts w:ascii="Times New Roman" w:hAnsi="Times New Roman" w:cs="Times New Roman"/>
          <w:noProof/>
          <w:sz w:val="24"/>
          <w:szCs w:val="24"/>
        </w:rPr>
        <w:t>national enforcement</w:t>
      </w:r>
      <w:r w:rsidR="005E0B86" w:rsidRPr="009B5734">
        <w:rPr>
          <w:rFonts w:ascii="Times New Roman" w:hAnsi="Times New Roman" w:cs="Times New Roman"/>
          <w:noProof/>
          <w:sz w:val="24"/>
          <w:szCs w:val="24"/>
        </w:rPr>
        <w:t xml:space="preserve"> authorities, </w:t>
      </w:r>
      <w:r w:rsidR="00B87A9B">
        <w:rPr>
          <w:rFonts w:ascii="Times New Roman" w:hAnsi="Times New Roman" w:cs="Times New Roman"/>
          <w:noProof/>
          <w:sz w:val="24"/>
          <w:szCs w:val="24"/>
        </w:rPr>
        <w:t xml:space="preserve">for both options, </w:t>
      </w:r>
      <w:r w:rsidR="005E0B86" w:rsidRPr="009B5734">
        <w:rPr>
          <w:rFonts w:ascii="Times New Roman" w:hAnsi="Times New Roman" w:cs="Times New Roman"/>
          <w:noProof/>
          <w:sz w:val="24"/>
          <w:szCs w:val="24"/>
        </w:rPr>
        <w:t>it is assumed that the measure would not require significant additional resources on top of the existi</w:t>
      </w:r>
      <w:r w:rsidR="005E0B86">
        <w:rPr>
          <w:rFonts w:ascii="Times New Roman" w:hAnsi="Times New Roman" w:cs="Times New Roman"/>
          <w:noProof/>
          <w:sz w:val="24"/>
          <w:szCs w:val="24"/>
        </w:rPr>
        <w:t xml:space="preserve">ng ones to enforce </w:t>
      </w:r>
      <w:r w:rsidR="00227800">
        <w:rPr>
          <w:rFonts w:ascii="Times New Roman" w:hAnsi="Times New Roman" w:cs="Times New Roman"/>
          <w:noProof/>
          <w:sz w:val="24"/>
          <w:szCs w:val="24"/>
        </w:rPr>
        <w:t xml:space="preserve">the </w:t>
      </w:r>
      <w:r w:rsidR="005E0B86">
        <w:rPr>
          <w:rFonts w:ascii="Times New Roman" w:hAnsi="Times New Roman" w:cs="Times New Roman"/>
          <w:noProof/>
          <w:sz w:val="24"/>
          <w:szCs w:val="24"/>
        </w:rPr>
        <w:t>C</w:t>
      </w:r>
      <w:r w:rsidR="00227800">
        <w:rPr>
          <w:rFonts w:ascii="Times New Roman" w:hAnsi="Times New Roman" w:cs="Times New Roman"/>
          <w:noProof/>
          <w:sz w:val="24"/>
          <w:szCs w:val="24"/>
        </w:rPr>
        <w:t xml:space="preserve">onsumer </w:t>
      </w:r>
      <w:r w:rsidR="005E0B86">
        <w:rPr>
          <w:rFonts w:ascii="Times New Roman" w:hAnsi="Times New Roman" w:cs="Times New Roman"/>
          <w:noProof/>
          <w:sz w:val="24"/>
          <w:szCs w:val="24"/>
        </w:rPr>
        <w:t>R</w:t>
      </w:r>
      <w:r w:rsidR="00227800">
        <w:rPr>
          <w:rFonts w:ascii="Times New Roman" w:hAnsi="Times New Roman" w:cs="Times New Roman"/>
          <w:noProof/>
          <w:sz w:val="24"/>
          <w:szCs w:val="24"/>
        </w:rPr>
        <w:t xml:space="preserve">ights </w:t>
      </w:r>
      <w:r w:rsidR="005E0B86">
        <w:rPr>
          <w:rFonts w:ascii="Times New Roman" w:hAnsi="Times New Roman" w:cs="Times New Roman"/>
          <w:noProof/>
          <w:sz w:val="24"/>
          <w:szCs w:val="24"/>
        </w:rPr>
        <w:t>D</w:t>
      </w:r>
      <w:r w:rsidR="00227800">
        <w:rPr>
          <w:rFonts w:ascii="Times New Roman" w:hAnsi="Times New Roman" w:cs="Times New Roman"/>
          <w:noProof/>
          <w:sz w:val="24"/>
          <w:szCs w:val="24"/>
        </w:rPr>
        <w:t>irective</w:t>
      </w:r>
      <w:r w:rsidR="005E0B86">
        <w:rPr>
          <w:rFonts w:ascii="Times New Roman" w:hAnsi="Times New Roman" w:cs="Times New Roman"/>
          <w:noProof/>
          <w:sz w:val="24"/>
          <w:szCs w:val="24"/>
        </w:rPr>
        <w:t xml:space="preserve"> and </w:t>
      </w:r>
      <w:r w:rsidR="00227800">
        <w:rPr>
          <w:rFonts w:ascii="Times New Roman" w:hAnsi="Times New Roman" w:cs="Times New Roman"/>
          <w:noProof/>
          <w:sz w:val="24"/>
          <w:szCs w:val="24"/>
        </w:rPr>
        <w:t xml:space="preserve">the </w:t>
      </w:r>
      <w:r w:rsidR="005E0B86">
        <w:rPr>
          <w:rFonts w:ascii="Times New Roman" w:hAnsi="Times New Roman" w:cs="Times New Roman"/>
          <w:noProof/>
          <w:sz w:val="24"/>
          <w:szCs w:val="24"/>
        </w:rPr>
        <w:t>S</w:t>
      </w:r>
      <w:r w:rsidR="00227800">
        <w:rPr>
          <w:rFonts w:ascii="Times New Roman" w:hAnsi="Times New Roman" w:cs="Times New Roman"/>
          <w:noProof/>
          <w:sz w:val="24"/>
          <w:szCs w:val="24"/>
        </w:rPr>
        <w:t xml:space="preserve">ale of </w:t>
      </w:r>
      <w:r w:rsidR="005E0B86">
        <w:rPr>
          <w:rFonts w:ascii="Times New Roman" w:hAnsi="Times New Roman" w:cs="Times New Roman"/>
          <w:noProof/>
          <w:sz w:val="24"/>
          <w:szCs w:val="24"/>
        </w:rPr>
        <w:t>G</w:t>
      </w:r>
      <w:r w:rsidR="00227800">
        <w:rPr>
          <w:rFonts w:ascii="Times New Roman" w:hAnsi="Times New Roman" w:cs="Times New Roman"/>
          <w:noProof/>
          <w:sz w:val="24"/>
          <w:szCs w:val="24"/>
        </w:rPr>
        <w:t xml:space="preserve">oods </w:t>
      </w:r>
      <w:r w:rsidR="005E0B86">
        <w:rPr>
          <w:rFonts w:ascii="Times New Roman" w:hAnsi="Times New Roman" w:cs="Times New Roman"/>
          <w:noProof/>
          <w:sz w:val="24"/>
          <w:szCs w:val="24"/>
        </w:rPr>
        <w:t>D</w:t>
      </w:r>
      <w:r w:rsidR="00227800">
        <w:rPr>
          <w:rFonts w:ascii="Times New Roman" w:hAnsi="Times New Roman" w:cs="Times New Roman"/>
          <w:noProof/>
          <w:sz w:val="24"/>
          <w:szCs w:val="24"/>
        </w:rPr>
        <w:t>irective</w:t>
      </w:r>
      <w:r w:rsidR="005E0B86">
        <w:rPr>
          <w:rFonts w:ascii="Times New Roman" w:hAnsi="Times New Roman" w:cs="Times New Roman"/>
          <w:noProof/>
          <w:sz w:val="24"/>
          <w:szCs w:val="24"/>
        </w:rPr>
        <w:t xml:space="preserve">. </w:t>
      </w:r>
      <w:r w:rsidR="00227800">
        <w:rPr>
          <w:rFonts w:ascii="Times New Roman" w:hAnsi="Times New Roman" w:cs="Times New Roman"/>
          <w:noProof/>
          <w:sz w:val="24"/>
          <w:szCs w:val="24"/>
        </w:rPr>
        <w:t>It is</w:t>
      </w:r>
      <w:r w:rsidR="005E0B86" w:rsidRPr="009B5734">
        <w:rPr>
          <w:rFonts w:ascii="Times New Roman" w:hAnsi="Times New Roman" w:cs="Times New Roman"/>
          <w:noProof/>
          <w:sz w:val="24"/>
          <w:szCs w:val="24"/>
        </w:rPr>
        <w:t xml:space="preserve"> therefore assume</w:t>
      </w:r>
      <w:r w:rsidR="00227800">
        <w:rPr>
          <w:rFonts w:ascii="Times New Roman" w:hAnsi="Times New Roman" w:cs="Times New Roman"/>
          <w:noProof/>
          <w:sz w:val="24"/>
          <w:szCs w:val="24"/>
        </w:rPr>
        <w:t>d</w:t>
      </w:r>
      <w:r w:rsidR="005E0B86" w:rsidRPr="009B5734">
        <w:rPr>
          <w:rFonts w:ascii="Times New Roman" w:hAnsi="Times New Roman" w:cs="Times New Roman"/>
          <w:noProof/>
          <w:sz w:val="24"/>
          <w:szCs w:val="24"/>
        </w:rPr>
        <w:t xml:space="preserve"> that the measure will require one additional Full Time Equivalent (per Member State), with its time divided equally between monitoring, inspe</w:t>
      </w:r>
      <w:r w:rsidR="005E0B86">
        <w:rPr>
          <w:rFonts w:ascii="Times New Roman" w:hAnsi="Times New Roman" w:cs="Times New Roman"/>
          <w:noProof/>
          <w:sz w:val="24"/>
          <w:szCs w:val="24"/>
        </w:rPr>
        <w:t xml:space="preserve">cting, and handling complaints. </w:t>
      </w:r>
      <w:r w:rsidR="005E0B86" w:rsidRPr="009B5734">
        <w:rPr>
          <w:rFonts w:ascii="Times New Roman" w:hAnsi="Times New Roman" w:cs="Times New Roman"/>
          <w:noProof/>
          <w:sz w:val="24"/>
          <w:szCs w:val="24"/>
        </w:rPr>
        <w:t xml:space="preserve">70h </w:t>
      </w:r>
      <w:r w:rsidR="00227800">
        <w:rPr>
          <w:rFonts w:ascii="Times New Roman" w:hAnsi="Times New Roman" w:cs="Times New Roman"/>
          <w:noProof/>
          <w:sz w:val="24"/>
          <w:szCs w:val="24"/>
        </w:rPr>
        <w:t xml:space="preserve">are assumed </w:t>
      </w:r>
      <w:r w:rsidR="005E0B86" w:rsidRPr="009B5734">
        <w:rPr>
          <w:rFonts w:ascii="Times New Roman" w:hAnsi="Times New Roman" w:cs="Times New Roman"/>
          <w:noProof/>
          <w:sz w:val="24"/>
          <w:szCs w:val="24"/>
        </w:rPr>
        <w:t>for familiarizatio</w:t>
      </w:r>
      <w:r w:rsidR="00227800">
        <w:rPr>
          <w:rFonts w:ascii="Times New Roman" w:hAnsi="Times New Roman" w:cs="Times New Roman"/>
          <w:noProof/>
          <w:sz w:val="24"/>
          <w:szCs w:val="24"/>
        </w:rPr>
        <w:t>n with the measure and adjustment of</w:t>
      </w:r>
      <w:r w:rsidR="005E0B86" w:rsidRPr="009B5734">
        <w:rPr>
          <w:rFonts w:ascii="Times New Roman" w:hAnsi="Times New Roman" w:cs="Times New Roman"/>
          <w:noProof/>
          <w:sz w:val="24"/>
          <w:szCs w:val="24"/>
        </w:rPr>
        <w:t xml:space="preserve"> internal procedures to start enforcing the measure. 16 employees w</w:t>
      </w:r>
      <w:r w:rsidR="00227800">
        <w:rPr>
          <w:rFonts w:ascii="Times New Roman" w:hAnsi="Times New Roman" w:cs="Times New Roman"/>
          <w:noProof/>
          <w:sz w:val="24"/>
          <w:szCs w:val="24"/>
        </w:rPr>
        <w:t>ould</w:t>
      </w:r>
      <w:r w:rsidR="005E0B86" w:rsidRPr="009B5734">
        <w:rPr>
          <w:rFonts w:ascii="Times New Roman" w:hAnsi="Times New Roman" w:cs="Times New Roman"/>
          <w:noProof/>
          <w:sz w:val="24"/>
          <w:szCs w:val="24"/>
        </w:rPr>
        <w:t xml:space="preserve"> receive a 7h </w:t>
      </w:r>
      <w:r w:rsidR="005E0B86">
        <w:rPr>
          <w:rFonts w:ascii="Times New Roman" w:hAnsi="Times New Roman" w:cs="Times New Roman"/>
          <w:noProof/>
          <w:sz w:val="24"/>
          <w:szCs w:val="24"/>
        </w:rPr>
        <w:t xml:space="preserve">training. </w:t>
      </w:r>
      <w:r w:rsidR="005E0B86" w:rsidRPr="009B5734">
        <w:rPr>
          <w:rFonts w:ascii="Times New Roman" w:hAnsi="Times New Roman" w:cs="Times New Roman"/>
          <w:noProof/>
          <w:sz w:val="24"/>
          <w:szCs w:val="24"/>
        </w:rPr>
        <w:t>It is also assumed that there will be a yearly action per Member State, which will cost EUR 20,</w:t>
      </w:r>
      <w:r w:rsidR="0078589E">
        <w:rPr>
          <w:rFonts w:ascii="Times New Roman" w:hAnsi="Times New Roman" w:cs="Times New Roman"/>
          <w:noProof/>
          <w:sz w:val="24"/>
          <w:szCs w:val="24"/>
        </w:rPr>
        <w:t>000 (based on market research)</w:t>
      </w:r>
      <w:r w:rsidR="005E0B86" w:rsidRPr="009B5734">
        <w:rPr>
          <w:rFonts w:ascii="Times New Roman" w:hAnsi="Times New Roman" w:cs="Times New Roman"/>
          <w:noProof/>
          <w:sz w:val="24"/>
          <w:szCs w:val="24"/>
        </w:rPr>
        <w:t>.</w:t>
      </w:r>
      <w:r w:rsidR="005E0B86">
        <w:rPr>
          <w:rFonts w:ascii="Times New Roman" w:hAnsi="Times New Roman" w:cs="Times New Roman"/>
          <w:noProof/>
          <w:sz w:val="24"/>
          <w:szCs w:val="24"/>
        </w:rPr>
        <w:t xml:space="preserve"> </w:t>
      </w:r>
      <w:r w:rsidR="003006FC" w:rsidRPr="009B5734">
        <w:rPr>
          <w:rFonts w:ascii="Times New Roman" w:hAnsi="Times New Roman" w:cs="Times New Roman"/>
          <w:noProof/>
          <w:sz w:val="24"/>
          <w:szCs w:val="24"/>
        </w:rPr>
        <w:t xml:space="preserve">Enforcement costs for </w:t>
      </w:r>
      <w:r w:rsidR="003006FC" w:rsidRPr="009B5734">
        <w:rPr>
          <w:rFonts w:ascii="Times New Roman" w:hAnsi="Times New Roman" w:cs="Times New Roman"/>
          <w:b/>
          <w:noProof/>
          <w:sz w:val="24"/>
          <w:szCs w:val="24"/>
        </w:rPr>
        <w:t>option</w:t>
      </w:r>
      <w:r w:rsidR="003006FC" w:rsidRPr="009B5734">
        <w:rPr>
          <w:rFonts w:ascii="Times New Roman" w:hAnsi="Times New Roman" w:cs="Times New Roman"/>
          <w:noProof/>
          <w:sz w:val="24"/>
          <w:szCs w:val="24"/>
        </w:rPr>
        <w:t xml:space="preserve"> </w:t>
      </w:r>
      <w:r w:rsidR="003006FC" w:rsidRPr="009B5734">
        <w:rPr>
          <w:rFonts w:ascii="Times New Roman" w:hAnsi="Times New Roman" w:cs="Times New Roman"/>
          <w:b/>
          <w:noProof/>
          <w:sz w:val="24"/>
          <w:szCs w:val="24"/>
        </w:rPr>
        <w:t xml:space="preserve">1.3.C </w:t>
      </w:r>
      <w:r w:rsidR="003006FC" w:rsidRPr="009B5734">
        <w:rPr>
          <w:rFonts w:ascii="Times New Roman" w:hAnsi="Times New Roman" w:cs="Times New Roman"/>
          <w:noProof/>
          <w:sz w:val="24"/>
          <w:szCs w:val="24"/>
        </w:rPr>
        <w:t xml:space="preserve">are </w:t>
      </w:r>
      <w:r w:rsidR="00403B31" w:rsidRPr="009B5734">
        <w:rPr>
          <w:rFonts w:ascii="Times New Roman" w:hAnsi="Times New Roman" w:cs="Times New Roman"/>
          <w:noProof/>
          <w:sz w:val="24"/>
          <w:szCs w:val="24"/>
        </w:rPr>
        <w:t>also</w:t>
      </w:r>
      <w:r w:rsidR="003006FC" w:rsidRPr="009B5734">
        <w:rPr>
          <w:rFonts w:ascii="Times New Roman" w:hAnsi="Times New Roman" w:cs="Times New Roman"/>
          <w:noProof/>
          <w:sz w:val="24"/>
          <w:szCs w:val="24"/>
        </w:rPr>
        <w:t xml:space="preserve"> limited and estimated to be of </w:t>
      </w:r>
      <w:r w:rsidR="003006FC" w:rsidRPr="009B5734">
        <w:rPr>
          <w:rFonts w:ascii="Times New Roman" w:hAnsi="Times New Roman" w:cs="Times New Roman"/>
          <w:b/>
          <w:noProof/>
          <w:sz w:val="24"/>
          <w:szCs w:val="24"/>
        </w:rPr>
        <w:t xml:space="preserve">EUR </w:t>
      </w:r>
      <w:r w:rsidR="00284B5B" w:rsidRPr="009B5734">
        <w:rPr>
          <w:rFonts w:ascii="Times New Roman" w:hAnsi="Times New Roman" w:cs="Times New Roman"/>
          <w:b/>
          <w:noProof/>
          <w:sz w:val="24"/>
          <w:szCs w:val="24"/>
        </w:rPr>
        <w:t>8</w:t>
      </w:r>
      <w:r w:rsidR="003006FC" w:rsidRPr="009B5734">
        <w:rPr>
          <w:rFonts w:ascii="Times New Roman" w:hAnsi="Times New Roman" w:cs="Times New Roman"/>
          <w:b/>
          <w:noProof/>
          <w:sz w:val="24"/>
          <w:szCs w:val="24"/>
        </w:rPr>
        <w:t>-1</w:t>
      </w:r>
      <w:r w:rsidR="00284B5B" w:rsidRPr="009B5734">
        <w:rPr>
          <w:rFonts w:ascii="Times New Roman" w:hAnsi="Times New Roman" w:cs="Times New Roman"/>
          <w:b/>
          <w:noProof/>
          <w:sz w:val="24"/>
          <w:szCs w:val="24"/>
        </w:rPr>
        <w:t>3</w:t>
      </w:r>
      <w:r w:rsidR="003006FC" w:rsidRPr="009B5734">
        <w:rPr>
          <w:rFonts w:ascii="Times New Roman" w:hAnsi="Times New Roman" w:cs="Times New Roman"/>
          <w:b/>
          <w:noProof/>
          <w:sz w:val="24"/>
          <w:szCs w:val="24"/>
        </w:rPr>
        <w:t xml:space="preserve"> million for the period 2025-2040</w:t>
      </w:r>
      <w:r w:rsidR="00215846">
        <w:rPr>
          <w:rFonts w:ascii="Times New Roman" w:hAnsi="Times New Roman" w:cs="Times New Roman"/>
          <w:b/>
          <w:noProof/>
          <w:sz w:val="24"/>
          <w:szCs w:val="24"/>
        </w:rPr>
        <w:t xml:space="preserve"> (</w:t>
      </w:r>
      <w:r w:rsidR="00215846" w:rsidRPr="00215846">
        <w:rPr>
          <w:rFonts w:ascii="Times New Roman" w:hAnsi="Times New Roman" w:cs="Times New Roman"/>
          <w:noProof/>
          <w:sz w:val="24"/>
          <w:szCs w:val="24"/>
        </w:rPr>
        <w:t xml:space="preserve">or </w:t>
      </w:r>
      <w:r w:rsidR="00215846">
        <w:rPr>
          <w:rFonts w:ascii="Times New Roman" w:hAnsi="Times New Roman" w:cs="Times New Roman"/>
          <w:b/>
          <w:noProof/>
          <w:sz w:val="24"/>
          <w:szCs w:val="24"/>
        </w:rPr>
        <w:t>EUR 0.5 – 0.9 million per year)</w:t>
      </w:r>
      <w:r w:rsidR="00403B31" w:rsidRPr="009B5734">
        <w:rPr>
          <w:rFonts w:ascii="Times New Roman" w:hAnsi="Times New Roman" w:cs="Times New Roman"/>
          <w:noProof/>
          <w:sz w:val="24"/>
          <w:szCs w:val="24"/>
        </w:rPr>
        <w:t>. In each case these costs are</w:t>
      </w:r>
      <w:r w:rsidR="003006FC" w:rsidRPr="009B5734">
        <w:rPr>
          <w:rFonts w:ascii="Times New Roman" w:hAnsi="Times New Roman" w:cs="Times New Roman"/>
          <w:noProof/>
          <w:sz w:val="24"/>
          <w:szCs w:val="24"/>
        </w:rPr>
        <w:t xml:space="preserve"> generated by the time needed to check whether the information is provided.</w:t>
      </w:r>
      <w:r w:rsidR="007C6AEC" w:rsidRPr="009B5734">
        <w:rPr>
          <w:rFonts w:ascii="Times New Roman" w:hAnsi="Times New Roman" w:cs="Times New Roman"/>
          <w:noProof/>
          <w:sz w:val="24"/>
          <w:szCs w:val="24"/>
        </w:rPr>
        <w:t xml:space="preserve"> </w:t>
      </w:r>
      <w:r w:rsidR="005E0B86" w:rsidRPr="009B5734">
        <w:rPr>
          <w:rFonts w:ascii="Times New Roman" w:hAnsi="Times New Roman" w:cs="Times New Roman"/>
          <w:noProof/>
          <w:sz w:val="24"/>
          <w:szCs w:val="24"/>
        </w:rPr>
        <w:t xml:space="preserve">Based on interviews with </w:t>
      </w:r>
      <w:r w:rsidR="00B87A9B">
        <w:rPr>
          <w:rFonts w:ascii="Times New Roman" w:hAnsi="Times New Roman" w:cs="Times New Roman"/>
          <w:noProof/>
          <w:sz w:val="24"/>
          <w:szCs w:val="24"/>
        </w:rPr>
        <w:t>national enforcement</w:t>
      </w:r>
      <w:r w:rsidR="005E0B86" w:rsidRPr="009B5734">
        <w:rPr>
          <w:rFonts w:ascii="Times New Roman" w:hAnsi="Times New Roman" w:cs="Times New Roman"/>
          <w:noProof/>
          <w:sz w:val="24"/>
          <w:szCs w:val="24"/>
        </w:rPr>
        <w:t xml:space="preserve"> authorities, it is assumed that the measure would not require significant additional resources on top of the existi</w:t>
      </w:r>
      <w:r w:rsidR="005E0B86">
        <w:rPr>
          <w:rFonts w:ascii="Times New Roman" w:hAnsi="Times New Roman" w:cs="Times New Roman"/>
          <w:noProof/>
          <w:sz w:val="24"/>
          <w:szCs w:val="24"/>
        </w:rPr>
        <w:t xml:space="preserve">ng ones to enforce </w:t>
      </w:r>
      <w:r w:rsidR="00B87A9B">
        <w:rPr>
          <w:rFonts w:ascii="Times New Roman" w:hAnsi="Times New Roman" w:cs="Times New Roman"/>
          <w:noProof/>
          <w:sz w:val="24"/>
          <w:szCs w:val="24"/>
        </w:rPr>
        <w:t xml:space="preserve">the </w:t>
      </w:r>
      <w:r w:rsidR="005E0B86">
        <w:rPr>
          <w:rFonts w:ascii="Times New Roman" w:hAnsi="Times New Roman" w:cs="Times New Roman"/>
          <w:noProof/>
          <w:sz w:val="24"/>
          <w:szCs w:val="24"/>
        </w:rPr>
        <w:t>C</w:t>
      </w:r>
      <w:r w:rsidR="00B87A9B">
        <w:rPr>
          <w:rFonts w:ascii="Times New Roman" w:hAnsi="Times New Roman" w:cs="Times New Roman"/>
          <w:noProof/>
          <w:sz w:val="24"/>
          <w:szCs w:val="24"/>
        </w:rPr>
        <w:t xml:space="preserve">onsumer </w:t>
      </w:r>
      <w:r w:rsidR="005E0B86">
        <w:rPr>
          <w:rFonts w:ascii="Times New Roman" w:hAnsi="Times New Roman" w:cs="Times New Roman"/>
          <w:noProof/>
          <w:sz w:val="24"/>
          <w:szCs w:val="24"/>
        </w:rPr>
        <w:t>R</w:t>
      </w:r>
      <w:r w:rsidR="00B87A9B">
        <w:rPr>
          <w:rFonts w:ascii="Times New Roman" w:hAnsi="Times New Roman" w:cs="Times New Roman"/>
          <w:noProof/>
          <w:sz w:val="24"/>
          <w:szCs w:val="24"/>
        </w:rPr>
        <w:t xml:space="preserve">ights </w:t>
      </w:r>
      <w:r w:rsidR="005E0B86">
        <w:rPr>
          <w:rFonts w:ascii="Times New Roman" w:hAnsi="Times New Roman" w:cs="Times New Roman"/>
          <w:noProof/>
          <w:sz w:val="24"/>
          <w:szCs w:val="24"/>
        </w:rPr>
        <w:t>D</w:t>
      </w:r>
      <w:r w:rsidR="00B87A9B">
        <w:rPr>
          <w:rFonts w:ascii="Times New Roman" w:hAnsi="Times New Roman" w:cs="Times New Roman"/>
          <w:noProof/>
          <w:sz w:val="24"/>
          <w:szCs w:val="24"/>
        </w:rPr>
        <w:t>irective</w:t>
      </w:r>
      <w:r w:rsidR="005E0B86">
        <w:rPr>
          <w:rFonts w:ascii="Times New Roman" w:hAnsi="Times New Roman" w:cs="Times New Roman"/>
          <w:noProof/>
          <w:sz w:val="24"/>
          <w:szCs w:val="24"/>
        </w:rPr>
        <w:t xml:space="preserve"> and S</w:t>
      </w:r>
      <w:r w:rsidR="00B87A9B">
        <w:rPr>
          <w:rFonts w:ascii="Times New Roman" w:hAnsi="Times New Roman" w:cs="Times New Roman"/>
          <w:noProof/>
          <w:sz w:val="24"/>
          <w:szCs w:val="24"/>
        </w:rPr>
        <w:t xml:space="preserve">ale of </w:t>
      </w:r>
      <w:r w:rsidR="005E0B86">
        <w:rPr>
          <w:rFonts w:ascii="Times New Roman" w:hAnsi="Times New Roman" w:cs="Times New Roman"/>
          <w:noProof/>
          <w:sz w:val="24"/>
          <w:szCs w:val="24"/>
        </w:rPr>
        <w:t>G</w:t>
      </w:r>
      <w:r w:rsidR="00B87A9B">
        <w:rPr>
          <w:rFonts w:ascii="Times New Roman" w:hAnsi="Times New Roman" w:cs="Times New Roman"/>
          <w:noProof/>
          <w:sz w:val="24"/>
          <w:szCs w:val="24"/>
        </w:rPr>
        <w:t xml:space="preserve">oods </w:t>
      </w:r>
      <w:r w:rsidR="005E0B86">
        <w:rPr>
          <w:rFonts w:ascii="Times New Roman" w:hAnsi="Times New Roman" w:cs="Times New Roman"/>
          <w:noProof/>
          <w:sz w:val="24"/>
          <w:szCs w:val="24"/>
        </w:rPr>
        <w:t>D</w:t>
      </w:r>
      <w:r w:rsidR="00B87A9B">
        <w:rPr>
          <w:rFonts w:ascii="Times New Roman" w:hAnsi="Times New Roman" w:cs="Times New Roman"/>
          <w:noProof/>
          <w:sz w:val="24"/>
          <w:szCs w:val="24"/>
        </w:rPr>
        <w:t>irective</w:t>
      </w:r>
      <w:r w:rsidR="005E0B86">
        <w:rPr>
          <w:rFonts w:ascii="Times New Roman" w:hAnsi="Times New Roman" w:cs="Times New Roman"/>
          <w:noProof/>
          <w:sz w:val="24"/>
          <w:szCs w:val="24"/>
        </w:rPr>
        <w:t xml:space="preserve">. </w:t>
      </w:r>
      <w:r w:rsidR="00B87A9B">
        <w:rPr>
          <w:rFonts w:ascii="Times New Roman" w:hAnsi="Times New Roman" w:cs="Times New Roman"/>
          <w:noProof/>
          <w:sz w:val="24"/>
          <w:szCs w:val="24"/>
        </w:rPr>
        <w:t>It is therefore</w:t>
      </w:r>
      <w:r w:rsidR="005E0B86" w:rsidRPr="009B5734">
        <w:rPr>
          <w:rFonts w:ascii="Times New Roman" w:hAnsi="Times New Roman" w:cs="Times New Roman"/>
          <w:noProof/>
          <w:sz w:val="24"/>
          <w:szCs w:val="24"/>
        </w:rPr>
        <w:t xml:space="preserve"> assume</w:t>
      </w:r>
      <w:r w:rsidR="00B87A9B">
        <w:rPr>
          <w:rFonts w:ascii="Times New Roman" w:hAnsi="Times New Roman" w:cs="Times New Roman"/>
          <w:noProof/>
          <w:sz w:val="24"/>
          <w:szCs w:val="24"/>
        </w:rPr>
        <w:t>d</w:t>
      </w:r>
      <w:r w:rsidR="005E0B86" w:rsidRPr="009B5734">
        <w:rPr>
          <w:rFonts w:ascii="Times New Roman" w:hAnsi="Times New Roman" w:cs="Times New Roman"/>
          <w:noProof/>
          <w:sz w:val="24"/>
          <w:szCs w:val="24"/>
        </w:rPr>
        <w:t xml:space="preserve"> that the measure will require an additional 0.5 Full Time Equivalent (per Member State), with its time divided equally between monitoring, inspe</w:t>
      </w:r>
      <w:r w:rsidR="005E0B86">
        <w:rPr>
          <w:rFonts w:ascii="Times New Roman" w:hAnsi="Times New Roman" w:cs="Times New Roman"/>
          <w:noProof/>
          <w:sz w:val="24"/>
          <w:szCs w:val="24"/>
        </w:rPr>
        <w:t xml:space="preserve">cting, and handling complaints. </w:t>
      </w:r>
      <w:r w:rsidR="005E0B86" w:rsidRPr="009B5734">
        <w:rPr>
          <w:rFonts w:ascii="Times New Roman" w:hAnsi="Times New Roman" w:cs="Times New Roman"/>
          <w:noProof/>
          <w:sz w:val="24"/>
          <w:szCs w:val="24"/>
        </w:rPr>
        <w:t xml:space="preserve">70h </w:t>
      </w:r>
      <w:r w:rsidR="00B87A9B">
        <w:rPr>
          <w:rFonts w:ascii="Times New Roman" w:hAnsi="Times New Roman" w:cs="Times New Roman"/>
          <w:noProof/>
          <w:sz w:val="24"/>
          <w:szCs w:val="24"/>
        </w:rPr>
        <w:t xml:space="preserve">are assumed </w:t>
      </w:r>
      <w:r w:rsidR="005E0B86" w:rsidRPr="009B5734">
        <w:rPr>
          <w:rFonts w:ascii="Times New Roman" w:hAnsi="Times New Roman" w:cs="Times New Roman"/>
          <w:noProof/>
          <w:sz w:val="24"/>
          <w:szCs w:val="24"/>
        </w:rPr>
        <w:t>for familiarization with the measure and adjust</w:t>
      </w:r>
      <w:r w:rsidR="00B87A9B">
        <w:rPr>
          <w:rFonts w:ascii="Times New Roman" w:hAnsi="Times New Roman" w:cs="Times New Roman"/>
          <w:noProof/>
          <w:sz w:val="24"/>
          <w:szCs w:val="24"/>
        </w:rPr>
        <w:t>ment of</w:t>
      </w:r>
      <w:r w:rsidR="005E0B86" w:rsidRPr="009B5734">
        <w:rPr>
          <w:rFonts w:ascii="Times New Roman" w:hAnsi="Times New Roman" w:cs="Times New Roman"/>
          <w:noProof/>
          <w:sz w:val="24"/>
          <w:szCs w:val="24"/>
        </w:rPr>
        <w:t xml:space="preserve"> internal procedures to start enforcing the measure. 16 employe</w:t>
      </w:r>
      <w:r w:rsidR="00B87A9B">
        <w:rPr>
          <w:rFonts w:ascii="Times New Roman" w:hAnsi="Times New Roman" w:cs="Times New Roman"/>
          <w:noProof/>
          <w:sz w:val="24"/>
          <w:szCs w:val="24"/>
        </w:rPr>
        <w:t>es would</w:t>
      </w:r>
      <w:r w:rsidR="005E0B86">
        <w:rPr>
          <w:rFonts w:ascii="Times New Roman" w:hAnsi="Times New Roman" w:cs="Times New Roman"/>
          <w:noProof/>
          <w:sz w:val="24"/>
          <w:szCs w:val="24"/>
        </w:rPr>
        <w:t xml:space="preserve"> receive a 7h training. </w:t>
      </w:r>
      <w:r w:rsidR="005E0B86" w:rsidRPr="009B5734">
        <w:rPr>
          <w:rFonts w:ascii="Times New Roman" w:hAnsi="Times New Roman" w:cs="Times New Roman"/>
          <w:noProof/>
          <w:sz w:val="24"/>
          <w:szCs w:val="24"/>
        </w:rPr>
        <w:t xml:space="preserve">It is also assumed that there might be a yearly action per Member State, which will cost EUR 20,000 (based on market research). </w:t>
      </w:r>
      <w:r w:rsidR="007C6AEC" w:rsidRPr="009B5734">
        <w:rPr>
          <w:rFonts w:ascii="Times New Roman" w:hAnsi="Times New Roman" w:cs="Times New Roman"/>
          <w:noProof/>
          <w:sz w:val="24"/>
          <w:szCs w:val="24"/>
        </w:rPr>
        <w:t xml:space="preserve">Enforcement costs of </w:t>
      </w:r>
      <w:r w:rsidR="007C6AEC" w:rsidRPr="009B5734">
        <w:rPr>
          <w:rFonts w:ascii="Times New Roman" w:hAnsi="Times New Roman" w:cs="Times New Roman"/>
          <w:b/>
          <w:noProof/>
          <w:sz w:val="24"/>
          <w:szCs w:val="24"/>
        </w:rPr>
        <w:t>option 1.3.D</w:t>
      </w:r>
      <w:r w:rsidR="007C6AEC" w:rsidRPr="009B5734">
        <w:rPr>
          <w:rFonts w:ascii="Times New Roman" w:hAnsi="Times New Roman" w:cs="Times New Roman"/>
          <w:noProof/>
          <w:sz w:val="24"/>
          <w:szCs w:val="24"/>
        </w:rPr>
        <w:t xml:space="preserve"> are estimated to be of </w:t>
      </w:r>
      <w:r w:rsidR="007C6AEC" w:rsidRPr="009B5734">
        <w:rPr>
          <w:rFonts w:ascii="Times New Roman" w:hAnsi="Times New Roman" w:cs="Times New Roman"/>
          <w:b/>
          <w:noProof/>
          <w:sz w:val="24"/>
          <w:szCs w:val="24"/>
        </w:rPr>
        <w:t>EUR 3</w:t>
      </w:r>
      <w:r w:rsidR="00284B5B" w:rsidRPr="009B5734">
        <w:rPr>
          <w:rFonts w:ascii="Times New Roman" w:hAnsi="Times New Roman" w:cs="Times New Roman"/>
          <w:b/>
          <w:noProof/>
          <w:sz w:val="24"/>
          <w:szCs w:val="24"/>
        </w:rPr>
        <w:t>2</w:t>
      </w:r>
      <w:r w:rsidR="007C6AEC" w:rsidRPr="009B5734">
        <w:rPr>
          <w:rFonts w:ascii="Times New Roman" w:hAnsi="Times New Roman" w:cs="Times New Roman"/>
          <w:b/>
          <w:noProof/>
          <w:sz w:val="24"/>
          <w:szCs w:val="24"/>
        </w:rPr>
        <w:t xml:space="preserve"> - </w:t>
      </w:r>
      <w:r w:rsidR="00284B5B" w:rsidRPr="009B5734">
        <w:rPr>
          <w:rFonts w:ascii="Times New Roman" w:hAnsi="Times New Roman" w:cs="Times New Roman"/>
          <w:b/>
          <w:noProof/>
          <w:sz w:val="24"/>
          <w:szCs w:val="24"/>
        </w:rPr>
        <w:t>37</w:t>
      </w:r>
      <w:r w:rsidR="007C6AEC" w:rsidRPr="009B5734">
        <w:rPr>
          <w:rFonts w:ascii="Times New Roman" w:hAnsi="Times New Roman" w:cs="Times New Roman"/>
          <w:b/>
          <w:noProof/>
          <w:sz w:val="24"/>
          <w:szCs w:val="24"/>
        </w:rPr>
        <w:t xml:space="preserve"> million for the period 2025-2040</w:t>
      </w:r>
      <w:r w:rsidR="00215846">
        <w:rPr>
          <w:rFonts w:ascii="Times New Roman" w:hAnsi="Times New Roman" w:cs="Times New Roman"/>
          <w:b/>
          <w:noProof/>
          <w:sz w:val="24"/>
          <w:szCs w:val="24"/>
        </w:rPr>
        <w:t xml:space="preserve"> (</w:t>
      </w:r>
      <w:r w:rsidR="00215846" w:rsidRPr="00215846">
        <w:rPr>
          <w:rFonts w:ascii="Times New Roman" w:hAnsi="Times New Roman" w:cs="Times New Roman"/>
          <w:noProof/>
          <w:sz w:val="24"/>
          <w:szCs w:val="24"/>
        </w:rPr>
        <w:t>or</w:t>
      </w:r>
      <w:r w:rsidR="00215846">
        <w:rPr>
          <w:rFonts w:ascii="Times New Roman" w:hAnsi="Times New Roman" w:cs="Times New Roman"/>
          <w:b/>
          <w:noProof/>
          <w:sz w:val="24"/>
          <w:szCs w:val="24"/>
        </w:rPr>
        <w:t xml:space="preserve"> EUR 2.1 – 2.5 million per year)</w:t>
      </w:r>
      <w:r w:rsidR="007C6AEC" w:rsidRPr="009B5734">
        <w:rPr>
          <w:rFonts w:ascii="Times New Roman" w:hAnsi="Times New Roman" w:cs="Times New Roman"/>
          <w:noProof/>
          <w:sz w:val="24"/>
          <w:szCs w:val="24"/>
        </w:rPr>
        <w:t>, generated by the time needed to check whether the information is provided and accurate.</w:t>
      </w:r>
      <w:r w:rsidR="005E0B86">
        <w:rPr>
          <w:rFonts w:ascii="Times New Roman" w:hAnsi="Times New Roman" w:cs="Times New Roman"/>
          <w:noProof/>
          <w:sz w:val="24"/>
          <w:szCs w:val="24"/>
        </w:rPr>
        <w:t xml:space="preserve"> </w:t>
      </w:r>
      <w:r w:rsidR="005E0B86" w:rsidRPr="009B5734">
        <w:rPr>
          <w:rFonts w:ascii="Times New Roman" w:hAnsi="Times New Roman" w:cs="Times New Roman"/>
          <w:noProof/>
          <w:sz w:val="24"/>
          <w:szCs w:val="24"/>
        </w:rPr>
        <w:t xml:space="preserve">Based on interviews with </w:t>
      </w:r>
      <w:r w:rsidR="00A17F2C">
        <w:rPr>
          <w:rFonts w:ascii="Times New Roman" w:hAnsi="Times New Roman" w:cs="Times New Roman"/>
          <w:noProof/>
          <w:sz w:val="24"/>
          <w:szCs w:val="24"/>
        </w:rPr>
        <w:t>national enforcement</w:t>
      </w:r>
      <w:r w:rsidR="005E0B86" w:rsidRPr="009B5734">
        <w:rPr>
          <w:rFonts w:ascii="Times New Roman" w:hAnsi="Times New Roman" w:cs="Times New Roman"/>
          <w:noProof/>
          <w:sz w:val="24"/>
          <w:szCs w:val="24"/>
        </w:rPr>
        <w:t xml:space="preserve"> authorities, it is assumed that the measure would require some additional resources on top of the existi</w:t>
      </w:r>
      <w:r w:rsidR="005E0B86">
        <w:rPr>
          <w:rFonts w:ascii="Times New Roman" w:hAnsi="Times New Roman" w:cs="Times New Roman"/>
          <w:noProof/>
          <w:sz w:val="24"/>
          <w:szCs w:val="24"/>
        </w:rPr>
        <w:t xml:space="preserve">ng ones to enforce </w:t>
      </w:r>
      <w:r w:rsidR="00A17F2C">
        <w:rPr>
          <w:rFonts w:ascii="Times New Roman" w:hAnsi="Times New Roman" w:cs="Times New Roman"/>
          <w:noProof/>
          <w:sz w:val="24"/>
          <w:szCs w:val="24"/>
        </w:rPr>
        <w:t xml:space="preserve">the </w:t>
      </w:r>
      <w:r w:rsidR="005E0B86">
        <w:rPr>
          <w:rFonts w:ascii="Times New Roman" w:hAnsi="Times New Roman" w:cs="Times New Roman"/>
          <w:noProof/>
          <w:sz w:val="24"/>
          <w:szCs w:val="24"/>
        </w:rPr>
        <w:t>C</w:t>
      </w:r>
      <w:r w:rsidR="00A17F2C">
        <w:rPr>
          <w:rFonts w:ascii="Times New Roman" w:hAnsi="Times New Roman" w:cs="Times New Roman"/>
          <w:noProof/>
          <w:sz w:val="24"/>
          <w:szCs w:val="24"/>
        </w:rPr>
        <w:t xml:space="preserve">onsumer </w:t>
      </w:r>
      <w:r w:rsidR="005E0B86">
        <w:rPr>
          <w:rFonts w:ascii="Times New Roman" w:hAnsi="Times New Roman" w:cs="Times New Roman"/>
          <w:noProof/>
          <w:sz w:val="24"/>
          <w:szCs w:val="24"/>
        </w:rPr>
        <w:t>R</w:t>
      </w:r>
      <w:r w:rsidR="00A17F2C">
        <w:rPr>
          <w:rFonts w:ascii="Times New Roman" w:hAnsi="Times New Roman" w:cs="Times New Roman"/>
          <w:noProof/>
          <w:sz w:val="24"/>
          <w:szCs w:val="24"/>
        </w:rPr>
        <w:t xml:space="preserve">ights </w:t>
      </w:r>
      <w:r w:rsidR="005E0B86">
        <w:rPr>
          <w:rFonts w:ascii="Times New Roman" w:hAnsi="Times New Roman" w:cs="Times New Roman"/>
          <w:noProof/>
          <w:sz w:val="24"/>
          <w:szCs w:val="24"/>
        </w:rPr>
        <w:t>D</w:t>
      </w:r>
      <w:r w:rsidR="00A17F2C">
        <w:rPr>
          <w:rFonts w:ascii="Times New Roman" w:hAnsi="Times New Roman" w:cs="Times New Roman"/>
          <w:noProof/>
          <w:sz w:val="24"/>
          <w:szCs w:val="24"/>
        </w:rPr>
        <w:t>irective</w:t>
      </w:r>
      <w:r w:rsidR="005E0B86">
        <w:rPr>
          <w:rFonts w:ascii="Times New Roman" w:hAnsi="Times New Roman" w:cs="Times New Roman"/>
          <w:noProof/>
          <w:sz w:val="24"/>
          <w:szCs w:val="24"/>
        </w:rPr>
        <w:t xml:space="preserve"> and S</w:t>
      </w:r>
      <w:r w:rsidR="00A17F2C">
        <w:rPr>
          <w:rFonts w:ascii="Times New Roman" w:hAnsi="Times New Roman" w:cs="Times New Roman"/>
          <w:noProof/>
          <w:sz w:val="24"/>
          <w:szCs w:val="24"/>
        </w:rPr>
        <w:t xml:space="preserve">ale of </w:t>
      </w:r>
      <w:r w:rsidR="005E0B86">
        <w:rPr>
          <w:rFonts w:ascii="Times New Roman" w:hAnsi="Times New Roman" w:cs="Times New Roman"/>
          <w:noProof/>
          <w:sz w:val="24"/>
          <w:szCs w:val="24"/>
        </w:rPr>
        <w:t>G</w:t>
      </w:r>
      <w:r w:rsidR="00A17F2C">
        <w:rPr>
          <w:rFonts w:ascii="Times New Roman" w:hAnsi="Times New Roman" w:cs="Times New Roman"/>
          <w:noProof/>
          <w:sz w:val="24"/>
          <w:szCs w:val="24"/>
        </w:rPr>
        <w:t xml:space="preserve">oods </w:t>
      </w:r>
      <w:r w:rsidR="005E0B86">
        <w:rPr>
          <w:rFonts w:ascii="Times New Roman" w:hAnsi="Times New Roman" w:cs="Times New Roman"/>
          <w:noProof/>
          <w:sz w:val="24"/>
          <w:szCs w:val="24"/>
        </w:rPr>
        <w:t>D</w:t>
      </w:r>
      <w:r w:rsidR="00A17F2C">
        <w:rPr>
          <w:rFonts w:ascii="Times New Roman" w:hAnsi="Times New Roman" w:cs="Times New Roman"/>
          <w:noProof/>
          <w:sz w:val="24"/>
          <w:szCs w:val="24"/>
        </w:rPr>
        <w:t>irective</w:t>
      </w:r>
      <w:r w:rsidR="005E0B86">
        <w:rPr>
          <w:rFonts w:ascii="Times New Roman" w:hAnsi="Times New Roman" w:cs="Times New Roman"/>
          <w:noProof/>
          <w:sz w:val="24"/>
          <w:szCs w:val="24"/>
        </w:rPr>
        <w:t xml:space="preserve">. </w:t>
      </w:r>
      <w:r w:rsidR="00A17F2C">
        <w:rPr>
          <w:rFonts w:ascii="Times New Roman" w:hAnsi="Times New Roman" w:cs="Times New Roman"/>
          <w:noProof/>
          <w:sz w:val="24"/>
          <w:szCs w:val="24"/>
        </w:rPr>
        <w:t>It is</w:t>
      </w:r>
      <w:r w:rsidR="005E0B86" w:rsidRPr="009B5734">
        <w:rPr>
          <w:rFonts w:ascii="Times New Roman" w:hAnsi="Times New Roman" w:cs="Times New Roman"/>
          <w:noProof/>
          <w:sz w:val="24"/>
          <w:szCs w:val="24"/>
        </w:rPr>
        <w:t xml:space="preserve"> therefore assume</w:t>
      </w:r>
      <w:r w:rsidR="00A17F2C">
        <w:rPr>
          <w:rFonts w:ascii="Times New Roman" w:hAnsi="Times New Roman" w:cs="Times New Roman"/>
          <w:noProof/>
          <w:sz w:val="24"/>
          <w:szCs w:val="24"/>
        </w:rPr>
        <w:t>d</w:t>
      </w:r>
      <w:r w:rsidR="005E0B86" w:rsidRPr="009B5734">
        <w:rPr>
          <w:rFonts w:ascii="Times New Roman" w:hAnsi="Times New Roman" w:cs="Times New Roman"/>
          <w:noProof/>
          <w:sz w:val="24"/>
          <w:szCs w:val="24"/>
        </w:rPr>
        <w:t xml:space="preserve"> that the measure will require two additional Full Time Equivalents (per Member State), with their time divided equally between monitoring, inspectin</w:t>
      </w:r>
      <w:r w:rsidR="005E0B86">
        <w:rPr>
          <w:rFonts w:ascii="Times New Roman" w:hAnsi="Times New Roman" w:cs="Times New Roman"/>
          <w:noProof/>
          <w:sz w:val="24"/>
          <w:szCs w:val="24"/>
        </w:rPr>
        <w:t>g, and handling complaints.</w:t>
      </w:r>
      <w:r w:rsidR="005E0B86" w:rsidRPr="009B5734">
        <w:rPr>
          <w:rFonts w:ascii="Times New Roman" w:hAnsi="Times New Roman" w:cs="Times New Roman"/>
          <w:noProof/>
          <w:sz w:val="24"/>
          <w:szCs w:val="24"/>
        </w:rPr>
        <w:t xml:space="preserve"> 70h </w:t>
      </w:r>
      <w:r w:rsidR="00A17F2C">
        <w:rPr>
          <w:rFonts w:ascii="Times New Roman" w:hAnsi="Times New Roman" w:cs="Times New Roman"/>
          <w:noProof/>
          <w:sz w:val="24"/>
          <w:szCs w:val="24"/>
        </w:rPr>
        <w:t xml:space="preserve">are assumed </w:t>
      </w:r>
      <w:r w:rsidR="005E0B86" w:rsidRPr="009B5734">
        <w:rPr>
          <w:rFonts w:ascii="Times New Roman" w:hAnsi="Times New Roman" w:cs="Times New Roman"/>
          <w:noProof/>
          <w:sz w:val="24"/>
          <w:szCs w:val="24"/>
        </w:rPr>
        <w:t xml:space="preserve">for familiarization with the measure and </w:t>
      </w:r>
      <w:r w:rsidR="00A17F2C">
        <w:rPr>
          <w:rFonts w:ascii="Times New Roman" w:hAnsi="Times New Roman" w:cs="Times New Roman"/>
          <w:noProof/>
          <w:sz w:val="24"/>
          <w:szCs w:val="24"/>
        </w:rPr>
        <w:t>adjustment of</w:t>
      </w:r>
      <w:r w:rsidR="005E0B86" w:rsidRPr="009B5734">
        <w:rPr>
          <w:rFonts w:ascii="Times New Roman" w:hAnsi="Times New Roman" w:cs="Times New Roman"/>
          <w:noProof/>
          <w:sz w:val="24"/>
          <w:szCs w:val="24"/>
        </w:rPr>
        <w:t xml:space="preserve"> internal procedures to start enforcing the measure. 16 employ</w:t>
      </w:r>
      <w:r w:rsidR="005E0B86">
        <w:rPr>
          <w:rFonts w:ascii="Times New Roman" w:hAnsi="Times New Roman" w:cs="Times New Roman"/>
          <w:noProof/>
          <w:sz w:val="24"/>
          <w:szCs w:val="24"/>
        </w:rPr>
        <w:t>ee</w:t>
      </w:r>
      <w:r w:rsidR="00A17F2C">
        <w:rPr>
          <w:rFonts w:ascii="Times New Roman" w:hAnsi="Times New Roman" w:cs="Times New Roman"/>
          <w:noProof/>
          <w:sz w:val="24"/>
          <w:szCs w:val="24"/>
        </w:rPr>
        <w:t>s would</w:t>
      </w:r>
      <w:r w:rsidR="005E0B86">
        <w:rPr>
          <w:rFonts w:ascii="Times New Roman" w:hAnsi="Times New Roman" w:cs="Times New Roman"/>
          <w:noProof/>
          <w:sz w:val="24"/>
          <w:szCs w:val="24"/>
        </w:rPr>
        <w:t xml:space="preserve"> receive a 7h training. </w:t>
      </w:r>
      <w:r w:rsidR="005E0B86" w:rsidRPr="009B5734">
        <w:rPr>
          <w:rFonts w:ascii="Times New Roman" w:hAnsi="Times New Roman" w:cs="Times New Roman"/>
          <w:noProof/>
          <w:sz w:val="24"/>
          <w:szCs w:val="24"/>
        </w:rPr>
        <w:t>It is also assumed that there might be a yearly action per Member State, which will cost EUR 20,</w:t>
      </w:r>
      <w:r w:rsidR="005E0B86">
        <w:rPr>
          <w:rFonts w:ascii="Times New Roman" w:hAnsi="Times New Roman" w:cs="Times New Roman"/>
          <w:noProof/>
          <w:sz w:val="24"/>
          <w:szCs w:val="24"/>
        </w:rPr>
        <w:t xml:space="preserve">000 (based on market research). </w:t>
      </w:r>
      <w:r w:rsidR="00F754B6" w:rsidRPr="009B5734">
        <w:rPr>
          <w:rFonts w:ascii="Times New Roman" w:hAnsi="Times New Roman" w:cs="Times New Roman"/>
          <w:b/>
          <w:noProof/>
          <w:sz w:val="24"/>
          <w:szCs w:val="24"/>
        </w:rPr>
        <w:t>Option 1.3.E</w:t>
      </w:r>
      <w:r w:rsidR="00F754B6" w:rsidRPr="009B5734">
        <w:rPr>
          <w:rFonts w:ascii="Times New Roman" w:hAnsi="Times New Roman" w:cs="Times New Roman"/>
          <w:noProof/>
          <w:sz w:val="24"/>
          <w:szCs w:val="24"/>
        </w:rPr>
        <w:t xml:space="preserve"> is expected to entail minimal enforcement costs, estimated at </w:t>
      </w:r>
      <w:r w:rsidR="00F754B6" w:rsidRPr="009B5734">
        <w:rPr>
          <w:rFonts w:ascii="Times New Roman" w:hAnsi="Times New Roman" w:cs="Times New Roman"/>
          <w:b/>
          <w:noProof/>
          <w:sz w:val="24"/>
          <w:szCs w:val="24"/>
        </w:rPr>
        <w:t>EUR 0.1</w:t>
      </w:r>
      <w:r w:rsidR="003D46E0" w:rsidRPr="009B5734">
        <w:rPr>
          <w:rFonts w:ascii="Times New Roman" w:hAnsi="Times New Roman" w:cs="Times New Roman"/>
          <w:b/>
          <w:noProof/>
          <w:sz w:val="24"/>
          <w:szCs w:val="24"/>
        </w:rPr>
        <w:t>2</w:t>
      </w:r>
      <w:r w:rsidR="00F754B6" w:rsidRPr="009B5734">
        <w:rPr>
          <w:rFonts w:ascii="Times New Roman" w:hAnsi="Times New Roman" w:cs="Times New Roman"/>
          <w:b/>
          <w:noProof/>
          <w:sz w:val="24"/>
          <w:szCs w:val="24"/>
        </w:rPr>
        <w:t xml:space="preserve"> million in the period 2025-2040</w:t>
      </w:r>
      <w:r w:rsidR="00215846">
        <w:rPr>
          <w:rFonts w:ascii="Times New Roman" w:hAnsi="Times New Roman" w:cs="Times New Roman"/>
          <w:b/>
          <w:noProof/>
          <w:sz w:val="24"/>
          <w:szCs w:val="24"/>
        </w:rPr>
        <w:t xml:space="preserve"> (</w:t>
      </w:r>
      <w:r w:rsidR="00215846" w:rsidRPr="00215846">
        <w:rPr>
          <w:rFonts w:ascii="Times New Roman" w:hAnsi="Times New Roman" w:cs="Times New Roman"/>
          <w:noProof/>
          <w:sz w:val="24"/>
          <w:szCs w:val="24"/>
        </w:rPr>
        <w:t>or</w:t>
      </w:r>
      <w:r w:rsidR="00215846">
        <w:rPr>
          <w:rFonts w:ascii="Times New Roman" w:hAnsi="Times New Roman" w:cs="Times New Roman"/>
          <w:b/>
          <w:noProof/>
          <w:sz w:val="24"/>
          <w:szCs w:val="24"/>
        </w:rPr>
        <w:t xml:space="preserve"> EUR 0.008 million per year)</w:t>
      </w:r>
      <w:r w:rsidR="00F754B6" w:rsidRPr="009B5734">
        <w:rPr>
          <w:rFonts w:ascii="Times New Roman" w:hAnsi="Times New Roman" w:cs="Times New Roman"/>
          <w:noProof/>
          <w:sz w:val="24"/>
          <w:szCs w:val="24"/>
        </w:rPr>
        <w:t xml:space="preserve">, generated by the time needed to check whether the seller has provided such information at the point of sale when made available by the manufacturer. </w:t>
      </w:r>
      <w:r w:rsidR="005E0B86" w:rsidRPr="005E0B86">
        <w:rPr>
          <w:rFonts w:ascii="Times New Roman" w:hAnsi="Times New Roman" w:cs="Times New Roman"/>
          <w:noProof/>
          <w:sz w:val="24"/>
          <w:szCs w:val="24"/>
        </w:rPr>
        <w:t xml:space="preserve"> </w:t>
      </w:r>
      <w:r w:rsidR="005E0B86" w:rsidRPr="009B5734">
        <w:rPr>
          <w:rFonts w:ascii="Times New Roman" w:hAnsi="Times New Roman" w:cs="Times New Roman"/>
          <w:noProof/>
          <w:sz w:val="24"/>
          <w:szCs w:val="24"/>
        </w:rPr>
        <w:t>It is assumed that this option would not require additional resources from enforcement authorities other than the ones related to the one-off costs of familiari</w:t>
      </w:r>
      <w:r w:rsidR="00F91447">
        <w:rPr>
          <w:rFonts w:ascii="Times New Roman" w:hAnsi="Times New Roman" w:cs="Times New Roman"/>
          <w:noProof/>
          <w:sz w:val="24"/>
          <w:szCs w:val="24"/>
        </w:rPr>
        <w:t>s</w:t>
      </w:r>
      <w:r w:rsidR="005E0B86" w:rsidRPr="009B5734">
        <w:rPr>
          <w:rFonts w:ascii="Times New Roman" w:hAnsi="Times New Roman" w:cs="Times New Roman"/>
          <w:noProof/>
          <w:sz w:val="24"/>
          <w:szCs w:val="24"/>
        </w:rPr>
        <w:t xml:space="preserve">ation and training. </w:t>
      </w:r>
      <w:r w:rsidR="005E0B86">
        <w:rPr>
          <w:rFonts w:ascii="Times New Roman" w:hAnsi="Times New Roman" w:cs="Times New Roman"/>
          <w:noProof/>
          <w:sz w:val="24"/>
          <w:szCs w:val="24"/>
        </w:rPr>
        <w:t xml:space="preserve">70h </w:t>
      </w:r>
      <w:r w:rsidR="004632DE">
        <w:rPr>
          <w:rFonts w:ascii="Times New Roman" w:hAnsi="Times New Roman" w:cs="Times New Roman"/>
          <w:noProof/>
          <w:sz w:val="24"/>
          <w:szCs w:val="24"/>
        </w:rPr>
        <w:t xml:space="preserve">are assumed </w:t>
      </w:r>
      <w:r w:rsidR="005E0B86">
        <w:rPr>
          <w:rFonts w:ascii="Times New Roman" w:hAnsi="Times New Roman" w:cs="Times New Roman"/>
          <w:noProof/>
          <w:sz w:val="24"/>
          <w:szCs w:val="24"/>
        </w:rPr>
        <w:t>for familiaris</w:t>
      </w:r>
      <w:r w:rsidR="005E0B86" w:rsidRPr="009B5734">
        <w:rPr>
          <w:rFonts w:ascii="Times New Roman" w:hAnsi="Times New Roman" w:cs="Times New Roman"/>
          <w:noProof/>
          <w:sz w:val="24"/>
          <w:szCs w:val="24"/>
        </w:rPr>
        <w:t>ation with the option and adjusting the internal procedures to start enforcin</w:t>
      </w:r>
      <w:r w:rsidR="004632DE">
        <w:rPr>
          <w:rFonts w:ascii="Times New Roman" w:hAnsi="Times New Roman" w:cs="Times New Roman"/>
          <w:noProof/>
          <w:sz w:val="24"/>
          <w:szCs w:val="24"/>
        </w:rPr>
        <w:t>g the measure. 16 employees would</w:t>
      </w:r>
      <w:r w:rsidR="005E0B86" w:rsidRPr="009B5734">
        <w:rPr>
          <w:rFonts w:ascii="Times New Roman" w:hAnsi="Times New Roman" w:cs="Times New Roman"/>
          <w:noProof/>
          <w:sz w:val="24"/>
          <w:szCs w:val="24"/>
        </w:rPr>
        <w:t xml:space="preserve"> receive a 7h training.</w:t>
      </w:r>
    </w:p>
    <w:p w:rsidR="00F754B6" w:rsidRPr="009B5734" w:rsidRDefault="00F754B6" w:rsidP="00F754B6">
      <w:pPr>
        <w:ind w:left="0" w:firstLine="0"/>
        <w:rPr>
          <w:rFonts w:ascii="Times New Roman" w:hAnsi="Times New Roman" w:cs="Times New Roman"/>
          <w:noProof/>
          <w:sz w:val="24"/>
          <w:szCs w:val="24"/>
        </w:rPr>
      </w:pPr>
    </w:p>
    <w:p w:rsidR="00202946" w:rsidRPr="009B5734" w:rsidRDefault="00202946" w:rsidP="00202946">
      <w:pPr>
        <w:pStyle w:val="Text2"/>
        <w:spacing w:after="0"/>
        <w:ind w:left="0" w:firstLine="0"/>
        <w:rPr>
          <w:noProof/>
        </w:rPr>
      </w:pPr>
    </w:p>
    <w:p w:rsidR="009A563C" w:rsidRPr="009B5734" w:rsidRDefault="009A563C" w:rsidP="00202946">
      <w:pPr>
        <w:ind w:left="0" w:firstLine="0"/>
        <w:rPr>
          <w:i/>
          <w:noProof/>
        </w:rPr>
      </w:pPr>
      <w:r w:rsidRPr="009B5734">
        <w:rPr>
          <w:rFonts w:ascii="Times New Roman" w:hAnsi="Times New Roman" w:cs="Times New Roman"/>
          <w:i/>
          <w:noProof/>
          <w:sz w:val="24"/>
        </w:rPr>
        <w:t>Impacts on the environment:</w:t>
      </w:r>
    </w:p>
    <w:p w:rsidR="00F754B6" w:rsidRPr="009B5734" w:rsidRDefault="003006FC" w:rsidP="00F754B6">
      <w:pPr>
        <w:ind w:left="0" w:firstLine="0"/>
        <w:rPr>
          <w:rFonts w:ascii="Times New Roman" w:hAnsi="Times New Roman" w:cs="Times New Roman"/>
          <w:i/>
          <w:noProof/>
          <w:sz w:val="24"/>
          <w:szCs w:val="24"/>
        </w:rPr>
      </w:pPr>
      <w:r w:rsidRPr="009B5734">
        <w:rPr>
          <w:rFonts w:ascii="Times New Roman" w:hAnsi="Times New Roman" w:cs="Times New Roman"/>
          <w:noProof/>
          <w:sz w:val="24"/>
          <w:szCs w:val="24"/>
        </w:rPr>
        <w:t xml:space="preserve">Under </w:t>
      </w:r>
      <w:r w:rsidRPr="009B5734">
        <w:rPr>
          <w:rFonts w:ascii="Times New Roman" w:hAnsi="Times New Roman" w:cs="Times New Roman"/>
          <w:b/>
          <w:noProof/>
          <w:sz w:val="24"/>
          <w:szCs w:val="24"/>
        </w:rPr>
        <w:t>option 1.3.A</w:t>
      </w:r>
      <w:r w:rsidRPr="009B5734">
        <w:rPr>
          <w:rFonts w:ascii="Times New Roman" w:hAnsi="Times New Roman" w:cs="Times New Roman"/>
          <w:noProof/>
          <w:sz w:val="24"/>
          <w:szCs w:val="24"/>
        </w:rPr>
        <w:t xml:space="preserve"> s</w:t>
      </w:r>
      <w:r w:rsidR="00501A01" w:rsidRPr="009B5734">
        <w:rPr>
          <w:rFonts w:ascii="Times New Roman" w:hAnsi="Times New Roman" w:cs="Times New Roman"/>
          <w:noProof/>
          <w:sz w:val="24"/>
          <w:szCs w:val="24"/>
        </w:rPr>
        <w:t>ome consumers will be able</w:t>
      </w:r>
      <w:r w:rsidR="00921E78" w:rsidRPr="009B5734">
        <w:rPr>
          <w:rFonts w:ascii="Times New Roman" w:hAnsi="Times New Roman" w:cs="Times New Roman"/>
          <w:noProof/>
          <w:sz w:val="24"/>
          <w:szCs w:val="24"/>
        </w:rPr>
        <w:t xml:space="preserve"> to</w:t>
      </w:r>
      <w:r w:rsidR="00501A01" w:rsidRPr="009B5734">
        <w:rPr>
          <w:rFonts w:ascii="Times New Roman" w:hAnsi="Times New Roman" w:cs="Times New Roman"/>
          <w:noProof/>
          <w:sz w:val="24"/>
          <w:szCs w:val="24"/>
        </w:rPr>
        <w:t xml:space="preserve"> </w:t>
      </w:r>
      <w:r w:rsidR="00C7454C" w:rsidRPr="009B5734">
        <w:rPr>
          <w:rFonts w:ascii="Times New Roman" w:hAnsi="Times New Roman" w:cs="Times New Roman"/>
          <w:noProof/>
          <w:sz w:val="24"/>
          <w:szCs w:val="24"/>
        </w:rPr>
        <w:t>maintain their goods in a better way and/or</w:t>
      </w:r>
      <w:r w:rsidR="00501A01" w:rsidRPr="009B5734">
        <w:rPr>
          <w:rFonts w:ascii="Times New Roman" w:hAnsi="Times New Roman" w:cs="Times New Roman"/>
          <w:noProof/>
          <w:sz w:val="24"/>
          <w:szCs w:val="24"/>
        </w:rPr>
        <w:t xml:space="preserve"> to repair some goods that would have been replaced in the absence of the manuals. Consequently, the repaired products will have a longer lifespan than they would have had in the baseline. T</w:t>
      </w:r>
      <w:r w:rsidR="009A563C" w:rsidRPr="009B5734">
        <w:rPr>
          <w:rFonts w:ascii="Times New Roman" w:hAnsi="Times New Roman" w:cs="Times New Roman"/>
          <w:noProof/>
          <w:sz w:val="24"/>
          <w:szCs w:val="24"/>
        </w:rPr>
        <w:t xml:space="preserve">he option will </w:t>
      </w:r>
      <w:r w:rsidR="00D459F8" w:rsidRPr="009B5734">
        <w:rPr>
          <w:rFonts w:ascii="Times New Roman" w:hAnsi="Times New Roman" w:cs="Times New Roman"/>
          <w:noProof/>
          <w:sz w:val="24"/>
          <w:szCs w:val="24"/>
        </w:rPr>
        <w:t xml:space="preserve">therefore </w:t>
      </w:r>
      <w:r w:rsidR="00F5090E" w:rsidRPr="009B5734">
        <w:rPr>
          <w:rFonts w:ascii="Times New Roman" w:hAnsi="Times New Roman" w:cs="Times New Roman"/>
          <w:noProof/>
          <w:sz w:val="24"/>
          <w:szCs w:val="24"/>
        </w:rPr>
        <w:t xml:space="preserve">lead to a reduction of produced units and thus of </w:t>
      </w:r>
      <w:r w:rsidR="00D459F8" w:rsidRPr="009B5734">
        <w:rPr>
          <w:rFonts w:ascii="Times New Roman" w:hAnsi="Times New Roman" w:cs="Times New Roman"/>
          <w:b/>
          <w:noProof/>
          <w:sz w:val="24"/>
          <w:szCs w:val="24"/>
        </w:rPr>
        <w:t>CO2</w:t>
      </w:r>
      <w:r w:rsidR="00F5090E" w:rsidRPr="009B5734">
        <w:rPr>
          <w:rFonts w:ascii="Times New Roman" w:hAnsi="Times New Roman" w:cs="Times New Roman"/>
          <w:noProof/>
          <w:sz w:val="24"/>
          <w:szCs w:val="24"/>
        </w:rPr>
        <w:t xml:space="preserve"> </w:t>
      </w:r>
      <w:r w:rsidR="00F5090E" w:rsidRPr="009B5734">
        <w:rPr>
          <w:rFonts w:ascii="Times New Roman" w:hAnsi="Times New Roman" w:cs="Times New Roman"/>
          <w:b/>
          <w:noProof/>
          <w:sz w:val="24"/>
          <w:szCs w:val="24"/>
        </w:rPr>
        <w:t xml:space="preserve">emissions </w:t>
      </w:r>
      <w:r w:rsidR="009A563C" w:rsidRPr="009B5734">
        <w:rPr>
          <w:rFonts w:ascii="Times New Roman" w:hAnsi="Times New Roman" w:cs="Times New Roman"/>
          <w:b/>
          <w:noProof/>
          <w:sz w:val="24"/>
          <w:szCs w:val="24"/>
        </w:rPr>
        <w:t>estimated at</w:t>
      </w:r>
      <w:r w:rsidR="009A563C" w:rsidRPr="009B5734">
        <w:rPr>
          <w:rFonts w:ascii="Times New Roman" w:hAnsi="Times New Roman" w:cs="Times New Roman"/>
          <w:noProof/>
          <w:sz w:val="24"/>
          <w:szCs w:val="24"/>
        </w:rPr>
        <w:t xml:space="preserve"> </w:t>
      </w:r>
      <w:r w:rsidR="00D10C7D" w:rsidRPr="009B5734">
        <w:rPr>
          <w:rFonts w:ascii="Times New Roman" w:hAnsi="Times New Roman" w:cs="Times New Roman"/>
          <w:b/>
          <w:noProof/>
          <w:sz w:val="24"/>
          <w:szCs w:val="24"/>
        </w:rPr>
        <w:t>0.9</w:t>
      </w:r>
      <w:r w:rsidR="00A008B2" w:rsidRPr="009B5734">
        <w:rPr>
          <w:rFonts w:ascii="Times New Roman" w:hAnsi="Times New Roman" w:cs="Times New Roman"/>
          <w:b/>
          <w:noProof/>
          <w:sz w:val="24"/>
          <w:szCs w:val="24"/>
        </w:rPr>
        <w:t xml:space="preserve"> </w:t>
      </w:r>
      <w:r w:rsidR="00261259" w:rsidRPr="009B5734">
        <w:rPr>
          <w:rFonts w:ascii="Times New Roman" w:hAnsi="Times New Roman" w:cs="Times New Roman"/>
          <w:b/>
          <w:noProof/>
          <w:sz w:val="24"/>
          <w:szCs w:val="24"/>
        </w:rPr>
        <w:t xml:space="preserve">– </w:t>
      </w:r>
      <w:r w:rsidR="00D10C7D" w:rsidRPr="009B5734">
        <w:rPr>
          <w:rFonts w:ascii="Times New Roman" w:hAnsi="Times New Roman" w:cs="Times New Roman"/>
          <w:b/>
          <w:noProof/>
          <w:sz w:val="24"/>
          <w:szCs w:val="24"/>
        </w:rPr>
        <w:t>1.6</w:t>
      </w:r>
      <w:r w:rsidR="00261259" w:rsidRPr="009B5734">
        <w:rPr>
          <w:rFonts w:ascii="Times New Roman" w:hAnsi="Times New Roman" w:cs="Times New Roman"/>
          <w:b/>
          <w:noProof/>
          <w:sz w:val="24"/>
          <w:szCs w:val="24"/>
        </w:rPr>
        <w:t xml:space="preserve"> mega tons (</w:t>
      </w:r>
      <w:r w:rsidR="00D459F8" w:rsidRPr="009B5734">
        <w:rPr>
          <w:rFonts w:ascii="Times New Roman" w:hAnsi="Times New Roman" w:cs="Times New Roman"/>
          <w:b/>
          <w:noProof/>
          <w:sz w:val="24"/>
          <w:szCs w:val="24"/>
        </w:rPr>
        <w:t>valued at</w:t>
      </w:r>
      <w:r w:rsidR="00261259" w:rsidRPr="009B5734">
        <w:rPr>
          <w:rFonts w:ascii="Times New Roman" w:hAnsi="Times New Roman" w:cs="Times New Roman"/>
          <w:b/>
          <w:noProof/>
          <w:sz w:val="24"/>
          <w:szCs w:val="24"/>
        </w:rPr>
        <w:t xml:space="preserve"> EUR </w:t>
      </w:r>
      <w:r w:rsidR="00284B5B" w:rsidRPr="009B5734">
        <w:rPr>
          <w:rFonts w:ascii="Times New Roman" w:hAnsi="Times New Roman" w:cs="Times New Roman"/>
          <w:b/>
          <w:noProof/>
          <w:sz w:val="24"/>
          <w:szCs w:val="24"/>
        </w:rPr>
        <w:t>1</w:t>
      </w:r>
      <w:r w:rsidR="00A008B2" w:rsidRPr="009B5734">
        <w:rPr>
          <w:rFonts w:ascii="Times New Roman" w:hAnsi="Times New Roman" w:cs="Times New Roman"/>
          <w:b/>
          <w:noProof/>
          <w:sz w:val="24"/>
          <w:szCs w:val="24"/>
        </w:rPr>
        <w:t>9</w:t>
      </w:r>
      <w:r w:rsidR="00284B5B" w:rsidRPr="009B5734">
        <w:rPr>
          <w:rFonts w:ascii="Times New Roman" w:hAnsi="Times New Roman" w:cs="Times New Roman"/>
          <w:b/>
          <w:noProof/>
          <w:sz w:val="24"/>
          <w:szCs w:val="24"/>
        </w:rPr>
        <w:t xml:space="preserve"> </w:t>
      </w:r>
      <w:r w:rsidR="00261259" w:rsidRPr="009B5734">
        <w:rPr>
          <w:rFonts w:ascii="Times New Roman" w:hAnsi="Times New Roman" w:cs="Times New Roman"/>
          <w:b/>
          <w:noProof/>
          <w:sz w:val="24"/>
          <w:szCs w:val="24"/>
        </w:rPr>
        <w:t xml:space="preserve">- </w:t>
      </w:r>
      <w:r w:rsidR="002E5A5F" w:rsidRPr="009B5734">
        <w:rPr>
          <w:rFonts w:ascii="Times New Roman" w:hAnsi="Times New Roman" w:cs="Times New Roman"/>
          <w:b/>
          <w:noProof/>
          <w:sz w:val="24"/>
          <w:szCs w:val="24"/>
        </w:rPr>
        <w:t xml:space="preserve">33 </w:t>
      </w:r>
      <w:r w:rsidR="00261259" w:rsidRPr="009B5734">
        <w:rPr>
          <w:rFonts w:ascii="Times New Roman" w:hAnsi="Times New Roman" w:cs="Times New Roman"/>
          <w:b/>
          <w:noProof/>
          <w:sz w:val="24"/>
          <w:szCs w:val="24"/>
        </w:rPr>
        <w:t xml:space="preserve">million) </w:t>
      </w:r>
      <w:r w:rsidR="00261259" w:rsidRPr="009B5734">
        <w:rPr>
          <w:rFonts w:ascii="Times New Roman" w:hAnsi="Times New Roman" w:cs="Times New Roman"/>
          <w:noProof/>
          <w:sz w:val="24"/>
          <w:szCs w:val="24"/>
        </w:rPr>
        <w:t>during production for the period 2025-2040</w:t>
      </w:r>
      <w:r w:rsidR="00215846">
        <w:rPr>
          <w:rFonts w:ascii="Times New Roman" w:hAnsi="Times New Roman" w:cs="Times New Roman"/>
          <w:noProof/>
          <w:sz w:val="24"/>
          <w:szCs w:val="24"/>
        </w:rPr>
        <w:t xml:space="preserve"> (or </w:t>
      </w:r>
      <w:r w:rsidR="00215846" w:rsidRPr="00215846">
        <w:rPr>
          <w:rFonts w:ascii="Times New Roman" w:hAnsi="Times New Roman" w:cs="Times New Roman"/>
          <w:b/>
          <w:noProof/>
          <w:sz w:val="24"/>
          <w:szCs w:val="24"/>
        </w:rPr>
        <w:t>0.06 – 0.11 mega tons per year, valued at</w:t>
      </w:r>
      <w:r w:rsidR="00215846">
        <w:rPr>
          <w:rFonts w:ascii="Times New Roman" w:hAnsi="Times New Roman" w:cs="Times New Roman"/>
          <w:noProof/>
          <w:sz w:val="24"/>
          <w:szCs w:val="24"/>
        </w:rPr>
        <w:t xml:space="preserve"> </w:t>
      </w:r>
      <w:r w:rsidR="00215846" w:rsidRPr="00215846">
        <w:rPr>
          <w:rFonts w:ascii="Times New Roman" w:hAnsi="Times New Roman" w:cs="Times New Roman"/>
          <w:b/>
          <w:noProof/>
          <w:sz w:val="24"/>
          <w:szCs w:val="24"/>
        </w:rPr>
        <w:t>EUR 1.3 – 2.2</w:t>
      </w:r>
      <w:r w:rsidR="00215846">
        <w:rPr>
          <w:rFonts w:ascii="Times New Roman" w:hAnsi="Times New Roman" w:cs="Times New Roman"/>
          <w:noProof/>
          <w:sz w:val="24"/>
          <w:szCs w:val="24"/>
        </w:rPr>
        <w:t>)</w:t>
      </w:r>
      <w:r w:rsidR="009A563C" w:rsidRPr="009B5734">
        <w:rPr>
          <w:rFonts w:ascii="Times New Roman" w:hAnsi="Times New Roman" w:cs="Times New Roman"/>
          <w:noProof/>
          <w:sz w:val="24"/>
          <w:szCs w:val="24"/>
        </w:rPr>
        <w:t xml:space="preserve">. </w:t>
      </w:r>
      <w:r w:rsidRPr="009B5734">
        <w:rPr>
          <w:rFonts w:ascii="Times New Roman" w:hAnsi="Times New Roman" w:cs="Times New Roman"/>
          <w:noProof/>
          <w:sz w:val="24"/>
          <w:szCs w:val="24"/>
        </w:rPr>
        <w:t xml:space="preserve">Under </w:t>
      </w:r>
      <w:r w:rsidRPr="009B5734">
        <w:rPr>
          <w:rFonts w:ascii="Times New Roman" w:hAnsi="Times New Roman" w:cs="Times New Roman"/>
          <w:b/>
          <w:noProof/>
          <w:sz w:val="24"/>
          <w:szCs w:val="24"/>
        </w:rPr>
        <w:t>option 1.3.B</w:t>
      </w:r>
      <w:r w:rsidRPr="009B5734">
        <w:rPr>
          <w:rFonts w:ascii="Times New Roman" w:hAnsi="Times New Roman" w:cs="Times New Roman"/>
          <w:noProof/>
          <w:sz w:val="24"/>
          <w:szCs w:val="24"/>
        </w:rPr>
        <w:t xml:space="preserve"> some consumers will be able to repair some goods that would have been replaced in the absence of the information on spare parts. Consequently, the repaired products will have a longer lifespan than they would have had in the baseline</w:t>
      </w:r>
      <w:r w:rsidR="00520F00" w:rsidRPr="009B5734">
        <w:rPr>
          <w:rFonts w:ascii="Times New Roman" w:hAnsi="Times New Roman" w:cs="Times New Roman"/>
          <w:noProof/>
          <w:sz w:val="24"/>
          <w:szCs w:val="24"/>
        </w:rPr>
        <w:t xml:space="preserve"> and </w:t>
      </w:r>
      <w:r w:rsidRPr="009B5734">
        <w:rPr>
          <w:rFonts w:ascii="Times New Roman" w:hAnsi="Times New Roman" w:cs="Times New Roman"/>
          <w:noProof/>
          <w:sz w:val="24"/>
          <w:szCs w:val="24"/>
        </w:rPr>
        <w:t xml:space="preserve">will </w:t>
      </w:r>
      <w:r w:rsidR="00D459F8" w:rsidRPr="009B5734">
        <w:rPr>
          <w:rFonts w:ascii="Times New Roman" w:hAnsi="Times New Roman" w:cs="Times New Roman"/>
          <w:noProof/>
          <w:sz w:val="24"/>
          <w:szCs w:val="24"/>
        </w:rPr>
        <w:t xml:space="preserve">therefore </w:t>
      </w:r>
      <w:r w:rsidRPr="009B5734">
        <w:rPr>
          <w:rFonts w:ascii="Times New Roman" w:hAnsi="Times New Roman" w:cs="Times New Roman"/>
          <w:noProof/>
          <w:sz w:val="24"/>
          <w:szCs w:val="24"/>
        </w:rPr>
        <w:t xml:space="preserve">lead to a reduction </w:t>
      </w:r>
      <w:r w:rsidRPr="009B5734" w:rsidDel="00520F00">
        <w:rPr>
          <w:rFonts w:ascii="Times New Roman" w:hAnsi="Times New Roman" w:cs="Times New Roman"/>
          <w:noProof/>
          <w:sz w:val="24"/>
          <w:szCs w:val="24"/>
        </w:rPr>
        <w:t xml:space="preserve">of </w:t>
      </w:r>
      <w:r w:rsidRPr="009B5734">
        <w:rPr>
          <w:rFonts w:ascii="Times New Roman" w:hAnsi="Times New Roman" w:cs="Times New Roman"/>
          <w:b/>
          <w:noProof/>
          <w:sz w:val="24"/>
          <w:szCs w:val="24"/>
        </w:rPr>
        <w:t>CO2 emissions</w:t>
      </w:r>
      <w:r w:rsidRPr="009B5734" w:rsidDel="00F5090E">
        <w:rPr>
          <w:rFonts w:ascii="Times New Roman" w:hAnsi="Times New Roman" w:cs="Times New Roman"/>
          <w:b/>
          <w:noProof/>
          <w:sz w:val="24"/>
          <w:szCs w:val="24"/>
        </w:rPr>
        <w:t xml:space="preserve"> </w:t>
      </w:r>
      <w:r w:rsidRPr="009B5734">
        <w:rPr>
          <w:rFonts w:ascii="Times New Roman" w:hAnsi="Times New Roman" w:cs="Times New Roman"/>
          <w:b/>
          <w:noProof/>
          <w:sz w:val="24"/>
          <w:szCs w:val="24"/>
        </w:rPr>
        <w:t xml:space="preserve">estimated at </w:t>
      </w:r>
      <w:r w:rsidR="00D10C7D" w:rsidRPr="009B5734">
        <w:rPr>
          <w:rFonts w:ascii="Times New Roman" w:hAnsi="Times New Roman" w:cs="Times New Roman"/>
          <w:b/>
          <w:noProof/>
          <w:sz w:val="24"/>
          <w:szCs w:val="24"/>
        </w:rPr>
        <w:t>1.9</w:t>
      </w:r>
      <w:r w:rsidRPr="009B5734">
        <w:rPr>
          <w:rFonts w:ascii="Times New Roman" w:hAnsi="Times New Roman" w:cs="Times New Roman"/>
          <w:b/>
          <w:noProof/>
          <w:sz w:val="24"/>
          <w:szCs w:val="24"/>
        </w:rPr>
        <w:t xml:space="preserve"> – </w:t>
      </w:r>
      <w:r w:rsidR="00D10C7D" w:rsidRPr="009B5734">
        <w:rPr>
          <w:rFonts w:ascii="Times New Roman" w:hAnsi="Times New Roman" w:cs="Times New Roman"/>
          <w:b/>
          <w:noProof/>
          <w:sz w:val="24"/>
          <w:szCs w:val="24"/>
        </w:rPr>
        <w:t>3.3</w:t>
      </w:r>
      <w:r w:rsidRPr="009B5734">
        <w:rPr>
          <w:rFonts w:ascii="Times New Roman" w:hAnsi="Times New Roman" w:cs="Times New Roman"/>
          <w:b/>
          <w:noProof/>
          <w:sz w:val="24"/>
          <w:szCs w:val="24"/>
        </w:rPr>
        <w:t xml:space="preserve"> mega tons (</w:t>
      </w:r>
      <w:r w:rsidR="00D459F8" w:rsidRPr="009B5734">
        <w:rPr>
          <w:rFonts w:ascii="Times New Roman" w:hAnsi="Times New Roman" w:cs="Times New Roman"/>
          <w:b/>
          <w:noProof/>
          <w:sz w:val="24"/>
          <w:szCs w:val="24"/>
        </w:rPr>
        <w:t xml:space="preserve">valued at </w:t>
      </w:r>
      <w:r w:rsidRPr="009B5734">
        <w:rPr>
          <w:rFonts w:ascii="Times New Roman" w:hAnsi="Times New Roman" w:cs="Times New Roman"/>
          <w:b/>
          <w:noProof/>
          <w:sz w:val="24"/>
          <w:szCs w:val="24"/>
        </w:rPr>
        <w:t xml:space="preserve">EUR </w:t>
      </w:r>
      <w:r w:rsidR="00A008B2" w:rsidRPr="009B5734">
        <w:rPr>
          <w:rFonts w:ascii="Times New Roman" w:hAnsi="Times New Roman" w:cs="Times New Roman"/>
          <w:b/>
          <w:noProof/>
          <w:sz w:val="24"/>
          <w:szCs w:val="24"/>
        </w:rPr>
        <w:t>39</w:t>
      </w:r>
      <w:r w:rsidRPr="009B5734">
        <w:rPr>
          <w:rFonts w:ascii="Times New Roman" w:hAnsi="Times New Roman" w:cs="Times New Roman"/>
          <w:b/>
          <w:noProof/>
          <w:sz w:val="24"/>
          <w:szCs w:val="24"/>
        </w:rPr>
        <w:t>-</w:t>
      </w:r>
      <w:r w:rsidR="00A008B2" w:rsidRPr="009B5734">
        <w:rPr>
          <w:rFonts w:ascii="Times New Roman" w:hAnsi="Times New Roman" w:cs="Times New Roman"/>
          <w:b/>
          <w:noProof/>
          <w:sz w:val="24"/>
          <w:szCs w:val="24"/>
        </w:rPr>
        <w:t>68</w:t>
      </w:r>
      <w:r w:rsidRPr="009B5734">
        <w:rPr>
          <w:rFonts w:ascii="Times New Roman" w:hAnsi="Times New Roman" w:cs="Times New Roman"/>
          <w:b/>
          <w:noProof/>
          <w:sz w:val="24"/>
          <w:szCs w:val="24"/>
        </w:rPr>
        <w:t xml:space="preserve"> million) </w:t>
      </w:r>
      <w:r w:rsidRPr="009B5734">
        <w:rPr>
          <w:rFonts w:ascii="Times New Roman" w:hAnsi="Times New Roman" w:cs="Times New Roman"/>
          <w:noProof/>
          <w:sz w:val="24"/>
          <w:szCs w:val="24"/>
        </w:rPr>
        <w:t>for the period 2025-2040</w:t>
      </w:r>
      <w:r w:rsidR="00215846">
        <w:rPr>
          <w:rFonts w:ascii="Times New Roman" w:hAnsi="Times New Roman" w:cs="Times New Roman"/>
          <w:noProof/>
          <w:sz w:val="24"/>
          <w:szCs w:val="24"/>
        </w:rPr>
        <w:t xml:space="preserve"> (or </w:t>
      </w:r>
      <w:r w:rsidR="00215846" w:rsidRPr="00F77C3D">
        <w:rPr>
          <w:rFonts w:ascii="Times New Roman" w:hAnsi="Times New Roman" w:cs="Times New Roman"/>
          <w:b/>
          <w:noProof/>
          <w:sz w:val="24"/>
          <w:szCs w:val="24"/>
        </w:rPr>
        <w:t xml:space="preserve">0.13 </w:t>
      </w:r>
      <w:r w:rsidR="00F77C3D" w:rsidRPr="00F77C3D">
        <w:rPr>
          <w:rFonts w:ascii="Times New Roman" w:hAnsi="Times New Roman" w:cs="Times New Roman"/>
          <w:b/>
          <w:noProof/>
          <w:sz w:val="24"/>
          <w:szCs w:val="24"/>
        </w:rPr>
        <w:t>–</w:t>
      </w:r>
      <w:r w:rsidR="00215846" w:rsidRPr="00F77C3D">
        <w:rPr>
          <w:rFonts w:ascii="Times New Roman" w:hAnsi="Times New Roman" w:cs="Times New Roman"/>
          <w:b/>
          <w:noProof/>
          <w:sz w:val="24"/>
          <w:szCs w:val="24"/>
        </w:rPr>
        <w:t xml:space="preserve"> </w:t>
      </w:r>
      <w:r w:rsidR="00F77C3D" w:rsidRPr="00F77C3D">
        <w:rPr>
          <w:rFonts w:ascii="Times New Roman" w:hAnsi="Times New Roman" w:cs="Times New Roman"/>
          <w:b/>
          <w:noProof/>
          <w:sz w:val="24"/>
          <w:szCs w:val="24"/>
        </w:rPr>
        <w:t xml:space="preserve">0.22 </w:t>
      </w:r>
      <w:r w:rsidR="00F77C3D">
        <w:rPr>
          <w:rFonts w:ascii="Times New Roman" w:hAnsi="Times New Roman" w:cs="Times New Roman"/>
          <w:b/>
          <w:noProof/>
          <w:sz w:val="24"/>
          <w:szCs w:val="24"/>
        </w:rPr>
        <w:t>mega tons per year, valued</w:t>
      </w:r>
      <w:r w:rsidR="00F77C3D" w:rsidRPr="00F77C3D">
        <w:rPr>
          <w:rFonts w:ascii="Times New Roman" w:hAnsi="Times New Roman" w:cs="Times New Roman"/>
          <w:b/>
          <w:noProof/>
          <w:sz w:val="24"/>
          <w:szCs w:val="24"/>
        </w:rPr>
        <w:t xml:space="preserve"> at</w:t>
      </w:r>
      <w:r w:rsidR="00F77C3D">
        <w:rPr>
          <w:rFonts w:ascii="Times New Roman" w:hAnsi="Times New Roman" w:cs="Times New Roman"/>
          <w:noProof/>
          <w:sz w:val="24"/>
          <w:szCs w:val="24"/>
        </w:rPr>
        <w:t xml:space="preserve"> </w:t>
      </w:r>
      <w:r w:rsidR="00215846" w:rsidRPr="00215846">
        <w:rPr>
          <w:rFonts w:ascii="Times New Roman" w:hAnsi="Times New Roman" w:cs="Times New Roman"/>
          <w:b/>
          <w:noProof/>
          <w:sz w:val="24"/>
          <w:szCs w:val="24"/>
        </w:rPr>
        <w:t>EUR 2.6 – 4.5 mill</w:t>
      </w:r>
      <w:r w:rsidR="00F77C3D">
        <w:rPr>
          <w:rFonts w:ascii="Times New Roman" w:hAnsi="Times New Roman" w:cs="Times New Roman"/>
          <w:b/>
          <w:noProof/>
          <w:sz w:val="24"/>
          <w:szCs w:val="24"/>
        </w:rPr>
        <w:t>ion</w:t>
      </w:r>
      <w:r w:rsidR="00215846">
        <w:rPr>
          <w:rFonts w:ascii="Times New Roman" w:hAnsi="Times New Roman" w:cs="Times New Roman"/>
          <w:noProof/>
          <w:sz w:val="24"/>
          <w:szCs w:val="24"/>
        </w:rPr>
        <w:t>)</w:t>
      </w:r>
      <w:r w:rsidRPr="009B5734">
        <w:rPr>
          <w:rFonts w:ascii="Times New Roman" w:hAnsi="Times New Roman" w:cs="Times New Roman"/>
          <w:noProof/>
          <w:sz w:val="24"/>
          <w:szCs w:val="24"/>
        </w:rPr>
        <w:t xml:space="preserve">. </w:t>
      </w:r>
      <w:r w:rsidR="007C04DD" w:rsidRPr="009B5734">
        <w:rPr>
          <w:rFonts w:ascii="Times New Roman" w:hAnsi="Times New Roman" w:cs="Times New Roman"/>
          <w:noProof/>
          <w:sz w:val="24"/>
          <w:szCs w:val="24"/>
        </w:rPr>
        <w:t xml:space="preserve">Under </w:t>
      </w:r>
      <w:r w:rsidR="007C04DD" w:rsidRPr="009B5734">
        <w:rPr>
          <w:rFonts w:ascii="Times New Roman" w:hAnsi="Times New Roman" w:cs="Times New Roman"/>
          <w:b/>
          <w:noProof/>
          <w:sz w:val="24"/>
          <w:szCs w:val="24"/>
        </w:rPr>
        <w:t>option 1.3.C</w:t>
      </w:r>
      <w:r w:rsidR="007C04DD" w:rsidRPr="009B5734">
        <w:rPr>
          <w:rFonts w:ascii="Times New Roman" w:hAnsi="Times New Roman" w:cs="Times New Roman"/>
          <w:noProof/>
          <w:sz w:val="24"/>
          <w:szCs w:val="24"/>
        </w:rPr>
        <w:t>, some consumers will be able to repair some goods that would have been replaced in the absence of information about repair services available</w:t>
      </w:r>
      <w:r w:rsidR="00520F00" w:rsidRPr="009B5734">
        <w:rPr>
          <w:rFonts w:ascii="Times New Roman" w:hAnsi="Times New Roman" w:cs="Times New Roman"/>
          <w:noProof/>
          <w:sz w:val="24"/>
          <w:szCs w:val="24"/>
        </w:rPr>
        <w:t xml:space="preserve"> </w:t>
      </w:r>
      <w:r w:rsidR="00D459F8" w:rsidRPr="009B5734">
        <w:rPr>
          <w:rFonts w:ascii="Times New Roman" w:hAnsi="Times New Roman" w:cs="Times New Roman"/>
          <w:noProof/>
          <w:sz w:val="24"/>
          <w:szCs w:val="24"/>
        </w:rPr>
        <w:t>which</w:t>
      </w:r>
      <w:r w:rsidR="007C04DD" w:rsidRPr="009B5734">
        <w:rPr>
          <w:rFonts w:ascii="Times New Roman" w:hAnsi="Times New Roman" w:cs="Times New Roman"/>
          <w:noProof/>
          <w:sz w:val="24"/>
          <w:szCs w:val="24"/>
        </w:rPr>
        <w:t xml:space="preserve"> will lead to a reduction of </w:t>
      </w:r>
      <w:r w:rsidR="00D459F8" w:rsidRPr="009B5734">
        <w:rPr>
          <w:rFonts w:ascii="Times New Roman" w:hAnsi="Times New Roman" w:cs="Times New Roman"/>
          <w:b/>
          <w:noProof/>
          <w:sz w:val="24"/>
          <w:szCs w:val="24"/>
        </w:rPr>
        <w:t>CO2</w:t>
      </w:r>
      <w:r w:rsidR="007C04DD" w:rsidRPr="009B5734">
        <w:rPr>
          <w:rFonts w:ascii="Times New Roman" w:hAnsi="Times New Roman" w:cs="Times New Roman"/>
          <w:b/>
          <w:noProof/>
          <w:sz w:val="24"/>
          <w:szCs w:val="24"/>
        </w:rPr>
        <w:t xml:space="preserve"> emissions</w:t>
      </w:r>
      <w:r w:rsidR="007C04DD" w:rsidRPr="009B5734" w:rsidDel="00EE0622">
        <w:rPr>
          <w:rFonts w:ascii="Times New Roman" w:hAnsi="Times New Roman" w:cs="Times New Roman"/>
          <w:b/>
          <w:noProof/>
          <w:sz w:val="24"/>
          <w:szCs w:val="24"/>
        </w:rPr>
        <w:t xml:space="preserve"> </w:t>
      </w:r>
      <w:r w:rsidR="007C04DD" w:rsidRPr="009B5734">
        <w:rPr>
          <w:rFonts w:ascii="Times New Roman" w:hAnsi="Times New Roman" w:cs="Times New Roman"/>
          <w:b/>
          <w:noProof/>
          <w:sz w:val="24"/>
          <w:szCs w:val="24"/>
        </w:rPr>
        <w:t>estimated at 0.0</w:t>
      </w:r>
      <w:r w:rsidR="002E5A5F" w:rsidRPr="009B5734">
        <w:rPr>
          <w:rFonts w:ascii="Times New Roman" w:hAnsi="Times New Roman" w:cs="Times New Roman"/>
          <w:b/>
          <w:noProof/>
          <w:sz w:val="24"/>
          <w:szCs w:val="24"/>
        </w:rPr>
        <w:t>4</w:t>
      </w:r>
      <w:r w:rsidR="007C04DD" w:rsidRPr="009B5734">
        <w:rPr>
          <w:rFonts w:ascii="Times New Roman" w:hAnsi="Times New Roman" w:cs="Times New Roman"/>
          <w:b/>
          <w:noProof/>
          <w:sz w:val="24"/>
          <w:szCs w:val="24"/>
        </w:rPr>
        <w:t>- 0.</w:t>
      </w:r>
      <w:r w:rsidR="002E5A5F" w:rsidRPr="009B5734">
        <w:rPr>
          <w:rFonts w:ascii="Times New Roman" w:hAnsi="Times New Roman" w:cs="Times New Roman"/>
          <w:b/>
          <w:noProof/>
          <w:sz w:val="24"/>
          <w:szCs w:val="24"/>
        </w:rPr>
        <w:t>08</w:t>
      </w:r>
      <w:r w:rsidR="007C04DD" w:rsidRPr="009B5734">
        <w:rPr>
          <w:rFonts w:ascii="Times New Roman" w:hAnsi="Times New Roman" w:cs="Times New Roman"/>
          <w:b/>
          <w:noProof/>
          <w:sz w:val="24"/>
          <w:szCs w:val="24"/>
        </w:rPr>
        <w:t xml:space="preserve"> mega tons </w:t>
      </w:r>
      <w:r w:rsidR="00D459F8" w:rsidRPr="009B5734">
        <w:rPr>
          <w:rFonts w:ascii="Times New Roman" w:hAnsi="Times New Roman" w:cs="Times New Roman"/>
          <w:b/>
          <w:noProof/>
          <w:sz w:val="24"/>
          <w:szCs w:val="24"/>
        </w:rPr>
        <w:t xml:space="preserve">(valued at </w:t>
      </w:r>
      <w:r w:rsidR="007C04DD" w:rsidRPr="009B5734">
        <w:rPr>
          <w:rFonts w:ascii="Times New Roman" w:hAnsi="Times New Roman" w:cs="Times New Roman"/>
          <w:b/>
          <w:noProof/>
          <w:sz w:val="24"/>
          <w:szCs w:val="24"/>
        </w:rPr>
        <w:t>EUR 1 – 2 million</w:t>
      </w:r>
      <w:r w:rsidR="00D459F8" w:rsidRPr="009B5734">
        <w:rPr>
          <w:rFonts w:ascii="Times New Roman" w:hAnsi="Times New Roman" w:cs="Times New Roman"/>
          <w:b/>
          <w:noProof/>
          <w:sz w:val="24"/>
          <w:szCs w:val="24"/>
        </w:rPr>
        <w:t>)</w:t>
      </w:r>
      <w:r w:rsidR="007C04DD" w:rsidRPr="009B5734">
        <w:rPr>
          <w:rFonts w:ascii="Times New Roman" w:hAnsi="Times New Roman" w:cs="Times New Roman"/>
          <w:b/>
          <w:noProof/>
          <w:sz w:val="24"/>
          <w:szCs w:val="24"/>
        </w:rPr>
        <w:t xml:space="preserve"> </w:t>
      </w:r>
      <w:r w:rsidR="007C04DD" w:rsidRPr="009B5734">
        <w:rPr>
          <w:rFonts w:ascii="Times New Roman" w:hAnsi="Times New Roman" w:cs="Times New Roman"/>
          <w:noProof/>
          <w:sz w:val="24"/>
          <w:szCs w:val="24"/>
        </w:rPr>
        <w:t>for the period 2025-2040</w:t>
      </w:r>
      <w:r w:rsidR="00215846">
        <w:rPr>
          <w:rFonts w:ascii="Times New Roman" w:hAnsi="Times New Roman" w:cs="Times New Roman"/>
          <w:noProof/>
          <w:sz w:val="24"/>
          <w:szCs w:val="24"/>
        </w:rPr>
        <w:t xml:space="preserve"> (or </w:t>
      </w:r>
      <w:r w:rsidR="00623FC3" w:rsidRPr="00623FC3">
        <w:rPr>
          <w:rFonts w:ascii="Times New Roman" w:hAnsi="Times New Roman" w:cs="Times New Roman"/>
          <w:b/>
          <w:noProof/>
          <w:sz w:val="24"/>
          <w:szCs w:val="24"/>
        </w:rPr>
        <w:t>0.002 – 0.005 mega tons per year, valued at EUR 0.07 – 0.13 million</w:t>
      </w:r>
      <w:r w:rsidR="00623FC3">
        <w:rPr>
          <w:rFonts w:ascii="Times New Roman" w:hAnsi="Times New Roman" w:cs="Times New Roman"/>
          <w:noProof/>
          <w:sz w:val="24"/>
          <w:szCs w:val="24"/>
        </w:rPr>
        <w:t>)</w:t>
      </w:r>
      <w:r w:rsidR="007C04DD" w:rsidRPr="009B5734">
        <w:rPr>
          <w:rFonts w:ascii="Times New Roman" w:hAnsi="Times New Roman" w:cs="Times New Roman"/>
          <w:noProof/>
          <w:sz w:val="24"/>
          <w:szCs w:val="24"/>
        </w:rPr>
        <w:t xml:space="preserve">. </w:t>
      </w:r>
      <w:r w:rsidR="00520F00" w:rsidRPr="009B5734">
        <w:rPr>
          <w:rFonts w:ascii="Times New Roman" w:hAnsi="Times New Roman" w:cs="Times New Roman"/>
          <w:noProof/>
          <w:sz w:val="24"/>
          <w:szCs w:val="24"/>
        </w:rPr>
        <w:t>Under</w:t>
      </w:r>
      <w:r w:rsidR="00F754B6" w:rsidRPr="009B5734">
        <w:rPr>
          <w:rFonts w:ascii="Times New Roman" w:hAnsi="Times New Roman" w:cs="Times New Roman"/>
          <w:noProof/>
          <w:sz w:val="24"/>
          <w:szCs w:val="24"/>
        </w:rPr>
        <w:t xml:space="preserve"> </w:t>
      </w:r>
      <w:r w:rsidR="00F754B6" w:rsidRPr="009B5734">
        <w:rPr>
          <w:rFonts w:ascii="Times New Roman" w:hAnsi="Times New Roman" w:cs="Times New Roman"/>
          <w:b/>
          <w:noProof/>
          <w:sz w:val="24"/>
          <w:szCs w:val="24"/>
        </w:rPr>
        <w:t>option 1.3.D</w:t>
      </w:r>
      <w:r w:rsidR="00F754B6" w:rsidRPr="009B5734">
        <w:rPr>
          <w:rFonts w:ascii="Times New Roman" w:hAnsi="Times New Roman" w:cs="Times New Roman"/>
          <w:noProof/>
          <w:sz w:val="24"/>
          <w:szCs w:val="24"/>
        </w:rPr>
        <w:t>, some consumers will opt for goods that can be more easily repaired</w:t>
      </w:r>
      <w:r w:rsidR="00520F00" w:rsidRPr="009B5734">
        <w:rPr>
          <w:rFonts w:ascii="Times New Roman" w:hAnsi="Times New Roman" w:cs="Times New Roman"/>
          <w:noProof/>
          <w:sz w:val="24"/>
          <w:szCs w:val="24"/>
        </w:rPr>
        <w:t xml:space="preserve">, which will </w:t>
      </w:r>
      <w:r w:rsidR="00F754B6" w:rsidRPr="009B5734">
        <w:rPr>
          <w:rFonts w:ascii="Times New Roman" w:hAnsi="Times New Roman" w:cs="Times New Roman"/>
          <w:noProof/>
          <w:sz w:val="24"/>
          <w:szCs w:val="24"/>
        </w:rPr>
        <w:t xml:space="preserve">lead to a reduction of </w:t>
      </w:r>
      <w:r w:rsidR="00D459F8" w:rsidRPr="009B5734">
        <w:rPr>
          <w:rFonts w:ascii="Times New Roman" w:hAnsi="Times New Roman" w:cs="Times New Roman"/>
          <w:b/>
          <w:noProof/>
          <w:sz w:val="24"/>
          <w:szCs w:val="24"/>
        </w:rPr>
        <w:t>CO2</w:t>
      </w:r>
      <w:r w:rsidR="00F754B6" w:rsidRPr="009B5734">
        <w:rPr>
          <w:rFonts w:ascii="Times New Roman" w:hAnsi="Times New Roman" w:cs="Times New Roman"/>
          <w:b/>
          <w:noProof/>
          <w:sz w:val="24"/>
          <w:szCs w:val="24"/>
        </w:rPr>
        <w:t xml:space="preserve"> emissions estimated at between 1.</w:t>
      </w:r>
      <w:r w:rsidR="002E5A5F" w:rsidRPr="009B5734">
        <w:rPr>
          <w:rFonts w:ascii="Times New Roman" w:hAnsi="Times New Roman" w:cs="Times New Roman"/>
          <w:b/>
          <w:noProof/>
          <w:sz w:val="24"/>
          <w:szCs w:val="24"/>
        </w:rPr>
        <w:t>2</w:t>
      </w:r>
      <w:r w:rsidR="00F754B6" w:rsidRPr="009B5734">
        <w:rPr>
          <w:rFonts w:ascii="Times New Roman" w:hAnsi="Times New Roman" w:cs="Times New Roman"/>
          <w:b/>
          <w:noProof/>
          <w:sz w:val="24"/>
          <w:szCs w:val="24"/>
        </w:rPr>
        <w:t xml:space="preserve"> – 2.</w:t>
      </w:r>
      <w:r w:rsidR="002E5A5F" w:rsidRPr="009B5734">
        <w:rPr>
          <w:rFonts w:ascii="Times New Roman" w:hAnsi="Times New Roman" w:cs="Times New Roman"/>
          <w:b/>
          <w:noProof/>
          <w:sz w:val="24"/>
          <w:szCs w:val="24"/>
        </w:rPr>
        <w:t>2</w:t>
      </w:r>
      <w:r w:rsidR="00F754B6" w:rsidRPr="009B5734">
        <w:rPr>
          <w:rFonts w:ascii="Times New Roman" w:hAnsi="Times New Roman" w:cs="Times New Roman"/>
          <w:b/>
          <w:noProof/>
          <w:sz w:val="24"/>
          <w:szCs w:val="24"/>
        </w:rPr>
        <w:t xml:space="preserve"> mega tons (</w:t>
      </w:r>
      <w:r w:rsidR="00D459F8" w:rsidRPr="009B5734">
        <w:rPr>
          <w:rFonts w:ascii="Times New Roman" w:hAnsi="Times New Roman" w:cs="Times New Roman"/>
          <w:b/>
          <w:noProof/>
          <w:sz w:val="24"/>
          <w:szCs w:val="24"/>
        </w:rPr>
        <w:t xml:space="preserve">valued at </w:t>
      </w:r>
      <w:r w:rsidR="00F754B6" w:rsidRPr="009B5734">
        <w:rPr>
          <w:rFonts w:ascii="Times New Roman" w:hAnsi="Times New Roman" w:cs="Times New Roman"/>
          <w:b/>
          <w:noProof/>
          <w:sz w:val="24"/>
          <w:szCs w:val="24"/>
        </w:rPr>
        <w:t xml:space="preserve">EUR </w:t>
      </w:r>
      <w:r w:rsidR="008F2F17">
        <w:rPr>
          <w:rFonts w:ascii="Times New Roman" w:hAnsi="Times New Roman" w:cs="Times New Roman"/>
          <w:b/>
          <w:noProof/>
          <w:sz w:val="24"/>
          <w:szCs w:val="24"/>
        </w:rPr>
        <w:t>26</w:t>
      </w:r>
      <w:r w:rsidR="00A008B2" w:rsidRPr="009B5734">
        <w:rPr>
          <w:rFonts w:ascii="Times New Roman" w:hAnsi="Times New Roman" w:cs="Times New Roman"/>
          <w:b/>
          <w:noProof/>
          <w:sz w:val="24"/>
          <w:szCs w:val="24"/>
        </w:rPr>
        <w:t xml:space="preserve"> </w:t>
      </w:r>
      <w:r w:rsidR="00F754B6" w:rsidRPr="009B5734">
        <w:rPr>
          <w:rFonts w:ascii="Times New Roman" w:hAnsi="Times New Roman" w:cs="Times New Roman"/>
          <w:b/>
          <w:noProof/>
          <w:sz w:val="24"/>
          <w:szCs w:val="24"/>
        </w:rPr>
        <w:t xml:space="preserve">- </w:t>
      </w:r>
      <w:r w:rsidR="008F2F17">
        <w:rPr>
          <w:rFonts w:ascii="Times New Roman" w:hAnsi="Times New Roman" w:cs="Times New Roman"/>
          <w:b/>
          <w:noProof/>
          <w:sz w:val="24"/>
          <w:szCs w:val="24"/>
        </w:rPr>
        <w:t>45</w:t>
      </w:r>
      <w:r w:rsidR="00F754B6" w:rsidRPr="009B5734">
        <w:rPr>
          <w:rFonts w:ascii="Times New Roman" w:hAnsi="Times New Roman" w:cs="Times New Roman"/>
          <w:b/>
          <w:noProof/>
          <w:sz w:val="24"/>
          <w:szCs w:val="24"/>
        </w:rPr>
        <w:t xml:space="preserve"> million)</w:t>
      </w:r>
      <w:r w:rsidR="00F754B6" w:rsidRPr="009B5734">
        <w:rPr>
          <w:rFonts w:ascii="Times New Roman" w:hAnsi="Times New Roman" w:cs="Times New Roman"/>
          <w:noProof/>
          <w:sz w:val="24"/>
          <w:szCs w:val="24"/>
        </w:rPr>
        <w:t xml:space="preserve"> in the period 2025-2040</w:t>
      </w:r>
      <w:r w:rsidR="00623FC3">
        <w:rPr>
          <w:rFonts w:ascii="Times New Roman" w:hAnsi="Times New Roman" w:cs="Times New Roman"/>
          <w:noProof/>
          <w:sz w:val="24"/>
          <w:szCs w:val="24"/>
        </w:rPr>
        <w:t xml:space="preserve"> (or </w:t>
      </w:r>
      <w:r w:rsidR="00623FC3" w:rsidRPr="00623FC3">
        <w:rPr>
          <w:rFonts w:ascii="Times New Roman" w:hAnsi="Times New Roman" w:cs="Times New Roman"/>
          <w:b/>
          <w:noProof/>
          <w:sz w:val="24"/>
          <w:szCs w:val="24"/>
        </w:rPr>
        <w:t>0.08 – 0.15 mega tons per year, valued at EUR 1.7 – 3 million</w:t>
      </w:r>
      <w:r w:rsidR="00623FC3">
        <w:rPr>
          <w:rFonts w:ascii="Times New Roman" w:hAnsi="Times New Roman" w:cs="Times New Roman"/>
          <w:noProof/>
          <w:sz w:val="24"/>
          <w:szCs w:val="24"/>
        </w:rPr>
        <w:t>)</w:t>
      </w:r>
      <w:r w:rsidR="00F754B6" w:rsidRPr="009B5734">
        <w:rPr>
          <w:rFonts w:ascii="Times New Roman" w:hAnsi="Times New Roman" w:cs="Times New Roman"/>
          <w:noProof/>
          <w:sz w:val="24"/>
          <w:szCs w:val="24"/>
        </w:rPr>
        <w:t xml:space="preserve">. Due to the implementation of </w:t>
      </w:r>
      <w:r w:rsidR="00F754B6" w:rsidRPr="009B5734">
        <w:rPr>
          <w:rFonts w:ascii="Times New Roman" w:hAnsi="Times New Roman" w:cs="Times New Roman"/>
          <w:b/>
          <w:noProof/>
          <w:sz w:val="24"/>
          <w:szCs w:val="24"/>
        </w:rPr>
        <w:t>option 1.3.E</w:t>
      </w:r>
      <w:r w:rsidR="00F754B6" w:rsidRPr="009B5734">
        <w:rPr>
          <w:rFonts w:ascii="Times New Roman" w:hAnsi="Times New Roman" w:cs="Times New Roman"/>
          <w:noProof/>
          <w:sz w:val="24"/>
          <w:szCs w:val="24"/>
        </w:rPr>
        <w:t>, some consumers will opt for goods that can be more easily repaired. Consequently, the repaired products will have a longer lifespan than they would have had in the baseline. For this reason we can conclude that this option will</w:t>
      </w:r>
      <w:r w:rsidR="00520F00" w:rsidRPr="009B5734">
        <w:rPr>
          <w:rFonts w:ascii="Times New Roman" w:hAnsi="Times New Roman" w:cs="Times New Roman"/>
          <w:noProof/>
          <w:sz w:val="24"/>
          <w:szCs w:val="24"/>
        </w:rPr>
        <w:t xml:space="preserve"> also</w:t>
      </w:r>
      <w:r w:rsidR="00F754B6" w:rsidRPr="009B5734">
        <w:rPr>
          <w:rFonts w:ascii="Times New Roman" w:hAnsi="Times New Roman" w:cs="Times New Roman"/>
          <w:noProof/>
          <w:sz w:val="24"/>
          <w:szCs w:val="24"/>
        </w:rPr>
        <w:t xml:space="preserve"> have a positive impact on the environment.</w:t>
      </w:r>
      <w:r w:rsidR="00F92CD2" w:rsidRPr="009B5734">
        <w:rPr>
          <w:rFonts w:ascii="Times New Roman" w:hAnsi="Times New Roman" w:cs="Times New Roman"/>
          <w:noProof/>
          <w:sz w:val="24"/>
          <w:szCs w:val="24"/>
        </w:rPr>
        <w:t xml:space="preserve"> </w:t>
      </w:r>
      <w:r w:rsidR="00F46F51" w:rsidRPr="009B5734">
        <w:rPr>
          <w:rFonts w:ascii="Times New Roman" w:hAnsi="Times New Roman" w:cs="Times New Roman"/>
          <w:noProof/>
          <w:sz w:val="24"/>
          <w:szCs w:val="24"/>
        </w:rPr>
        <w:t>As the</w:t>
      </w:r>
      <w:r w:rsidR="00F92CD2" w:rsidRPr="009B5734">
        <w:rPr>
          <w:rFonts w:ascii="Times New Roman" w:hAnsi="Times New Roman" w:cs="Times New Roman"/>
          <w:noProof/>
          <w:sz w:val="24"/>
          <w:szCs w:val="24"/>
        </w:rPr>
        <w:t xml:space="preserve"> option will not require</w:t>
      </w:r>
      <w:r w:rsidR="00F46F51" w:rsidRPr="009B5734">
        <w:rPr>
          <w:rFonts w:ascii="Times New Roman" w:hAnsi="Times New Roman" w:cs="Times New Roman"/>
          <w:noProof/>
          <w:sz w:val="24"/>
          <w:szCs w:val="24"/>
        </w:rPr>
        <w:t xml:space="preserve"> any</w:t>
      </w:r>
      <w:r w:rsidR="00F92CD2" w:rsidRPr="009B5734">
        <w:rPr>
          <w:rFonts w:ascii="Times New Roman" w:hAnsi="Times New Roman" w:cs="Times New Roman"/>
          <w:noProof/>
          <w:sz w:val="24"/>
          <w:szCs w:val="24"/>
        </w:rPr>
        <w:t xml:space="preserve"> physical paper repair manuals to be provided at the point of sale</w:t>
      </w:r>
      <w:r w:rsidR="00F46F51" w:rsidRPr="009B5734">
        <w:rPr>
          <w:rFonts w:ascii="Times New Roman" w:hAnsi="Times New Roman" w:cs="Times New Roman"/>
          <w:noProof/>
          <w:sz w:val="24"/>
          <w:szCs w:val="24"/>
        </w:rPr>
        <w:t xml:space="preserve"> </w:t>
      </w:r>
      <w:r w:rsidR="00F92CD2" w:rsidRPr="009B5734">
        <w:rPr>
          <w:rFonts w:ascii="Times New Roman" w:hAnsi="Times New Roman" w:cs="Times New Roman"/>
          <w:noProof/>
          <w:sz w:val="24"/>
          <w:szCs w:val="24"/>
        </w:rPr>
        <w:t xml:space="preserve">we can estimate that it will lead to a reduction in CO2 emissions which is at least greater than that of </w:t>
      </w:r>
      <w:r w:rsidR="004926A9" w:rsidRPr="009B5734">
        <w:rPr>
          <w:rFonts w:ascii="Times New Roman" w:hAnsi="Times New Roman" w:cs="Times New Roman"/>
          <w:noProof/>
          <w:sz w:val="24"/>
          <w:szCs w:val="24"/>
        </w:rPr>
        <w:t>o</w:t>
      </w:r>
      <w:r w:rsidR="00F92CD2" w:rsidRPr="009B5734">
        <w:rPr>
          <w:rFonts w:ascii="Times New Roman" w:hAnsi="Times New Roman" w:cs="Times New Roman"/>
          <w:noProof/>
          <w:sz w:val="24"/>
          <w:szCs w:val="24"/>
        </w:rPr>
        <w:t>ption 1.3.A</w:t>
      </w:r>
      <w:r w:rsidR="00F46F51" w:rsidRPr="009B5734">
        <w:rPr>
          <w:rFonts w:ascii="Times New Roman" w:hAnsi="Times New Roman" w:cs="Times New Roman"/>
          <w:noProof/>
          <w:sz w:val="24"/>
          <w:szCs w:val="24"/>
        </w:rPr>
        <w:t xml:space="preserve"> </w:t>
      </w:r>
      <w:r w:rsidR="00F46F51" w:rsidRPr="009B5734">
        <w:rPr>
          <w:rFonts w:ascii="Times New Roman" w:hAnsi="Times New Roman" w:cs="Times New Roman"/>
          <w:noProof/>
          <w:sz w:val="24"/>
        </w:rPr>
        <w:t>in the period 2025-2040</w:t>
      </w:r>
      <w:r w:rsidR="00F92CD2" w:rsidRPr="009B5734">
        <w:rPr>
          <w:rFonts w:ascii="Times New Roman" w:hAnsi="Times New Roman" w:cs="Times New Roman"/>
          <w:noProof/>
          <w:sz w:val="24"/>
          <w:szCs w:val="24"/>
        </w:rPr>
        <w:t xml:space="preserve">. </w:t>
      </w:r>
    </w:p>
    <w:p w:rsidR="00202946" w:rsidRPr="009B5734" w:rsidRDefault="00202946" w:rsidP="00202946">
      <w:pPr>
        <w:pStyle w:val="Text2"/>
        <w:spacing w:after="0"/>
        <w:ind w:left="0" w:firstLine="0"/>
        <w:rPr>
          <w:b/>
          <w:noProof/>
        </w:rPr>
      </w:pPr>
    </w:p>
    <w:p w:rsidR="00A11721" w:rsidRPr="009B5734" w:rsidRDefault="00A11721" w:rsidP="00202946">
      <w:pPr>
        <w:ind w:left="0" w:firstLine="0"/>
        <w:rPr>
          <w:i/>
          <w:noProof/>
        </w:rPr>
      </w:pPr>
      <w:r w:rsidRPr="009B5734">
        <w:rPr>
          <w:rFonts w:ascii="Times New Roman" w:hAnsi="Times New Roman" w:cs="Times New Roman"/>
          <w:i/>
          <w:noProof/>
          <w:sz w:val="24"/>
        </w:rPr>
        <w:t>Coherence and applicability of the legal framework:</w:t>
      </w:r>
    </w:p>
    <w:p w:rsidR="00E87965" w:rsidRPr="004931D3" w:rsidRDefault="003006FC">
      <w:pPr>
        <w:ind w:left="0" w:firstLine="0"/>
        <w:rPr>
          <w:rFonts w:ascii="Times New Roman" w:hAnsi="Times New Roman" w:cs="Times New Roman"/>
          <w:i/>
          <w:noProof/>
          <w:sz w:val="24"/>
          <w:szCs w:val="24"/>
        </w:rPr>
      </w:pPr>
      <w:r w:rsidRPr="009B5734">
        <w:rPr>
          <w:rFonts w:ascii="Times New Roman" w:hAnsi="Times New Roman" w:cs="Times New Roman"/>
          <w:noProof/>
          <w:sz w:val="24"/>
          <w:szCs w:val="24"/>
        </w:rPr>
        <w:t xml:space="preserve">For </w:t>
      </w:r>
      <w:r w:rsidRPr="005D24D2">
        <w:rPr>
          <w:rFonts w:ascii="Times New Roman" w:hAnsi="Times New Roman" w:cs="Times New Roman"/>
          <w:b/>
          <w:bCs/>
          <w:noProof/>
          <w:sz w:val="24"/>
          <w:szCs w:val="24"/>
        </w:rPr>
        <w:t>option 1.3.A</w:t>
      </w:r>
      <w:r w:rsidRPr="009B5734">
        <w:rPr>
          <w:rFonts w:ascii="Times New Roman" w:hAnsi="Times New Roman" w:cs="Times New Roman"/>
          <w:noProof/>
          <w:sz w:val="24"/>
          <w:szCs w:val="24"/>
        </w:rPr>
        <w:t xml:space="preserve"> n</w:t>
      </w:r>
      <w:r w:rsidR="00501A01" w:rsidRPr="009B5734">
        <w:rPr>
          <w:rFonts w:ascii="Times New Roman" w:hAnsi="Times New Roman" w:cs="Times New Roman"/>
          <w:noProof/>
          <w:sz w:val="24"/>
          <w:szCs w:val="24"/>
        </w:rPr>
        <w:t>o issue of coherence</w:t>
      </w:r>
      <w:r w:rsidR="00A11721" w:rsidRPr="009B5734">
        <w:rPr>
          <w:rFonts w:ascii="Times New Roman" w:hAnsi="Times New Roman" w:cs="Times New Roman"/>
          <w:noProof/>
          <w:sz w:val="24"/>
          <w:szCs w:val="24"/>
        </w:rPr>
        <w:t xml:space="preserve"> and applicability</w:t>
      </w:r>
      <w:r w:rsidR="00501A01" w:rsidRPr="009B5734">
        <w:rPr>
          <w:rFonts w:ascii="Times New Roman" w:hAnsi="Times New Roman" w:cs="Times New Roman"/>
          <w:noProof/>
          <w:sz w:val="24"/>
          <w:szCs w:val="24"/>
        </w:rPr>
        <w:t xml:space="preserve"> has been identified. </w:t>
      </w:r>
      <w:r w:rsidR="00C7454C" w:rsidRPr="009B5734">
        <w:rPr>
          <w:rFonts w:ascii="Times New Roman" w:hAnsi="Times New Roman" w:cs="Times New Roman"/>
          <w:noProof/>
          <w:sz w:val="24"/>
          <w:szCs w:val="24"/>
        </w:rPr>
        <w:t xml:space="preserve">As already the case for some product </w:t>
      </w:r>
      <w:r w:rsidR="002629EA" w:rsidRPr="009B5734">
        <w:rPr>
          <w:rFonts w:ascii="Times New Roman" w:hAnsi="Times New Roman" w:cs="Times New Roman"/>
          <w:noProof/>
          <w:sz w:val="24"/>
          <w:szCs w:val="24"/>
        </w:rPr>
        <w:t>categories</w:t>
      </w:r>
      <w:r w:rsidR="00C7454C" w:rsidRPr="009B5734">
        <w:rPr>
          <w:rFonts w:ascii="Times New Roman" w:hAnsi="Times New Roman" w:cs="Times New Roman"/>
          <w:noProof/>
          <w:sz w:val="24"/>
          <w:szCs w:val="24"/>
        </w:rPr>
        <w:t xml:space="preserve">, future Ecodesign/SPI requirements may provide further </w:t>
      </w:r>
      <w:r w:rsidR="003B1747" w:rsidRPr="009B5734">
        <w:rPr>
          <w:rFonts w:ascii="Times New Roman" w:hAnsi="Times New Roman" w:cs="Times New Roman"/>
          <w:noProof/>
          <w:sz w:val="24"/>
          <w:szCs w:val="24"/>
        </w:rPr>
        <w:t xml:space="preserve">specifications </w:t>
      </w:r>
      <w:r w:rsidR="00C7454C" w:rsidRPr="009B5734">
        <w:rPr>
          <w:rFonts w:ascii="Times New Roman" w:hAnsi="Times New Roman" w:cs="Times New Roman"/>
          <w:noProof/>
          <w:sz w:val="24"/>
          <w:szCs w:val="24"/>
        </w:rPr>
        <w:t>concerning what the specific ‘repair and user manual’ should include</w:t>
      </w:r>
      <w:r w:rsidR="00D459F8" w:rsidRPr="009B5734">
        <w:rPr>
          <w:rFonts w:ascii="Times New Roman" w:hAnsi="Times New Roman" w:cs="Times New Roman"/>
          <w:noProof/>
          <w:sz w:val="24"/>
          <w:szCs w:val="24"/>
        </w:rPr>
        <w:t xml:space="preserve"> for new/other product categories</w:t>
      </w:r>
      <w:r w:rsidR="00DE178E" w:rsidRPr="009B5734">
        <w:rPr>
          <w:rFonts w:ascii="Times New Roman" w:hAnsi="Times New Roman" w:cs="Times New Roman"/>
          <w:noProof/>
          <w:sz w:val="24"/>
          <w:szCs w:val="24"/>
        </w:rPr>
        <w:t>.</w:t>
      </w:r>
      <w:r w:rsidRPr="009B5734">
        <w:rPr>
          <w:rFonts w:ascii="Times New Roman" w:hAnsi="Times New Roman" w:cs="Times New Roman"/>
          <w:noProof/>
          <w:sz w:val="24"/>
          <w:szCs w:val="24"/>
        </w:rPr>
        <w:t xml:space="preserve"> As </w:t>
      </w:r>
      <w:r w:rsidRPr="005D24D2">
        <w:rPr>
          <w:rFonts w:ascii="Times New Roman" w:hAnsi="Times New Roman" w:cs="Times New Roman"/>
          <w:b/>
          <w:bCs/>
          <w:noProof/>
          <w:sz w:val="24"/>
          <w:szCs w:val="24"/>
        </w:rPr>
        <w:t>option 1.3.B</w:t>
      </w:r>
      <w:r w:rsidRPr="009B5734">
        <w:rPr>
          <w:rFonts w:ascii="Times New Roman" w:hAnsi="Times New Roman" w:cs="Times New Roman"/>
          <w:noProof/>
          <w:sz w:val="24"/>
          <w:szCs w:val="24"/>
        </w:rPr>
        <w:t xml:space="preserve"> focuses on </w:t>
      </w:r>
      <w:r w:rsidR="00D459F8" w:rsidRPr="009B5734">
        <w:rPr>
          <w:rFonts w:ascii="Times New Roman" w:hAnsi="Times New Roman" w:cs="Times New Roman"/>
          <w:noProof/>
          <w:sz w:val="24"/>
          <w:szCs w:val="24"/>
        </w:rPr>
        <w:t>providing</w:t>
      </w:r>
      <w:r w:rsidRPr="009B5734">
        <w:rPr>
          <w:rFonts w:ascii="Times New Roman" w:hAnsi="Times New Roman" w:cs="Times New Roman"/>
          <w:noProof/>
          <w:sz w:val="24"/>
          <w:szCs w:val="24"/>
        </w:rPr>
        <w:t xml:space="preserve"> consumers </w:t>
      </w:r>
      <w:r w:rsidR="00D459F8" w:rsidRPr="009B5734">
        <w:rPr>
          <w:rFonts w:ascii="Times New Roman" w:hAnsi="Times New Roman" w:cs="Times New Roman"/>
          <w:noProof/>
          <w:sz w:val="24"/>
          <w:szCs w:val="24"/>
        </w:rPr>
        <w:t xml:space="preserve">with information </w:t>
      </w:r>
      <w:r w:rsidRPr="009B5734">
        <w:rPr>
          <w:rFonts w:ascii="Times New Roman" w:hAnsi="Times New Roman" w:cs="Times New Roman"/>
          <w:noProof/>
          <w:sz w:val="24"/>
          <w:szCs w:val="24"/>
        </w:rPr>
        <w:t>on the availability of spare parts</w:t>
      </w:r>
      <w:r w:rsidR="00D459F8" w:rsidRPr="009B5734">
        <w:rPr>
          <w:rFonts w:ascii="Times New Roman" w:hAnsi="Times New Roman" w:cs="Times New Roman"/>
          <w:noProof/>
          <w:sz w:val="24"/>
          <w:szCs w:val="24"/>
        </w:rPr>
        <w:t xml:space="preserve"> at the point of sale</w:t>
      </w:r>
      <w:r w:rsidRPr="009B5734">
        <w:rPr>
          <w:rFonts w:ascii="Times New Roman" w:hAnsi="Times New Roman" w:cs="Times New Roman"/>
          <w:noProof/>
          <w:sz w:val="24"/>
          <w:szCs w:val="24"/>
        </w:rPr>
        <w:t>, the option is coherent and complements Eco-design and future SPI</w:t>
      </w:r>
      <w:r w:rsidR="00D75597" w:rsidRPr="009B5734">
        <w:rPr>
          <w:rFonts w:ascii="Times New Roman" w:hAnsi="Times New Roman" w:cs="Times New Roman"/>
          <w:noProof/>
          <w:sz w:val="24"/>
          <w:szCs w:val="24"/>
        </w:rPr>
        <w:t xml:space="preserve"> product</w:t>
      </w:r>
      <w:r w:rsidRPr="009B5734">
        <w:rPr>
          <w:rFonts w:ascii="Times New Roman" w:hAnsi="Times New Roman" w:cs="Times New Roman"/>
          <w:noProof/>
          <w:sz w:val="24"/>
          <w:szCs w:val="24"/>
        </w:rPr>
        <w:t xml:space="preserve"> rules </w:t>
      </w:r>
      <w:r w:rsidR="00D75597" w:rsidRPr="009B5734">
        <w:rPr>
          <w:rFonts w:ascii="Times New Roman" w:hAnsi="Times New Roman" w:cs="Times New Roman"/>
          <w:noProof/>
          <w:sz w:val="24"/>
          <w:szCs w:val="24"/>
        </w:rPr>
        <w:t>th</w:t>
      </w:r>
      <w:r w:rsidR="00412D16" w:rsidRPr="009B5734">
        <w:rPr>
          <w:rFonts w:ascii="Times New Roman" w:hAnsi="Times New Roman" w:cs="Times New Roman"/>
          <w:noProof/>
          <w:sz w:val="24"/>
          <w:szCs w:val="24"/>
        </w:rPr>
        <w:t>at may further specify</w:t>
      </w:r>
      <w:r w:rsidRPr="009B5734">
        <w:rPr>
          <w:rFonts w:ascii="Times New Roman" w:hAnsi="Times New Roman" w:cs="Times New Roman"/>
          <w:noProof/>
          <w:sz w:val="24"/>
          <w:szCs w:val="24"/>
        </w:rPr>
        <w:t xml:space="preserve"> </w:t>
      </w:r>
      <w:r w:rsidR="00D75597" w:rsidRPr="009B5734">
        <w:rPr>
          <w:rFonts w:ascii="Times New Roman" w:hAnsi="Times New Roman" w:cs="Times New Roman"/>
          <w:noProof/>
          <w:sz w:val="24"/>
          <w:szCs w:val="24"/>
        </w:rPr>
        <w:t>how long</w:t>
      </w:r>
      <w:r w:rsidR="00412D16" w:rsidRPr="009B5734">
        <w:rPr>
          <w:rFonts w:ascii="Times New Roman" w:hAnsi="Times New Roman" w:cs="Times New Roman"/>
          <w:noProof/>
          <w:sz w:val="24"/>
          <w:szCs w:val="24"/>
        </w:rPr>
        <w:t xml:space="preserve"> and which</w:t>
      </w:r>
      <w:r w:rsidR="00D75597" w:rsidRPr="009B5734">
        <w:rPr>
          <w:rFonts w:ascii="Times New Roman" w:hAnsi="Times New Roman" w:cs="Times New Roman"/>
          <w:noProof/>
          <w:sz w:val="24"/>
          <w:szCs w:val="24"/>
        </w:rPr>
        <w:t xml:space="preserve"> </w:t>
      </w:r>
      <w:r w:rsidRPr="009B5734">
        <w:rPr>
          <w:rFonts w:ascii="Times New Roman" w:hAnsi="Times New Roman" w:cs="Times New Roman"/>
          <w:noProof/>
          <w:sz w:val="24"/>
          <w:szCs w:val="24"/>
        </w:rPr>
        <w:t>spare parts should be</w:t>
      </w:r>
      <w:r w:rsidR="00412D16" w:rsidRPr="009B5734">
        <w:rPr>
          <w:rFonts w:ascii="Times New Roman" w:hAnsi="Times New Roman" w:cs="Times New Roman"/>
          <w:noProof/>
          <w:sz w:val="24"/>
          <w:szCs w:val="24"/>
        </w:rPr>
        <w:t xml:space="preserve"> kept</w:t>
      </w:r>
      <w:r w:rsidRPr="009B5734">
        <w:rPr>
          <w:rFonts w:ascii="Times New Roman" w:hAnsi="Times New Roman" w:cs="Times New Roman"/>
          <w:noProof/>
          <w:sz w:val="24"/>
          <w:szCs w:val="24"/>
        </w:rPr>
        <w:t xml:space="preserve"> available for a given product category</w:t>
      </w:r>
      <w:r w:rsidR="00D75597" w:rsidRPr="009B5734">
        <w:rPr>
          <w:rFonts w:ascii="Times New Roman" w:hAnsi="Times New Roman" w:cs="Times New Roman"/>
          <w:noProof/>
          <w:sz w:val="24"/>
          <w:szCs w:val="24"/>
        </w:rPr>
        <w:t xml:space="preserve"> for a minimum period</w:t>
      </w:r>
      <w:r w:rsidR="00412D16" w:rsidRPr="009B5734">
        <w:rPr>
          <w:rFonts w:ascii="Times New Roman" w:hAnsi="Times New Roman" w:cs="Times New Roman"/>
          <w:noProof/>
          <w:sz w:val="24"/>
          <w:szCs w:val="24"/>
        </w:rPr>
        <w:t xml:space="preserve"> of time</w:t>
      </w:r>
      <w:r w:rsidRPr="009B5734">
        <w:rPr>
          <w:rFonts w:ascii="Times New Roman" w:hAnsi="Times New Roman" w:cs="Times New Roman"/>
          <w:noProof/>
          <w:sz w:val="24"/>
          <w:szCs w:val="24"/>
        </w:rPr>
        <w:t xml:space="preserve">. </w:t>
      </w:r>
      <w:r w:rsidR="006E7152" w:rsidRPr="009B5734">
        <w:rPr>
          <w:rFonts w:ascii="Times New Roman" w:hAnsi="Times New Roman" w:cs="Times New Roman"/>
          <w:noProof/>
          <w:sz w:val="24"/>
          <w:szCs w:val="24"/>
        </w:rPr>
        <w:t>Under</w:t>
      </w:r>
      <w:r w:rsidR="006E7152" w:rsidRPr="005D24D2">
        <w:rPr>
          <w:rFonts w:ascii="Times New Roman" w:hAnsi="Times New Roman" w:cs="Times New Roman"/>
          <w:b/>
          <w:bCs/>
          <w:noProof/>
          <w:sz w:val="24"/>
          <w:szCs w:val="24"/>
        </w:rPr>
        <w:t xml:space="preserve"> o</w:t>
      </w:r>
      <w:r w:rsidR="007C04DD" w:rsidRPr="005D24D2">
        <w:rPr>
          <w:rFonts w:ascii="Times New Roman" w:hAnsi="Times New Roman" w:cs="Times New Roman"/>
          <w:b/>
          <w:bCs/>
          <w:noProof/>
          <w:sz w:val="24"/>
          <w:szCs w:val="24"/>
        </w:rPr>
        <w:t>ption 1.3.C</w:t>
      </w:r>
      <w:r w:rsidR="00D459F8" w:rsidRPr="009B5734">
        <w:rPr>
          <w:rFonts w:ascii="Times New Roman" w:hAnsi="Times New Roman" w:cs="Times New Roman"/>
          <w:noProof/>
          <w:sz w:val="24"/>
          <w:szCs w:val="24"/>
        </w:rPr>
        <w:t xml:space="preserve"> </w:t>
      </w:r>
      <w:r w:rsidR="00737189" w:rsidRPr="009B5734">
        <w:rPr>
          <w:rFonts w:ascii="Times New Roman" w:hAnsi="Times New Roman" w:cs="Times New Roman"/>
          <w:noProof/>
          <w:sz w:val="24"/>
          <w:szCs w:val="24"/>
        </w:rPr>
        <w:t>a</w:t>
      </w:r>
      <w:r w:rsidR="006F5FE4" w:rsidRPr="009B5734">
        <w:rPr>
          <w:rFonts w:ascii="Times New Roman" w:hAnsi="Times New Roman" w:cs="Times New Roman"/>
          <w:noProof/>
          <w:sz w:val="24"/>
          <w:szCs w:val="24"/>
        </w:rPr>
        <w:t>nd</w:t>
      </w:r>
      <w:r w:rsidR="00D75597" w:rsidRPr="009B5734">
        <w:rPr>
          <w:rFonts w:ascii="Times New Roman" w:hAnsi="Times New Roman" w:cs="Times New Roman"/>
          <w:noProof/>
          <w:sz w:val="24"/>
          <w:szCs w:val="24"/>
        </w:rPr>
        <w:t xml:space="preserve"> </w:t>
      </w:r>
      <w:r w:rsidR="00D459F8" w:rsidRPr="005D24D2">
        <w:rPr>
          <w:rFonts w:ascii="Times New Roman" w:hAnsi="Times New Roman" w:cs="Times New Roman"/>
          <w:b/>
          <w:bCs/>
          <w:noProof/>
          <w:sz w:val="24"/>
          <w:szCs w:val="24"/>
        </w:rPr>
        <w:t>option 1.3.D</w:t>
      </w:r>
      <w:r w:rsidR="00D75597" w:rsidRPr="009B5734">
        <w:rPr>
          <w:rFonts w:ascii="Times New Roman" w:hAnsi="Times New Roman" w:cs="Times New Roman"/>
          <w:noProof/>
          <w:sz w:val="24"/>
          <w:szCs w:val="24"/>
        </w:rPr>
        <w:t xml:space="preserve"> </w:t>
      </w:r>
      <w:r w:rsidR="006E7152" w:rsidRPr="009B5734">
        <w:rPr>
          <w:rFonts w:ascii="Times New Roman" w:hAnsi="Times New Roman" w:cs="Times New Roman"/>
          <w:noProof/>
          <w:sz w:val="24"/>
          <w:szCs w:val="24"/>
        </w:rPr>
        <w:t xml:space="preserve">it </w:t>
      </w:r>
      <w:r w:rsidR="006F5FE4" w:rsidRPr="009B5734">
        <w:rPr>
          <w:rFonts w:ascii="Times New Roman" w:hAnsi="Times New Roman" w:cs="Times New Roman"/>
          <w:noProof/>
          <w:sz w:val="24"/>
          <w:szCs w:val="24"/>
        </w:rPr>
        <w:t>is expected to be challenging for consumer enforcement authorities to assess whether</w:t>
      </w:r>
      <w:r w:rsidR="006F5FE4" w:rsidRPr="005D24D2">
        <w:rPr>
          <w:rFonts w:ascii="Times New Roman" w:hAnsi="Times New Roman" w:cs="Times New Roman"/>
          <w:noProof/>
          <w:sz w:val="24"/>
          <w:szCs w:val="24"/>
        </w:rPr>
        <w:t xml:space="preserve"> the information provided by retailers is comprehensive and reliable</w:t>
      </w:r>
      <w:r w:rsidR="00F754B6" w:rsidRPr="009B5734">
        <w:rPr>
          <w:rFonts w:ascii="Times New Roman" w:hAnsi="Times New Roman" w:cs="Times New Roman"/>
          <w:noProof/>
          <w:sz w:val="24"/>
          <w:szCs w:val="24"/>
        </w:rPr>
        <w:t xml:space="preserve">. </w:t>
      </w:r>
      <w:r w:rsidR="00E87965" w:rsidRPr="005D24D2">
        <w:rPr>
          <w:rFonts w:ascii="Times New Roman" w:hAnsi="Times New Roman" w:cs="Times New Roman"/>
          <w:b/>
          <w:bCs/>
          <w:noProof/>
          <w:sz w:val="24"/>
          <w:szCs w:val="24"/>
        </w:rPr>
        <w:t>Option 1.3.E</w:t>
      </w:r>
      <w:r w:rsidR="00E87965" w:rsidRPr="009B5734">
        <w:rPr>
          <w:rFonts w:ascii="Times New Roman" w:hAnsi="Times New Roman" w:cs="Times New Roman"/>
          <w:noProof/>
          <w:sz w:val="24"/>
          <w:szCs w:val="24"/>
        </w:rPr>
        <w:t xml:space="preserve"> is </w:t>
      </w:r>
      <w:r w:rsidR="006F5FE4" w:rsidRPr="009B5734">
        <w:rPr>
          <w:rFonts w:ascii="Times New Roman" w:hAnsi="Times New Roman" w:cs="Times New Roman"/>
          <w:noProof/>
          <w:sz w:val="24"/>
          <w:szCs w:val="24"/>
        </w:rPr>
        <w:t xml:space="preserve">fully </w:t>
      </w:r>
      <w:r w:rsidR="00E87965" w:rsidRPr="009B5734">
        <w:rPr>
          <w:rFonts w:ascii="Times New Roman" w:hAnsi="Times New Roman" w:cs="Times New Roman"/>
          <w:noProof/>
          <w:sz w:val="24"/>
          <w:szCs w:val="24"/>
        </w:rPr>
        <w:t>coherent with the legal framework, in that it provides for repair information to be made available at the point of sale in precisely those cases where the existing legal framework already requires such information to be provided by manufacturers</w:t>
      </w:r>
      <w:r w:rsidR="006F5FE4" w:rsidRPr="009B5734">
        <w:rPr>
          <w:rFonts w:ascii="Times New Roman" w:hAnsi="Times New Roman" w:cs="Times New Roman"/>
          <w:noProof/>
          <w:sz w:val="24"/>
          <w:szCs w:val="24"/>
        </w:rPr>
        <w:t xml:space="preserve"> or </w:t>
      </w:r>
      <w:r w:rsidR="00E87965" w:rsidRPr="009B5734">
        <w:rPr>
          <w:rFonts w:ascii="Times New Roman" w:hAnsi="Times New Roman" w:cs="Times New Roman"/>
          <w:noProof/>
          <w:sz w:val="24"/>
          <w:szCs w:val="24"/>
        </w:rPr>
        <w:t xml:space="preserve">where manufacturers chose to provide such information voluntarily. It is also complementary to potential future Ecodesign/SPI requirements which may provide for further specifications concerning what repair information should be </w:t>
      </w:r>
      <w:r w:rsidR="006F5FE4" w:rsidRPr="009B5734">
        <w:rPr>
          <w:rFonts w:ascii="Times New Roman" w:hAnsi="Times New Roman" w:cs="Times New Roman"/>
          <w:noProof/>
          <w:sz w:val="24"/>
          <w:szCs w:val="24"/>
        </w:rPr>
        <w:t xml:space="preserve">provided </w:t>
      </w:r>
      <w:r w:rsidR="00E87965" w:rsidRPr="009B5734">
        <w:rPr>
          <w:rFonts w:ascii="Times New Roman" w:hAnsi="Times New Roman" w:cs="Times New Roman"/>
          <w:noProof/>
          <w:sz w:val="24"/>
          <w:szCs w:val="24"/>
        </w:rPr>
        <w:t>for specific product categories</w:t>
      </w:r>
      <w:r w:rsidR="003F7AD5">
        <w:rPr>
          <w:rFonts w:ascii="Times New Roman" w:hAnsi="Times New Roman" w:cs="Times New Roman"/>
          <w:noProof/>
          <w:sz w:val="24"/>
          <w:szCs w:val="24"/>
        </w:rPr>
        <w:t>, possibly also</w:t>
      </w:r>
      <w:r w:rsidR="00F46F51" w:rsidRPr="009B5734">
        <w:rPr>
          <w:rFonts w:ascii="Times New Roman" w:hAnsi="Times New Roman" w:cs="Times New Roman"/>
          <w:noProof/>
          <w:sz w:val="24"/>
          <w:szCs w:val="24"/>
        </w:rPr>
        <w:t xml:space="preserve"> in the form a Digital Product Passport. </w:t>
      </w:r>
      <w:r w:rsidR="003F7AD5">
        <w:rPr>
          <w:rFonts w:ascii="Times New Roman" w:hAnsi="Times New Roman" w:cs="Times New Roman"/>
          <w:noProof/>
          <w:sz w:val="24"/>
          <w:szCs w:val="24"/>
        </w:rPr>
        <w:t xml:space="preserve">Whereas </w:t>
      </w:r>
      <w:r w:rsidR="00706B52">
        <w:rPr>
          <w:rFonts w:ascii="Times New Roman" w:hAnsi="Times New Roman" w:cs="Times New Roman"/>
          <w:noProof/>
          <w:sz w:val="24"/>
          <w:szCs w:val="24"/>
        </w:rPr>
        <w:t xml:space="preserve">future SPI measure might thus specify how reparability information should be made available to consumers for specific products, </w:t>
      </w:r>
      <w:r w:rsidR="00F46F51" w:rsidRPr="009B5734">
        <w:rPr>
          <w:rFonts w:ascii="Times New Roman" w:hAnsi="Times New Roman" w:cs="Times New Roman"/>
          <w:noProof/>
          <w:sz w:val="24"/>
          <w:szCs w:val="24"/>
        </w:rPr>
        <w:t xml:space="preserve">option 1.3.E would require </w:t>
      </w:r>
      <w:r w:rsidR="00706B52">
        <w:rPr>
          <w:rFonts w:ascii="Times New Roman" w:hAnsi="Times New Roman" w:cs="Times New Roman"/>
          <w:noProof/>
          <w:sz w:val="24"/>
          <w:szCs w:val="24"/>
        </w:rPr>
        <w:t xml:space="preserve">such </w:t>
      </w:r>
      <w:r w:rsidR="00F46F51" w:rsidRPr="009B5734">
        <w:rPr>
          <w:rFonts w:ascii="Times New Roman" w:hAnsi="Times New Roman" w:cs="Times New Roman"/>
          <w:noProof/>
          <w:sz w:val="24"/>
          <w:szCs w:val="24"/>
        </w:rPr>
        <w:t>information to be provided at the point of sale in a clear and legible form</w:t>
      </w:r>
      <w:r w:rsidR="003F7AD5">
        <w:rPr>
          <w:rFonts w:ascii="Times New Roman" w:hAnsi="Times New Roman" w:cs="Times New Roman"/>
          <w:noProof/>
          <w:sz w:val="24"/>
          <w:szCs w:val="24"/>
        </w:rPr>
        <w:t xml:space="preserve"> for an open range of products</w:t>
      </w:r>
      <w:r w:rsidR="001E796C" w:rsidRPr="009B5734">
        <w:rPr>
          <w:rFonts w:ascii="Times New Roman" w:hAnsi="Times New Roman" w:cs="Times New Roman"/>
          <w:noProof/>
          <w:sz w:val="24"/>
          <w:szCs w:val="24"/>
        </w:rPr>
        <w:t>.</w:t>
      </w:r>
    </w:p>
    <w:p w:rsidR="000208FA" w:rsidRPr="009B5734" w:rsidRDefault="000208FA" w:rsidP="006B18B5">
      <w:pPr>
        <w:pStyle w:val="Heading5"/>
        <w:rPr>
          <w:rFonts w:ascii="Times New Roman" w:hAnsi="Times New Roman" w:cs="Times New Roman"/>
          <w:i w:val="0"/>
          <w:noProof/>
          <w:sz w:val="24"/>
        </w:rPr>
      </w:pPr>
      <w:bookmarkStart w:id="192" w:name="_Toc58149050"/>
      <w:bookmarkStart w:id="193" w:name="_Toc58222428"/>
      <w:bookmarkStart w:id="194" w:name="_Toc60734040"/>
      <w:bookmarkStart w:id="195" w:name="_Toc58603225"/>
      <w:bookmarkStart w:id="196" w:name="_Toc58604085"/>
      <w:bookmarkStart w:id="197" w:name="_Toc58605402"/>
      <w:r w:rsidRPr="009B5734">
        <w:rPr>
          <w:rFonts w:ascii="Times New Roman" w:hAnsi="Times New Roman" w:cs="Times New Roman"/>
          <w:i w:val="0"/>
          <w:noProof/>
          <w:sz w:val="24"/>
        </w:rPr>
        <w:t>How do the options compare?</w:t>
      </w:r>
      <w:bookmarkEnd w:id="192"/>
      <w:bookmarkEnd w:id="193"/>
      <w:bookmarkEnd w:id="194"/>
      <w:r w:rsidRPr="009B5734">
        <w:rPr>
          <w:rFonts w:ascii="Times New Roman" w:hAnsi="Times New Roman" w:cs="Times New Roman"/>
          <w:i w:val="0"/>
          <w:noProof/>
          <w:sz w:val="24"/>
        </w:rPr>
        <w:t xml:space="preserve"> </w:t>
      </w:r>
      <w:bookmarkEnd w:id="195"/>
      <w:bookmarkEnd w:id="196"/>
      <w:bookmarkEnd w:id="197"/>
    </w:p>
    <w:p w:rsidR="00D42297" w:rsidRPr="009B5734" w:rsidRDefault="007F77C2" w:rsidP="002A27A8">
      <w:pPr>
        <w:pStyle w:val="Text2"/>
        <w:ind w:left="0" w:firstLine="0"/>
        <w:rPr>
          <w:noProof/>
        </w:rPr>
      </w:pPr>
      <w:r w:rsidRPr="009B5734">
        <w:rPr>
          <w:noProof/>
        </w:rPr>
        <w:t xml:space="preserve">The results of the MCA </w:t>
      </w:r>
      <w:r w:rsidR="008D1FE9" w:rsidRPr="009B5734">
        <w:rPr>
          <w:noProof/>
        </w:rPr>
        <w:t xml:space="preserve">and sensitivity </w:t>
      </w:r>
      <w:r w:rsidRPr="009B5734">
        <w:rPr>
          <w:noProof/>
        </w:rPr>
        <w:t>analysis</w:t>
      </w:r>
      <w:r w:rsidRPr="009B5734">
        <w:rPr>
          <w:rStyle w:val="FootnoteReference"/>
          <w:noProof/>
          <w:szCs w:val="24"/>
        </w:rPr>
        <w:footnoteReference w:id="111"/>
      </w:r>
      <w:r w:rsidRPr="009B5734">
        <w:rPr>
          <w:noProof/>
        </w:rPr>
        <w:t xml:space="preserve"> </w:t>
      </w:r>
      <w:r w:rsidR="00FF080F" w:rsidRPr="009B5734">
        <w:rPr>
          <w:noProof/>
        </w:rPr>
        <w:t xml:space="preserve">(presented in </w:t>
      </w:r>
      <w:hyperlink w:anchor="_Sub-problem_1.3:_Lack" w:history="1">
        <w:r w:rsidR="00FF080F" w:rsidRPr="009B5734">
          <w:rPr>
            <w:rStyle w:val="Hyperlink"/>
            <w:noProof/>
          </w:rPr>
          <w:t xml:space="preserve">Annex </w:t>
        </w:r>
        <w:r w:rsidR="00D96CC0" w:rsidRPr="009B5734">
          <w:rPr>
            <w:rStyle w:val="Hyperlink"/>
            <w:noProof/>
          </w:rPr>
          <w:t>9</w:t>
        </w:r>
        <w:r w:rsidR="00FF080F" w:rsidRPr="009B5734">
          <w:rPr>
            <w:rStyle w:val="Hyperlink"/>
            <w:noProof/>
          </w:rPr>
          <w:t xml:space="preserve">, </w:t>
        </w:r>
        <w:r w:rsidR="00A508E8" w:rsidRPr="009B5734">
          <w:rPr>
            <w:rStyle w:val="Hyperlink"/>
            <w:noProof/>
          </w:rPr>
          <w:t>se</w:t>
        </w:r>
        <w:r w:rsidR="009B0C84" w:rsidRPr="009B5734">
          <w:rPr>
            <w:rStyle w:val="Hyperlink"/>
            <w:noProof/>
          </w:rPr>
          <w:t>ction 2.2</w:t>
        </w:r>
      </w:hyperlink>
      <w:r w:rsidR="00FF080F" w:rsidRPr="009B5734">
        <w:rPr>
          <w:noProof/>
        </w:rPr>
        <w:t xml:space="preserve">) </w:t>
      </w:r>
      <w:r w:rsidRPr="009B5734">
        <w:rPr>
          <w:noProof/>
        </w:rPr>
        <w:t>shows that</w:t>
      </w:r>
      <w:r w:rsidR="008D1FE9" w:rsidRPr="009B5734">
        <w:rPr>
          <w:noProof/>
        </w:rPr>
        <w:t xml:space="preserve"> </w:t>
      </w:r>
      <w:r w:rsidR="008D1FE9" w:rsidRPr="009B5734">
        <w:rPr>
          <w:b/>
          <w:noProof/>
        </w:rPr>
        <w:t>option 1.3.E</w:t>
      </w:r>
      <w:r w:rsidR="008D1FE9" w:rsidRPr="009B5734">
        <w:rPr>
          <w:noProof/>
        </w:rPr>
        <w:t xml:space="preserve"> </w:t>
      </w:r>
      <w:r w:rsidR="00DE7EE1" w:rsidRPr="009B5734">
        <w:rPr>
          <w:noProof/>
          <w:szCs w:val="24"/>
        </w:rPr>
        <w:t>(provision of Repair Scoring Index, or other relevant repair information on a where applicable/available basis)</w:t>
      </w:r>
      <w:r w:rsidR="00DE7EE1" w:rsidRPr="009B5734">
        <w:rPr>
          <w:noProof/>
        </w:rPr>
        <w:t xml:space="preserve"> </w:t>
      </w:r>
      <w:r w:rsidR="008D1FE9" w:rsidRPr="009B5734">
        <w:rPr>
          <w:noProof/>
        </w:rPr>
        <w:t>ranks either highest or joint highest in all scenarios. In a number of scenarios, including</w:t>
      </w:r>
      <w:r w:rsidR="00614260" w:rsidRPr="009B5734">
        <w:rPr>
          <w:noProof/>
        </w:rPr>
        <w:t xml:space="preserve"> the default scenario</w:t>
      </w:r>
      <w:r w:rsidR="008D1FE9" w:rsidRPr="009B5734">
        <w:rPr>
          <w:noProof/>
        </w:rPr>
        <w:t>, o</w:t>
      </w:r>
      <w:r w:rsidR="00614260" w:rsidRPr="009B5734">
        <w:rPr>
          <w:noProof/>
        </w:rPr>
        <w:t>ption 1.3.E ranks the highest, followed by option 1.3.B</w:t>
      </w:r>
      <w:r w:rsidR="00D4305B" w:rsidRPr="009B5734">
        <w:rPr>
          <w:noProof/>
        </w:rPr>
        <w:t xml:space="preserve"> </w:t>
      </w:r>
      <w:r w:rsidR="00D4305B" w:rsidRPr="009B5734">
        <w:rPr>
          <w:noProof/>
          <w:szCs w:val="24"/>
        </w:rPr>
        <w:t>(provision of information about how long and which spare parts are available)</w:t>
      </w:r>
      <w:r w:rsidR="00614260" w:rsidRPr="009B5734">
        <w:rPr>
          <w:noProof/>
          <w:szCs w:val="24"/>
        </w:rPr>
        <w:t xml:space="preserve">, the </w:t>
      </w:r>
      <w:r w:rsidR="00614260" w:rsidRPr="009B5734">
        <w:rPr>
          <w:noProof/>
        </w:rPr>
        <w:t>baseline, option 1.3.D</w:t>
      </w:r>
      <w:r w:rsidR="00D4305B" w:rsidRPr="009B5734">
        <w:rPr>
          <w:noProof/>
        </w:rPr>
        <w:t xml:space="preserve"> (provision of a Reparability Scoring Index)</w:t>
      </w:r>
      <w:r w:rsidR="00614260" w:rsidRPr="009B5734">
        <w:rPr>
          <w:noProof/>
        </w:rPr>
        <w:t>, option 1.3.A</w:t>
      </w:r>
      <w:r w:rsidR="00D4305B" w:rsidRPr="009B5734">
        <w:rPr>
          <w:noProof/>
        </w:rPr>
        <w:t xml:space="preserve"> (provision of updated, user-friendly repair and user manuals)</w:t>
      </w:r>
      <w:r w:rsidR="00614260" w:rsidRPr="009B5734">
        <w:rPr>
          <w:noProof/>
        </w:rPr>
        <w:t xml:space="preserve"> and 1.3.C</w:t>
      </w:r>
      <w:r w:rsidR="00D4305B" w:rsidRPr="009B5734">
        <w:rPr>
          <w:noProof/>
        </w:rPr>
        <w:t xml:space="preserve"> (provision of information on availability of repair services)</w:t>
      </w:r>
      <w:r w:rsidR="00614260" w:rsidRPr="009B5734">
        <w:rPr>
          <w:noProof/>
        </w:rPr>
        <w:t xml:space="preserve"> in that order. </w:t>
      </w:r>
      <w:r w:rsidR="008D1FE9" w:rsidRPr="009B5734">
        <w:rPr>
          <w:noProof/>
        </w:rPr>
        <w:t>In a number of other scenarios, option 1.3.E ranks joint highest with option 1.3.B.</w:t>
      </w:r>
    </w:p>
    <w:p w:rsidR="008D4F08" w:rsidRPr="009B5734" w:rsidRDefault="001653D6" w:rsidP="002A27A8">
      <w:pPr>
        <w:pStyle w:val="Text2"/>
        <w:ind w:left="0" w:firstLine="0"/>
        <w:rPr>
          <w:noProof/>
        </w:rPr>
      </w:pPr>
      <w:r w:rsidRPr="009B5734">
        <w:rPr>
          <w:noProof/>
        </w:rPr>
        <w:t>When looking at the proportionality of the options, t</w:t>
      </w:r>
      <w:r w:rsidR="00BE3101" w:rsidRPr="009B5734">
        <w:rPr>
          <w:noProof/>
        </w:rPr>
        <w:t>he</w:t>
      </w:r>
      <w:r w:rsidR="005E0138" w:rsidRPr="009B5734">
        <w:rPr>
          <w:noProof/>
        </w:rPr>
        <w:t xml:space="preserve"> </w:t>
      </w:r>
      <w:r w:rsidR="00851429" w:rsidRPr="009B5734">
        <w:rPr>
          <w:noProof/>
        </w:rPr>
        <w:t>MCA shows that the tangible and intangible costs of option</w:t>
      </w:r>
      <w:r w:rsidR="002879B8" w:rsidRPr="009B5734">
        <w:rPr>
          <w:noProof/>
        </w:rPr>
        <w:t>s</w:t>
      </w:r>
      <w:r w:rsidR="00851429" w:rsidRPr="009B5734">
        <w:rPr>
          <w:noProof/>
        </w:rPr>
        <w:t xml:space="preserve"> </w:t>
      </w:r>
      <w:r w:rsidR="002879B8" w:rsidRPr="009B5734">
        <w:rPr>
          <w:noProof/>
        </w:rPr>
        <w:t xml:space="preserve">1.3.B, 1.3.D, and </w:t>
      </w:r>
      <w:r w:rsidR="00851429" w:rsidRPr="009B5734">
        <w:rPr>
          <w:noProof/>
        </w:rPr>
        <w:t>1.3.E</w:t>
      </w:r>
      <w:r w:rsidR="00A76154">
        <w:rPr>
          <w:noProof/>
        </w:rPr>
        <w:t>, including</w:t>
      </w:r>
      <w:r w:rsidR="00851429" w:rsidRPr="009B5734">
        <w:rPr>
          <w:noProof/>
        </w:rPr>
        <w:t xml:space="preserve"> </w:t>
      </w:r>
      <w:r w:rsidR="00A76154">
        <w:rPr>
          <w:noProof/>
        </w:rPr>
        <w:t xml:space="preserve">on businesses and public administrations, </w:t>
      </w:r>
      <w:r w:rsidR="00851429" w:rsidRPr="009B5734">
        <w:rPr>
          <w:noProof/>
        </w:rPr>
        <w:t xml:space="preserve">are outweighed by </w:t>
      </w:r>
      <w:r w:rsidR="002879B8" w:rsidRPr="009B5734">
        <w:rPr>
          <w:noProof/>
        </w:rPr>
        <w:t>their</w:t>
      </w:r>
      <w:r w:rsidR="00851429" w:rsidRPr="009B5734">
        <w:rPr>
          <w:noProof/>
        </w:rPr>
        <w:t xml:space="preserve"> expected benefits </w:t>
      </w:r>
      <w:r w:rsidR="00A76154">
        <w:rPr>
          <w:noProof/>
        </w:rPr>
        <w:t xml:space="preserve">to consumers and </w:t>
      </w:r>
      <w:r w:rsidR="00A76154">
        <w:rPr>
          <w:noProof/>
          <w:szCs w:val="24"/>
        </w:rPr>
        <w:t>the environment</w:t>
      </w:r>
      <w:r w:rsidR="00A76154">
        <w:rPr>
          <w:noProof/>
        </w:rPr>
        <w:t xml:space="preserve"> </w:t>
      </w:r>
      <w:r w:rsidR="00851429" w:rsidRPr="009B5734">
        <w:rPr>
          <w:noProof/>
        </w:rPr>
        <w:t xml:space="preserve">(even in the worst case scenario). </w:t>
      </w:r>
    </w:p>
    <w:p w:rsidR="00771370" w:rsidRPr="009B5734" w:rsidRDefault="00A00208" w:rsidP="00A00208">
      <w:pPr>
        <w:pStyle w:val="Heading2"/>
        <w:rPr>
          <w:noProof/>
        </w:rPr>
      </w:pPr>
      <w:bookmarkStart w:id="198" w:name="_Toc58149051"/>
      <w:bookmarkStart w:id="199" w:name="_Toc58604086"/>
      <w:bookmarkStart w:id="200" w:name="_Toc77844239"/>
      <w:bookmarkStart w:id="201" w:name="_Toc86391742"/>
      <w:r w:rsidRPr="00A00208">
        <w:t>6.2.</w:t>
      </w:r>
      <w:r w:rsidRPr="00A00208">
        <w:tab/>
      </w:r>
      <w:r w:rsidR="00771370" w:rsidRPr="009B5734">
        <w:rPr>
          <w:noProof/>
        </w:rPr>
        <w:t xml:space="preserve">Problem 2: Consumers face </w:t>
      </w:r>
      <w:r w:rsidR="00F166B4" w:rsidRPr="009B5734">
        <w:rPr>
          <w:noProof/>
        </w:rPr>
        <w:t>misleading commercial</w:t>
      </w:r>
      <w:r w:rsidR="00771370" w:rsidRPr="009B5734">
        <w:rPr>
          <w:noProof/>
        </w:rPr>
        <w:t xml:space="preserve"> practices</w:t>
      </w:r>
      <w:bookmarkEnd w:id="198"/>
      <w:bookmarkEnd w:id="199"/>
      <w:r w:rsidR="00832DAC" w:rsidRPr="009B5734">
        <w:rPr>
          <w:noProof/>
        </w:rPr>
        <w:t xml:space="preserve"> </w:t>
      </w:r>
      <w:r w:rsidR="0080633B">
        <w:rPr>
          <w:noProof/>
        </w:rPr>
        <w:t>related</w:t>
      </w:r>
      <w:r w:rsidR="00832DAC" w:rsidRPr="009B5734">
        <w:rPr>
          <w:noProof/>
        </w:rPr>
        <w:t xml:space="preserve"> to </w:t>
      </w:r>
      <w:r w:rsidR="0080633B">
        <w:rPr>
          <w:noProof/>
        </w:rPr>
        <w:t>the sustainability of products</w:t>
      </w:r>
      <w:bookmarkEnd w:id="200"/>
      <w:bookmarkEnd w:id="201"/>
    </w:p>
    <w:p w:rsidR="00045AD4" w:rsidRPr="0084232A" w:rsidRDefault="00A00208" w:rsidP="00A00208">
      <w:pPr>
        <w:pStyle w:val="Heading4"/>
        <w:rPr>
          <w:noProof/>
        </w:rPr>
      </w:pPr>
      <w:bookmarkStart w:id="202" w:name="_Toc58149052"/>
      <w:bookmarkStart w:id="203" w:name="_Toc58604087"/>
      <w:r w:rsidRPr="00A00208">
        <w:t>6.2.1.</w:t>
      </w:r>
      <w:r w:rsidRPr="00A00208">
        <w:tab/>
      </w:r>
      <w:r w:rsidR="00C571F9" w:rsidRPr="005D24D2">
        <w:rPr>
          <w:noProof/>
        </w:rPr>
        <w:t>Sub-Problem 2</w:t>
      </w:r>
      <w:r w:rsidR="00771370" w:rsidRPr="005D24D2">
        <w:rPr>
          <w:noProof/>
        </w:rPr>
        <w:t xml:space="preserve">.1: </w:t>
      </w:r>
      <w:r w:rsidR="00C571F9" w:rsidRPr="005D24D2">
        <w:rPr>
          <w:noProof/>
        </w:rPr>
        <w:t>Consumers are sold products that do not last as long as they should and consumers expect</w:t>
      </w:r>
      <w:bookmarkEnd w:id="202"/>
      <w:bookmarkEnd w:id="203"/>
    </w:p>
    <w:tbl>
      <w:tblPr>
        <w:tblStyle w:val="TableGrid"/>
        <w:tblW w:w="8897" w:type="dxa"/>
        <w:tblLook w:val="04A0" w:firstRow="1" w:lastRow="0" w:firstColumn="1" w:lastColumn="0" w:noHBand="0" w:noVBand="1"/>
      </w:tblPr>
      <w:tblGrid>
        <w:gridCol w:w="4219"/>
        <w:gridCol w:w="4678"/>
      </w:tblGrid>
      <w:tr w:rsidR="0012211B" w:rsidRPr="009B5734" w:rsidTr="0012211B">
        <w:trPr>
          <w:trHeight w:val="251"/>
        </w:trPr>
        <w:tc>
          <w:tcPr>
            <w:tcW w:w="4219" w:type="dxa"/>
          </w:tcPr>
          <w:p w:rsidR="0012211B" w:rsidRPr="009B5734" w:rsidRDefault="0012211B" w:rsidP="00463900">
            <w:pPr>
              <w:pStyle w:val="Text2"/>
              <w:ind w:left="0" w:firstLine="0"/>
              <w:rPr>
                <w:noProof/>
                <w:sz w:val="20"/>
              </w:rPr>
            </w:pPr>
            <w:r w:rsidRPr="009B5734">
              <w:rPr>
                <w:b/>
                <w:noProof/>
                <w:sz w:val="20"/>
              </w:rPr>
              <w:t xml:space="preserve">Option 2.1.A: </w:t>
            </w:r>
            <w:r w:rsidRPr="009B5734">
              <w:rPr>
                <w:noProof/>
                <w:sz w:val="20"/>
              </w:rPr>
              <w:t>Collection of evidence on early failures of products identified by authorised entities</w:t>
            </w:r>
          </w:p>
        </w:tc>
        <w:tc>
          <w:tcPr>
            <w:tcW w:w="4678" w:type="dxa"/>
          </w:tcPr>
          <w:p w:rsidR="0012211B" w:rsidRPr="009B5734" w:rsidRDefault="0012211B" w:rsidP="00463900">
            <w:pPr>
              <w:pStyle w:val="Text2"/>
              <w:ind w:left="0" w:firstLine="0"/>
              <w:rPr>
                <w:noProof/>
                <w:sz w:val="20"/>
              </w:rPr>
            </w:pPr>
            <w:r w:rsidRPr="009B5734">
              <w:rPr>
                <w:b/>
                <w:noProof/>
                <w:sz w:val="20"/>
              </w:rPr>
              <w:t xml:space="preserve">Option 2.1.B: </w:t>
            </w:r>
            <w:r w:rsidRPr="009B5734">
              <w:rPr>
                <w:noProof/>
                <w:sz w:val="20"/>
              </w:rPr>
              <w:t>Ban of certain identified practices associated with early obsolescence</w:t>
            </w:r>
          </w:p>
        </w:tc>
      </w:tr>
    </w:tbl>
    <w:p w:rsidR="00764E91" w:rsidRPr="009B5734" w:rsidRDefault="006A448C" w:rsidP="006B18B5">
      <w:pPr>
        <w:pStyle w:val="Heading5"/>
        <w:rPr>
          <w:rFonts w:ascii="Times New Roman" w:hAnsi="Times New Roman" w:cs="Times New Roman"/>
          <w:i w:val="0"/>
          <w:noProof/>
          <w:sz w:val="24"/>
        </w:rPr>
      </w:pPr>
      <w:bookmarkStart w:id="204" w:name="_Toc58149053"/>
      <w:bookmarkStart w:id="205" w:name="_Toc58222431"/>
      <w:bookmarkStart w:id="206" w:name="_Toc58603228"/>
      <w:bookmarkStart w:id="207" w:name="_Toc58604088"/>
      <w:bookmarkStart w:id="208" w:name="_Toc58605405"/>
      <w:bookmarkStart w:id="209" w:name="_Toc60734043"/>
      <w:r w:rsidRPr="009B5734">
        <w:rPr>
          <w:rFonts w:ascii="Times New Roman" w:hAnsi="Times New Roman" w:cs="Times New Roman"/>
          <w:i w:val="0"/>
          <w:noProof/>
          <w:sz w:val="24"/>
        </w:rPr>
        <w:t>Impacts</w:t>
      </w:r>
      <w:r w:rsidR="009A2B3C" w:rsidRPr="009B5734">
        <w:rPr>
          <w:rFonts w:ascii="Times New Roman" w:hAnsi="Times New Roman" w:cs="Times New Roman"/>
          <w:i w:val="0"/>
          <w:noProof/>
          <w:sz w:val="24"/>
        </w:rPr>
        <w:t xml:space="preserve"> of </w:t>
      </w:r>
      <w:r w:rsidR="009A2B3C" w:rsidRPr="009B5734">
        <w:rPr>
          <w:rStyle w:val="highlight"/>
          <w:rFonts w:ascii="Times New Roman" w:hAnsi="Times New Roman" w:cs="Times New Roman"/>
          <w:i w:val="0"/>
          <w:noProof/>
          <w:sz w:val="24"/>
        </w:rPr>
        <w:t>the</w:t>
      </w:r>
      <w:r w:rsidR="009A2B3C" w:rsidRPr="009B5734">
        <w:rPr>
          <w:rFonts w:ascii="Times New Roman" w:hAnsi="Times New Roman" w:cs="Times New Roman"/>
          <w:i w:val="0"/>
          <w:noProof/>
          <w:sz w:val="24"/>
        </w:rPr>
        <w:t xml:space="preserve"> policy options</w:t>
      </w:r>
      <w:bookmarkEnd w:id="204"/>
      <w:bookmarkEnd w:id="205"/>
      <w:bookmarkEnd w:id="206"/>
      <w:bookmarkEnd w:id="207"/>
      <w:bookmarkEnd w:id="208"/>
      <w:bookmarkEnd w:id="209"/>
    </w:p>
    <w:p w:rsidR="0069378C" w:rsidRPr="009B5734" w:rsidRDefault="0069378C" w:rsidP="003122AA">
      <w:pPr>
        <w:pStyle w:val="Text2"/>
        <w:spacing w:after="0"/>
        <w:ind w:left="0" w:firstLine="0"/>
        <w:rPr>
          <w:i/>
          <w:noProof/>
        </w:rPr>
      </w:pPr>
      <w:r w:rsidRPr="009B5734">
        <w:rPr>
          <w:i/>
          <w:noProof/>
        </w:rPr>
        <w:t>Impacts on consumers:</w:t>
      </w:r>
    </w:p>
    <w:p w:rsidR="00752FFB" w:rsidRPr="009B5734" w:rsidRDefault="00313307" w:rsidP="00752FFB">
      <w:pPr>
        <w:ind w:left="0" w:firstLine="0"/>
        <w:rPr>
          <w:rFonts w:ascii="Times New Roman" w:hAnsi="Times New Roman" w:cs="Times New Roman"/>
          <w:noProof/>
          <w:sz w:val="24"/>
        </w:rPr>
      </w:pPr>
      <w:r w:rsidRPr="009B5734">
        <w:rPr>
          <w:rFonts w:ascii="Times New Roman" w:hAnsi="Times New Roman"/>
          <w:noProof/>
          <w:sz w:val="24"/>
        </w:rPr>
        <w:t xml:space="preserve">The </w:t>
      </w:r>
      <w:r w:rsidRPr="009B5734">
        <w:rPr>
          <w:rFonts w:ascii="Times New Roman" w:hAnsi="Times New Roman"/>
          <w:b/>
          <w:noProof/>
          <w:sz w:val="24"/>
        </w:rPr>
        <w:t>collection of evidence on early failures of products identified by authorised entities</w:t>
      </w:r>
      <w:r w:rsidRPr="009B5734">
        <w:rPr>
          <w:rFonts w:ascii="Times New Roman" w:hAnsi="Times New Roman"/>
          <w:noProof/>
          <w:sz w:val="24"/>
        </w:rPr>
        <w:t>, as</w:t>
      </w:r>
      <w:r w:rsidRPr="009B5734">
        <w:rPr>
          <w:rFonts w:ascii="Times New Roman" w:hAnsi="Times New Roman"/>
          <w:b/>
          <w:noProof/>
          <w:sz w:val="24"/>
        </w:rPr>
        <w:t xml:space="preserve"> </w:t>
      </w:r>
      <w:r w:rsidRPr="009B5734">
        <w:rPr>
          <w:rFonts w:ascii="Times New Roman" w:hAnsi="Times New Roman"/>
          <w:noProof/>
          <w:sz w:val="24"/>
        </w:rPr>
        <w:t>considered under</w:t>
      </w:r>
      <w:r w:rsidRPr="009B5734">
        <w:rPr>
          <w:rFonts w:ascii="Times New Roman" w:hAnsi="Times New Roman"/>
          <w:b/>
          <w:noProof/>
          <w:sz w:val="24"/>
        </w:rPr>
        <w:t xml:space="preserve"> o</w:t>
      </w:r>
      <w:r w:rsidR="00752FFB" w:rsidRPr="009B5734">
        <w:rPr>
          <w:rFonts w:ascii="Times New Roman" w:hAnsi="Times New Roman"/>
          <w:b/>
          <w:noProof/>
          <w:sz w:val="24"/>
        </w:rPr>
        <w:t>ption 2.1.A</w:t>
      </w:r>
      <w:r w:rsidRPr="009B5734">
        <w:rPr>
          <w:rFonts w:ascii="Times New Roman" w:hAnsi="Times New Roman"/>
          <w:noProof/>
          <w:sz w:val="24"/>
        </w:rPr>
        <w:t>,</w:t>
      </w:r>
      <w:r w:rsidR="00D12C1C" w:rsidRPr="009B5734">
        <w:rPr>
          <w:rFonts w:ascii="Times New Roman" w:hAnsi="Times New Roman"/>
          <w:noProof/>
          <w:sz w:val="24"/>
        </w:rPr>
        <w:t xml:space="preserve"> is expected to help consumers become aware of possible problems with certain product</w:t>
      </w:r>
      <w:r w:rsidR="002A3EEC" w:rsidRPr="009B5734">
        <w:rPr>
          <w:rFonts w:ascii="Times New Roman" w:hAnsi="Times New Roman"/>
          <w:noProof/>
          <w:sz w:val="24"/>
        </w:rPr>
        <w:t xml:space="preserve"> models</w:t>
      </w:r>
      <w:r w:rsidR="00D12C1C" w:rsidRPr="009B5734">
        <w:rPr>
          <w:rFonts w:ascii="Times New Roman" w:hAnsi="Times New Roman"/>
          <w:noProof/>
          <w:sz w:val="24"/>
        </w:rPr>
        <w:t xml:space="preserve"> and therefore take better informed decisions. The effectiveness of the</w:t>
      </w:r>
      <w:r w:rsidR="00D12C1C" w:rsidRPr="009B5734" w:rsidDel="009D4E04">
        <w:rPr>
          <w:rFonts w:ascii="Times New Roman" w:hAnsi="Times New Roman"/>
          <w:noProof/>
          <w:sz w:val="24"/>
        </w:rPr>
        <w:t xml:space="preserve"> </w:t>
      </w:r>
      <w:r w:rsidR="009D4E04" w:rsidRPr="009B5734">
        <w:rPr>
          <w:rFonts w:ascii="Times New Roman" w:hAnsi="Times New Roman"/>
          <w:noProof/>
          <w:sz w:val="24"/>
        </w:rPr>
        <w:t>option</w:t>
      </w:r>
      <w:r w:rsidR="00D12C1C" w:rsidRPr="009B5734">
        <w:rPr>
          <w:rFonts w:ascii="Times New Roman" w:hAnsi="Times New Roman"/>
          <w:noProof/>
          <w:sz w:val="24"/>
        </w:rPr>
        <w:t xml:space="preserve"> </w:t>
      </w:r>
      <w:r w:rsidR="00D12C1C" w:rsidRPr="009B5734">
        <w:rPr>
          <w:rFonts w:ascii="Times New Roman" w:hAnsi="Times New Roman"/>
          <w:b/>
          <w:noProof/>
          <w:sz w:val="24"/>
        </w:rPr>
        <w:t xml:space="preserve">might be reduced by the fact that the consumers will have to actively look for the information on the websites of </w:t>
      </w:r>
      <w:r w:rsidR="002A3EEC" w:rsidRPr="009B5734">
        <w:rPr>
          <w:rFonts w:ascii="Times New Roman" w:hAnsi="Times New Roman"/>
          <w:b/>
          <w:noProof/>
          <w:sz w:val="24"/>
        </w:rPr>
        <w:t xml:space="preserve">the authorised entities </w:t>
      </w:r>
      <w:r w:rsidR="00D12C1C" w:rsidRPr="009B5734">
        <w:rPr>
          <w:rFonts w:ascii="Times New Roman" w:hAnsi="Times New Roman"/>
          <w:noProof/>
          <w:sz w:val="24"/>
        </w:rPr>
        <w:t>(</w:t>
      </w:r>
      <w:r w:rsidR="002A3EEC" w:rsidRPr="009B5734">
        <w:rPr>
          <w:rFonts w:ascii="Times New Roman" w:hAnsi="Times New Roman"/>
          <w:noProof/>
          <w:sz w:val="24"/>
        </w:rPr>
        <w:t xml:space="preserve">e.g. </w:t>
      </w:r>
      <w:r w:rsidR="00D12C1C" w:rsidRPr="009B5734">
        <w:rPr>
          <w:rFonts w:ascii="Times New Roman" w:hAnsi="Times New Roman"/>
          <w:noProof/>
          <w:sz w:val="24"/>
        </w:rPr>
        <w:t xml:space="preserve">consumer organisations). The share of products effectively covered will </w:t>
      </w:r>
      <w:r w:rsidR="00D12C1C" w:rsidRPr="009B5734">
        <w:rPr>
          <w:rFonts w:ascii="Times New Roman" w:hAnsi="Times New Roman"/>
          <w:b/>
          <w:noProof/>
          <w:sz w:val="24"/>
        </w:rPr>
        <w:t xml:space="preserve">depend on voluntary actions </w:t>
      </w:r>
      <w:r w:rsidR="00AC1AB5" w:rsidRPr="009B5734">
        <w:rPr>
          <w:rFonts w:ascii="Times New Roman" w:hAnsi="Times New Roman"/>
          <w:b/>
          <w:noProof/>
          <w:sz w:val="24"/>
        </w:rPr>
        <w:t xml:space="preserve">and evidence collected by </w:t>
      </w:r>
      <w:r w:rsidR="002A3EEC" w:rsidRPr="009B5734">
        <w:rPr>
          <w:rFonts w:ascii="Times New Roman" w:hAnsi="Times New Roman"/>
          <w:b/>
          <w:noProof/>
          <w:sz w:val="24"/>
        </w:rPr>
        <w:t>those</w:t>
      </w:r>
      <w:r w:rsidR="00AC1AB5" w:rsidRPr="009B5734">
        <w:rPr>
          <w:rFonts w:ascii="Times New Roman" w:hAnsi="Times New Roman"/>
          <w:b/>
          <w:noProof/>
          <w:sz w:val="24"/>
        </w:rPr>
        <w:t xml:space="preserve"> entities</w:t>
      </w:r>
      <w:r w:rsidR="002A3EEC" w:rsidRPr="009B5734">
        <w:rPr>
          <w:rFonts w:ascii="Times New Roman" w:hAnsi="Times New Roman"/>
          <w:noProof/>
          <w:sz w:val="24"/>
        </w:rPr>
        <w:t>, so t</w:t>
      </w:r>
      <w:r w:rsidR="00D12C1C" w:rsidRPr="009B5734">
        <w:rPr>
          <w:rFonts w:ascii="Times New Roman" w:hAnsi="Times New Roman"/>
          <w:noProof/>
          <w:sz w:val="24"/>
        </w:rPr>
        <w:t>he sample of products may not be fully balanced. T</w:t>
      </w:r>
      <w:r w:rsidR="0069378C" w:rsidRPr="009B5734">
        <w:rPr>
          <w:rFonts w:ascii="Times New Roman" w:hAnsi="Times New Roman"/>
          <w:noProof/>
          <w:sz w:val="24"/>
        </w:rPr>
        <w:t>his</w:t>
      </w:r>
      <w:r w:rsidR="0069378C" w:rsidRPr="009B5734" w:rsidDel="009D4E04">
        <w:rPr>
          <w:rFonts w:ascii="Times New Roman" w:hAnsi="Times New Roman"/>
          <w:noProof/>
          <w:sz w:val="24"/>
        </w:rPr>
        <w:t xml:space="preserve"> </w:t>
      </w:r>
      <w:r w:rsidR="009D4E04" w:rsidRPr="009B5734">
        <w:rPr>
          <w:rFonts w:ascii="Times New Roman" w:hAnsi="Times New Roman"/>
          <w:noProof/>
          <w:sz w:val="24"/>
        </w:rPr>
        <w:t>option</w:t>
      </w:r>
      <w:r w:rsidR="0069378C" w:rsidRPr="009B5734">
        <w:rPr>
          <w:rFonts w:ascii="Times New Roman" w:hAnsi="Times New Roman"/>
          <w:noProof/>
          <w:sz w:val="24"/>
        </w:rPr>
        <w:t xml:space="preserve"> is expected to lead to an increase of the consumer surplus, which is estimated to amount to </w:t>
      </w:r>
      <w:r w:rsidR="00C638E1" w:rsidRPr="009B5734">
        <w:rPr>
          <w:rFonts w:ascii="Times New Roman" w:hAnsi="Times New Roman"/>
          <w:b/>
          <w:noProof/>
          <w:sz w:val="24"/>
        </w:rPr>
        <w:t xml:space="preserve">EUR </w:t>
      </w:r>
      <w:r w:rsidR="002E5A5F" w:rsidRPr="009B5734">
        <w:rPr>
          <w:rFonts w:ascii="Times New Roman" w:hAnsi="Times New Roman" w:cs="Times New Roman"/>
          <w:b/>
          <w:noProof/>
          <w:sz w:val="24"/>
        </w:rPr>
        <w:t>100</w:t>
      </w:r>
      <w:r w:rsidR="005C6D4C" w:rsidRPr="009B5734">
        <w:rPr>
          <w:rFonts w:ascii="Times New Roman" w:hAnsi="Times New Roman" w:cs="Times New Roman"/>
          <w:b/>
          <w:noProof/>
          <w:sz w:val="24"/>
        </w:rPr>
        <w:t>-</w:t>
      </w:r>
      <w:r w:rsidR="002E5A5F" w:rsidRPr="009B5734">
        <w:rPr>
          <w:rFonts w:ascii="Times New Roman" w:hAnsi="Times New Roman" w:cs="Times New Roman"/>
          <w:b/>
          <w:noProof/>
          <w:sz w:val="24"/>
        </w:rPr>
        <w:t xml:space="preserve">180 </w:t>
      </w:r>
      <w:r w:rsidR="005C6D4C" w:rsidRPr="009B5734">
        <w:rPr>
          <w:rFonts w:ascii="Times New Roman" w:hAnsi="Times New Roman" w:cs="Times New Roman"/>
          <w:b/>
          <w:noProof/>
          <w:sz w:val="24"/>
        </w:rPr>
        <w:t>million for the period 2025-2040</w:t>
      </w:r>
      <w:r w:rsidR="00040D65" w:rsidRPr="00D32CA4">
        <w:rPr>
          <w:rFonts w:ascii="Times New Roman" w:hAnsi="Times New Roman"/>
          <w:b/>
          <w:noProof/>
          <w:sz w:val="24"/>
        </w:rPr>
        <w:t xml:space="preserve"> </w:t>
      </w:r>
      <w:r w:rsidR="00040D65">
        <w:rPr>
          <w:rFonts w:ascii="Times New Roman" w:hAnsi="Times New Roman" w:cs="Times New Roman"/>
          <w:b/>
          <w:noProof/>
          <w:sz w:val="24"/>
        </w:rPr>
        <w:t>(</w:t>
      </w:r>
      <w:r w:rsidR="00040D65" w:rsidRPr="00040D65">
        <w:rPr>
          <w:rFonts w:ascii="Times New Roman" w:hAnsi="Times New Roman" w:cs="Times New Roman"/>
          <w:noProof/>
          <w:sz w:val="24"/>
        </w:rPr>
        <w:t>or</w:t>
      </w:r>
      <w:r w:rsidR="00040D65">
        <w:rPr>
          <w:rFonts w:ascii="Times New Roman" w:hAnsi="Times New Roman" w:cs="Times New Roman"/>
          <w:b/>
          <w:noProof/>
          <w:sz w:val="24"/>
        </w:rPr>
        <w:t xml:space="preserve"> EUR 7 – 12 million per year)</w:t>
      </w:r>
      <w:r w:rsidR="00C638E1" w:rsidRPr="009B5734">
        <w:rPr>
          <w:rFonts w:ascii="Times New Roman" w:hAnsi="Times New Roman"/>
          <w:noProof/>
          <w:sz w:val="24"/>
        </w:rPr>
        <w:t xml:space="preserve"> as consumers </w:t>
      </w:r>
      <w:r w:rsidR="00BA6C32" w:rsidRPr="009B5734">
        <w:rPr>
          <w:rFonts w:ascii="Times New Roman" w:hAnsi="Times New Roman"/>
          <w:noProof/>
          <w:sz w:val="24"/>
        </w:rPr>
        <w:t xml:space="preserve">are expected to </w:t>
      </w:r>
      <w:r w:rsidR="00C638E1" w:rsidRPr="009B5734">
        <w:rPr>
          <w:rFonts w:ascii="Times New Roman" w:hAnsi="Times New Roman"/>
          <w:noProof/>
          <w:sz w:val="24"/>
        </w:rPr>
        <w:t xml:space="preserve">avoid </w:t>
      </w:r>
      <w:r w:rsidR="00BA6C32" w:rsidRPr="009B5734">
        <w:rPr>
          <w:rFonts w:ascii="Times New Roman" w:hAnsi="Times New Roman"/>
          <w:noProof/>
          <w:sz w:val="24"/>
        </w:rPr>
        <w:t xml:space="preserve">buying certain </w:t>
      </w:r>
      <w:r w:rsidR="002A3EEC" w:rsidRPr="009B5734">
        <w:rPr>
          <w:rFonts w:ascii="Times New Roman" w:hAnsi="Times New Roman"/>
          <w:noProof/>
          <w:sz w:val="24"/>
        </w:rPr>
        <w:t xml:space="preserve">product </w:t>
      </w:r>
      <w:r w:rsidR="006526FA" w:rsidRPr="009B5734">
        <w:rPr>
          <w:rFonts w:ascii="Times New Roman" w:hAnsi="Times New Roman"/>
          <w:noProof/>
          <w:sz w:val="24"/>
        </w:rPr>
        <w:t>models</w:t>
      </w:r>
      <w:r w:rsidR="00993B7A" w:rsidRPr="009B5734">
        <w:rPr>
          <w:rFonts w:ascii="Times New Roman" w:hAnsi="Times New Roman"/>
          <w:noProof/>
          <w:sz w:val="24"/>
        </w:rPr>
        <w:t xml:space="preserve"> </w:t>
      </w:r>
      <w:r w:rsidR="00BA6C32" w:rsidRPr="009B5734">
        <w:rPr>
          <w:rFonts w:ascii="Times New Roman" w:hAnsi="Times New Roman"/>
          <w:noProof/>
          <w:sz w:val="24"/>
        </w:rPr>
        <w:t>identified with early failures</w:t>
      </w:r>
      <w:r w:rsidR="00C638E1" w:rsidRPr="009B5734">
        <w:rPr>
          <w:rFonts w:ascii="Times New Roman" w:hAnsi="Times New Roman"/>
          <w:noProof/>
          <w:sz w:val="24"/>
        </w:rPr>
        <w:t xml:space="preserve">. </w:t>
      </w:r>
      <w:r w:rsidR="00752FFB" w:rsidRPr="009B5734">
        <w:rPr>
          <w:rFonts w:ascii="Times New Roman" w:hAnsi="Times New Roman" w:cs="Times New Roman"/>
          <w:b/>
          <w:noProof/>
          <w:sz w:val="24"/>
        </w:rPr>
        <w:t>Option 2.1.B</w:t>
      </w:r>
      <w:r w:rsidRPr="009B5734">
        <w:rPr>
          <w:rFonts w:ascii="Times New Roman" w:hAnsi="Times New Roman" w:cs="Times New Roman"/>
          <w:noProof/>
          <w:sz w:val="24"/>
        </w:rPr>
        <w:t>,</w:t>
      </w:r>
      <w:r w:rsidRPr="009B5734">
        <w:rPr>
          <w:rFonts w:ascii="Times New Roman" w:hAnsi="Times New Roman" w:cs="Times New Roman"/>
          <w:b/>
          <w:noProof/>
          <w:sz w:val="24"/>
        </w:rPr>
        <w:t xml:space="preserve"> </w:t>
      </w:r>
      <w:r w:rsidRPr="009B5734">
        <w:rPr>
          <w:rFonts w:ascii="Times New Roman" w:hAnsi="Times New Roman" w:cs="Times New Roman"/>
          <w:noProof/>
          <w:sz w:val="24"/>
        </w:rPr>
        <w:t xml:space="preserve">namely the </w:t>
      </w:r>
      <w:r w:rsidRPr="009B5734">
        <w:rPr>
          <w:rFonts w:ascii="Times New Roman" w:hAnsi="Times New Roman" w:cs="Times New Roman"/>
          <w:b/>
          <w:noProof/>
          <w:sz w:val="24"/>
        </w:rPr>
        <w:t>banning of certain identified practices associated with early obsolescence</w:t>
      </w:r>
      <w:r w:rsidRPr="009B5734">
        <w:rPr>
          <w:rFonts w:ascii="Times New Roman" w:hAnsi="Times New Roman" w:cs="Times New Roman"/>
          <w:noProof/>
          <w:sz w:val="24"/>
        </w:rPr>
        <w:t>,</w:t>
      </w:r>
      <w:r w:rsidR="00752FFB" w:rsidRPr="009B5734">
        <w:rPr>
          <w:rFonts w:ascii="Times New Roman" w:hAnsi="Times New Roman" w:cs="Times New Roman"/>
          <w:noProof/>
          <w:sz w:val="24"/>
        </w:rPr>
        <w:t xml:space="preserve"> contributes to protecting consumers by removing products from the market that would fail earlier than consumers would expect as a result of certain identified practices prohibited by the option. It will increase consumer protection, notably of vulnerable consumers</w:t>
      </w:r>
      <w:r w:rsidR="00752FFB" w:rsidRPr="009B5734">
        <w:rPr>
          <w:rStyle w:val="FootnoteReference"/>
          <w:rFonts w:ascii="Times New Roman" w:hAnsi="Times New Roman" w:cs="Times New Roman"/>
          <w:noProof/>
          <w:sz w:val="24"/>
        </w:rPr>
        <w:footnoteReference w:id="112"/>
      </w:r>
      <w:r w:rsidR="00752FFB" w:rsidRPr="009B5734">
        <w:rPr>
          <w:rFonts w:ascii="Times New Roman" w:hAnsi="Times New Roman" w:cs="Times New Roman"/>
          <w:noProof/>
          <w:sz w:val="24"/>
        </w:rPr>
        <w:t xml:space="preserve">, as well as consumer trust in the market as it prevents situations where consumers would be misled by traders. A share (5%-20% depending on the product type) of products fails significantly earlier than could be reasonably expected, which leads to personal consumer detriment. This option is thus expected to lead to an increase in the consumer surplus, which is estimated to amount to </w:t>
      </w:r>
      <w:r w:rsidR="00752FFB" w:rsidRPr="009B5734">
        <w:rPr>
          <w:rFonts w:ascii="Times New Roman" w:hAnsi="Times New Roman" w:cs="Times New Roman"/>
          <w:b/>
          <w:noProof/>
          <w:sz w:val="24"/>
        </w:rPr>
        <w:t xml:space="preserve">EUR 1 </w:t>
      </w:r>
      <w:r w:rsidR="002E5A5F" w:rsidRPr="009B5734">
        <w:rPr>
          <w:rFonts w:ascii="Times New Roman" w:hAnsi="Times New Roman" w:cs="Times New Roman"/>
          <w:b/>
          <w:noProof/>
          <w:sz w:val="24"/>
        </w:rPr>
        <w:t xml:space="preserve">800 </w:t>
      </w:r>
      <w:r w:rsidR="00752FFB" w:rsidRPr="009B5734">
        <w:rPr>
          <w:rFonts w:ascii="Times New Roman" w:hAnsi="Times New Roman" w:cs="Times New Roman"/>
          <w:b/>
          <w:noProof/>
          <w:sz w:val="24"/>
        </w:rPr>
        <w:t xml:space="preserve">– </w:t>
      </w:r>
      <w:r w:rsidR="002E5A5F" w:rsidRPr="009B5734">
        <w:rPr>
          <w:rFonts w:ascii="Times New Roman" w:hAnsi="Times New Roman" w:cs="Times New Roman"/>
          <w:b/>
          <w:noProof/>
          <w:sz w:val="24"/>
        </w:rPr>
        <w:t>2 250</w:t>
      </w:r>
      <w:r w:rsidR="00752FFB" w:rsidRPr="009B5734">
        <w:rPr>
          <w:rFonts w:ascii="Times New Roman" w:hAnsi="Times New Roman" w:cs="Times New Roman"/>
          <w:b/>
          <w:noProof/>
          <w:sz w:val="24"/>
        </w:rPr>
        <w:t xml:space="preserve"> million for the period 2025-2040</w:t>
      </w:r>
      <w:r w:rsidR="00752FFB" w:rsidRPr="009B5734">
        <w:rPr>
          <w:rFonts w:ascii="Times New Roman" w:hAnsi="Times New Roman" w:cs="Times New Roman"/>
          <w:noProof/>
          <w:sz w:val="24"/>
        </w:rPr>
        <w:t xml:space="preserve"> (</w:t>
      </w:r>
      <w:r w:rsidR="00040D65">
        <w:rPr>
          <w:rFonts w:ascii="Times New Roman" w:hAnsi="Times New Roman" w:cs="Times New Roman"/>
          <w:noProof/>
          <w:sz w:val="24"/>
        </w:rPr>
        <w:t xml:space="preserve">or </w:t>
      </w:r>
      <w:r w:rsidR="00040D65" w:rsidRPr="00040D65">
        <w:rPr>
          <w:rFonts w:ascii="Times New Roman" w:hAnsi="Times New Roman" w:cs="Times New Roman"/>
          <w:b/>
          <w:noProof/>
          <w:sz w:val="24"/>
        </w:rPr>
        <w:t>EUR 120 – 150 million per year</w:t>
      </w:r>
      <w:r w:rsidR="00040D65">
        <w:rPr>
          <w:rFonts w:ascii="Times New Roman" w:hAnsi="Times New Roman" w:cs="Times New Roman"/>
          <w:noProof/>
          <w:sz w:val="24"/>
        </w:rPr>
        <w:t xml:space="preserve">) </w:t>
      </w:r>
      <w:r w:rsidR="00752FFB" w:rsidRPr="009B5734">
        <w:rPr>
          <w:rFonts w:ascii="Times New Roman" w:hAnsi="Times New Roman" w:cs="Times New Roman"/>
          <w:noProof/>
          <w:sz w:val="24"/>
        </w:rPr>
        <w:t>based on failures occurring in the first 60% of the product lifespan).</w:t>
      </w:r>
    </w:p>
    <w:p w:rsidR="00462976" w:rsidRPr="009B5734" w:rsidRDefault="00462976" w:rsidP="003122AA">
      <w:pPr>
        <w:ind w:left="0" w:firstLine="0"/>
        <w:rPr>
          <w:rFonts w:ascii="Times New Roman" w:hAnsi="Times New Roman"/>
          <w:i/>
          <w:noProof/>
          <w:sz w:val="24"/>
        </w:rPr>
      </w:pPr>
    </w:p>
    <w:p w:rsidR="0069378C" w:rsidRPr="009B5734" w:rsidRDefault="0069378C" w:rsidP="003122AA">
      <w:pPr>
        <w:ind w:left="0" w:firstLine="0"/>
        <w:rPr>
          <w:i/>
          <w:noProof/>
        </w:rPr>
      </w:pPr>
      <w:r w:rsidRPr="009B5734">
        <w:rPr>
          <w:rFonts w:ascii="Times New Roman" w:hAnsi="Times New Roman"/>
          <w:i/>
          <w:noProof/>
          <w:sz w:val="24"/>
        </w:rPr>
        <w:t>Impacts on businesses:</w:t>
      </w:r>
    </w:p>
    <w:p w:rsidR="00752FFB" w:rsidRPr="009B5734" w:rsidRDefault="00752FFB" w:rsidP="00752FFB">
      <w:pPr>
        <w:ind w:left="0" w:firstLine="0"/>
        <w:rPr>
          <w:rFonts w:ascii="Times New Roman" w:hAnsi="Times New Roman" w:cs="Times New Roman"/>
          <w:noProof/>
          <w:sz w:val="24"/>
        </w:rPr>
      </w:pPr>
      <w:r w:rsidRPr="009B5734">
        <w:rPr>
          <w:rFonts w:ascii="Times New Roman" w:hAnsi="Times New Roman" w:cs="Times New Roman"/>
          <w:b/>
          <w:noProof/>
          <w:sz w:val="24"/>
        </w:rPr>
        <w:t>Option 2.1.A</w:t>
      </w:r>
      <w:r w:rsidR="00D12C1C" w:rsidRPr="009B5734">
        <w:rPr>
          <w:rFonts w:ascii="Times New Roman" w:hAnsi="Times New Roman" w:cs="Times New Roman"/>
          <w:noProof/>
          <w:sz w:val="24"/>
        </w:rPr>
        <w:t xml:space="preserve"> is expected to have an impact on the level playing field between companies. However, issues related to possible unbalanced</w:t>
      </w:r>
      <w:r w:rsidR="00500B9D" w:rsidRPr="009B5734">
        <w:rPr>
          <w:rFonts w:ascii="Times New Roman" w:hAnsi="Times New Roman" w:cs="Times New Roman"/>
          <w:noProof/>
          <w:sz w:val="24"/>
        </w:rPr>
        <w:t xml:space="preserve"> product</w:t>
      </w:r>
      <w:r w:rsidR="00D12C1C" w:rsidRPr="009B5734">
        <w:rPr>
          <w:rFonts w:ascii="Times New Roman" w:hAnsi="Times New Roman" w:cs="Times New Roman"/>
          <w:noProof/>
          <w:sz w:val="24"/>
        </w:rPr>
        <w:t xml:space="preserve"> coverage might limit this impact. Since the</w:t>
      </w:r>
      <w:r w:rsidR="00D12C1C" w:rsidRPr="009B5734" w:rsidDel="009D4E04">
        <w:rPr>
          <w:rFonts w:ascii="Times New Roman" w:hAnsi="Times New Roman" w:cs="Times New Roman"/>
          <w:noProof/>
          <w:sz w:val="24"/>
        </w:rPr>
        <w:t xml:space="preserve"> </w:t>
      </w:r>
      <w:r w:rsidR="009D4E04" w:rsidRPr="009B5734">
        <w:rPr>
          <w:rFonts w:ascii="Times New Roman" w:hAnsi="Times New Roman" w:cs="Times New Roman"/>
          <w:noProof/>
          <w:sz w:val="24"/>
        </w:rPr>
        <w:t>option</w:t>
      </w:r>
      <w:r w:rsidR="00D12C1C" w:rsidRPr="009B5734">
        <w:rPr>
          <w:rFonts w:ascii="Times New Roman" w:hAnsi="Times New Roman" w:cs="Times New Roman"/>
          <w:noProof/>
          <w:sz w:val="24"/>
        </w:rPr>
        <w:t xml:space="preserve"> does not oblige third parties to collect the information but only to make it available to consumers</w:t>
      </w:r>
      <w:r w:rsidR="00D12C1C" w:rsidRPr="009B5734">
        <w:rPr>
          <w:rFonts w:ascii="Times New Roman" w:hAnsi="Times New Roman" w:cs="Times New Roman"/>
          <w:b/>
          <w:noProof/>
          <w:sz w:val="24"/>
        </w:rPr>
        <w:t xml:space="preserve">, these third parties </w:t>
      </w:r>
      <w:r w:rsidR="00844F25" w:rsidRPr="009B5734">
        <w:rPr>
          <w:rFonts w:ascii="Times New Roman" w:hAnsi="Times New Roman" w:cs="Times New Roman"/>
          <w:b/>
          <w:noProof/>
          <w:sz w:val="24"/>
        </w:rPr>
        <w:t>will have costs in relation to the</w:t>
      </w:r>
      <w:r w:rsidR="00D12C1C" w:rsidRPr="009B5734">
        <w:rPr>
          <w:rFonts w:ascii="Times New Roman" w:hAnsi="Times New Roman" w:cs="Times New Roman"/>
          <w:b/>
          <w:noProof/>
          <w:sz w:val="24"/>
        </w:rPr>
        <w:t xml:space="preserve"> updating </w:t>
      </w:r>
      <w:r w:rsidR="00844F25" w:rsidRPr="009B5734">
        <w:rPr>
          <w:rFonts w:ascii="Times New Roman" w:hAnsi="Times New Roman" w:cs="Times New Roman"/>
          <w:b/>
          <w:noProof/>
          <w:sz w:val="24"/>
        </w:rPr>
        <w:t>of</w:t>
      </w:r>
      <w:r w:rsidR="00D12C1C" w:rsidRPr="009B5734">
        <w:rPr>
          <w:rFonts w:ascii="Times New Roman" w:hAnsi="Times New Roman" w:cs="Times New Roman"/>
          <w:b/>
          <w:noProof/>
          <w:sz w:val="24"/>
        </w:rPr>
        <w:t xml:space="preserve"> their websites</w:t>
      </w:r>
      <w:r w:rsidR="00040D65">
        <w:rPr>
          <w:rFonts w:ascii="Times New Roman" w:hAnsi="Times New Roman" w:cs="Times New Roman"/>
          <w:b/>
          <w:noProof/>
          <w:sz w:val="24"/>
        </w:rPr>
        <w:t xml:space="preserve">. </w:t>
      </w:r>
      <w:r w:rsidR="00040D65" w:rsidRPr="00040D65">
        <w:rPr>
          <w:rFonts w:ascii="Times New Roman" w:hAnsi="Times New Roman" w:cs="Times New Roman"/>
          <w:noProof/>
          <w:sz w:val="24"/>
        </w:rPr>
        <w:t>Those costs are</w:t>
      </w:r>
      <w:r w:rsidR="00D12C1C" w:rsidRPr="009B5734">
        <w:rPr>
          <w:rFonts w:ascii="Times New Roman" w:hAnsi="Times New Roman" w:cs="Times New Roman"/>
          <w:noProof/>
          <w:sz w:val="24"/>
        </w:rPr>
        <w:t xml:space="preserve"> </w:t>
      </w:r>
      <w:r w:rsidR="00C310D8">
        <w:rPr>
          <w:rFonts w:ascii="Times New Roman" w:hAnsi="Times New Roman" w:cs="Times New Roman"/>
          <w:noProof/>
          <w:sz w:val="24"/>
        </w:rPr>
        <w:t>estimated at</w:t>
      </w:r>
      <w:r w:rsidR="00C638E1" w:rsidRPr="009B5734">
        <w:rPr>
          <w:rFonts w:ascii="Times New Roman" w:hAnsi="Times New Roman" w:cs="Times New Roman"/>
          <w:noProof/>
          <w:sz w:val="24"/>
        </w:rPr>
        <w:t xml:space="preserve"> </w:t>
      </w:r>
      <w:r w:rsidR="00C638E1" w:rsidRPr="009B5734">
        <w:rPr>
          <w:rFonts w:ascii="Times New Roman" w:hAnsi="Times New Roman" w:cs="Times New Roman"/>
          <w:b/>
          <w:noProof/>
          <w:sz w:val="24"/>
        </w:rPr>
        <w:t xml:space="preserve">EUR </w:t>
      </w:r>
      <w:r w:rsidR="003E5639" w:rsidRPr="009B5734">
        <w:rPr>
          <w:rFonts w:ascii="Times New Roman" w:hAnsi="Times New Roman" w:cs="Times New Roman"/>
          <w:b/>
          <w:noProof/>
          <w:sz w:val="24"/>
        </w:rPr>
        <w:t>4</w:t>
      </w:r>
      <w:r w:rsidR="00083C9C" w:rsidRPr="009B5734">
        <w:rPr>
          <w:rFonts w:ascii="Times New Roman" w:hAnsi="Times New Roman" w:cs="Times New Roman"/>
          <w:b/>
          <w:noProof/>
          <w:sz w:val="24"/>
        </w:rPr>
        <w:t>-</w:t>
      </w:r>
      <w:r w:rsidR="003E5639" w:rsidRPr="009B5734">
        <w:rPr>
          <w:rFonts w:ascii="Times New Roman" w:hAnsi="Times New Roman" w:cs="Times New Roman"/>
          <w:b/>
          <w:noProof/>
          <w:sz w:val="24"/>
        </w:rPr>
        <w:t>5</w:t>
      </w:r>
      <w:r w:rsidR="00083C9C" w:rsidRPr="009B5734">
        <w:rPr>
          <w:rFonts w:ascii="Times New Roman" w:hAnsi="Times New Roman" w:cs="Times New Roman"/>
          <w:b/>
          <w:noProof/>
          <w:sz w:val="24"/>
        </w:rPr>
        <w:t xml:space="preserve"> million for the period 2025-2040</w:t>
      </w:r>
      <w:r w:rsidR="00040D65">
        <w:rPr>
          <w:rFonts w:ascii="Times New Roman" w:hAnsi="Times New Roman" w:cs="Times New Roman"/>
          <w:noProof/>
          <w:sz w:val="24"/>
        </w:rPr>
        <w:t xml:space="preserve"> (or </w:t>
      </w:r>
      <w:r w:rsidR="00490B43" w:rsidRPr="00490B43">
        <w:rPr>
          <w:rFonts w:ascii="Times New Roman" w:hAnsi="Times New Roman" w:cs="Times New Roman"/>
          <w:b/>
          <w:noProof/>
          <w:sz w:val="24"/>
        </w:rPr>
        <w:t>EUR 0.26 – 0.33 million per year</w:t>
      </w:r>
      <w:r w:rsidR="00490B43">
        <w:rPr>
          <w:rFonts w:ascii="Times New Roman" w:hAnsi="Times New Roman" w:cs="Times New Roman"/>
          <w:noProof/>
          <w:sz w:val="24"/>
        </w:rPr>
        <w:t>)</w:t>
      </w:r>
      <w:r w:rsidR="00C638E1" w:rsidRPr="009B5734">
        <w:rPr>
          <w:rFonts w:ascii="Times New Roman" w:hAnsi="Times New Roman" w:cs="Times New Roman"/>
          <w:noProof/>
          <w:sz w:val="24"/>
        </w:rPr>
        <w:t>. However they</w:t>
      </w:r>
      <w:r w:rsidR="00D12C1C" w:rsidRPr="009B5734">
        <w:rPr>
          <w:rFonts w:ascii="Times New Roman" w:hAnsi="Times New Roman" w:cs="Times New Roman"/>
          <w:noProof/>
          <w:sz w:val="24"/>
        </w:rPr>
        <w:t xml:space="preserve"> may compensate </w:t>
      </w:r>
      <w:r w:rsidR="00EB6EA9" w:rsidRPr="009B5734">
        <w:rPr>
          <w:rFonts w:ascii="Times New Roman" w:hAnsi="Times New Roman" w:cs="Times New Roman"/>
          <w:noProof/>
          <w:sz w:val="24"/>
        </w:rPr>
        <w:t xml:space="preserve">for </w:t>
      </w:r>
      <w:r w:rsidR="00D12C1C" w:rsidRPr="009B5734">
        <w:rPr>
          <w:rFonts w:ascii="Times New Roman" w:hAnsi="Times New Roman" w:cs="Times New Roman"/>
          <w:noProof/>
          <w:sz w:val="24"/>
        </w:rPr>
        <w:t>it through membership fees</w:t>
      </w:r>
      <w:r w:rsidR="00611BA4" w:rsidRPr="009B5734">
        <w:rPr>
          <w:rFonts w:ascii="Times New Roman" w:hAnsi="Times New Roman" w:cs="Times New Roman"/>
          <w:noProof/>
          <w:sz w:val="24"/>
        </w:rPr>
        <w:t xml:space="preserve"> </w:t>
      </w:r>
      <w:r w:rsidR="009D4E04" w:rsidRPr="009B5734">
        <w:rPr>
          <w:rFonts w:ascii="Times New Roman" w:hAnsi="Times New Roman" w:cs="Times New Roman"/>
          <w:noProof/>
          <w:sz w:val="24"/>
        </w:rPr>
        <w:t>or</w:t>
      </w:r>
      <w:r w:rsidR="00611BA4" w:rsidRPr="009B5734">
        <w:rPr>
          <w:rFonts w:ascii="Times New Roman" w:hAnsi="Times New Roman" w:cs="Times New Roman"/>
          <w:noProof/>
          <w:sz w:val="24"/>
        </w:rPr>
        <w:t xml:space="preserve"> possible fund</w:t>
      </w:r>
      <w:r w:rsidR="008338AB" w:rsidRPr="009B5734">
        <w:rPr>
          <w:rFonts w:ascii="Times New Roman" w:hAnsi="Times New Roman" w:cs="Times New Roman"/>
          <w:noProof/>
          <w:sz w:val="24"/>
        </w:rPr>
        <w:t xml:space="preserve">ing </w:t>
      </w:r>
      <w:r w:rsidR="00611BA4" w:rsidRPr="009B5734">
        <w:rPr>
          <w:rFonts w:ascii="Times New Roman" w:hAnsi="Times New Roman" w:cs="Times New Roman"/>
          <w:noProof/>
          <w:sz w:val="24"/>
        </w:rPr>
        <w:t>made available to them</w:t>
      </w:r>
      <w:r w:rsidR="00611BA4" w:rsidRPr="009B5734" w:rsidDel="006526FA">
        <w:rPr>
          <w:rFonts w:ascii="Times New Roman" w:hAnsi="Times New Roman" w:cs="Times New Roman"/>
          <w:noProof/>
          <w:sz w:val="24"/>
        </w:rPr>
        <w:t xml:space="preserve"> </w:t>
      </w:r>
      <w:r w:rsidR="00EB6EA9" w:rsidRPr="009B5734">
        <w:rPr>
          <w:rFonts w:ascii="Times New Roman" w:hAnsi="Times New Roman" w:cs="Times New Roman"/>
          <w:noProof/>
          <w:sz w:val="24"/>
        </w:rPr>
        <w:t>by Member States</w:t>
      </w:r>
      <w:r w:rsidR="00D12C1C" w:rsidRPr="009B5734">
        <w:rPr>
          <w:rFonts w:ascii="Times New Roman" w:hAnsi="Times New Roman" w:cs="Times New Roman"/>
          <w:noProof/>
          <w:sz w:val="24"/>
        </w:rPr>
        <w:t>.</w:t>
      </w:r>
      <w:r w:rsidR="00A55F60" w:rsidRPr="009B5734">
        <w:rPr>
          <w:rFonts w:ascii="Times New Roman" w:hAnsi="Times New Roman" w:cs="Times New Roman"/>
          <w:noProof/>
          <w:sz w:val="24"/>
        </w:rPr>
        <w:t xml:space="preserve"> When such information is made public concerning a given model, </w:t>
      </w:r>
      <w:r w:rsidR="003F11EB" w:rsidRPr="009B5734">
        <w:rPr>
          <w:rFonts w:ascii="Times New Roman" w:hAnsi="Times New Roman" w:cs="Times New Roman"/>
          <w:noProof/>
          <w:sz w:val="24"/>
        </w:rPr>
        <w:t xml:space="preserve">sellers may see a decrease in the demand of the specific model for sale. </w:t>
      </w:r>
      <w:r w:rsidRPr="009B5734">
        <w:rPr>
          <w:rFonts w:ascii="Times New Roman" w:hAnsi="Times New Roman" w:cs="Times New Roman"/>
          <w:b/>
          <w:noProof/>
          <w:sz w:val="24"/>
        </w:rPr>
        <w:t>Option 2.1.B</w:t>
      </w:r>
      <w:r w:rsidRPr="009B5734">
        <w:rPr>
          <w:rFonts w:ascii="Times New Roman" w:hAnsi="Times New Roman" w:cs="Times New Roman"/>
          <w:noProof/>
          <w:sz w:val="24"/>
        </w:rPr>
        <w:t xml:space="preserve"> is expected to contribute </w:t>
      </w:r>
      <w:r w:rsidRPr="009B5734">
        <w:rPr>
          <w:rFonts w:ascii="Times New Roman" w:hAnsi="Times New Roman" w:cs="Times New Roman"/>
          <w:b/>
          <w:noProof/>
          <w:sz w:val="24"/>
        </w:rPr>
        <w:t>very positively to a level playing field</w:t>
      </w:r>
      <w:r w:rsidRPr="009B5734">
        <w:rPr>
          <w:rFonts w:ascii="Times New Roman" w:hAnsi="Times New Roman" w:cs="Times New Roman"/>
          <w:noProof/>
          <w:sz w:val="24"/>
        </w:rPr>
        <w:t xml:space="preserve">. This is because, in the baseline, companies engaging in the banned practices have lower costs than their competitors and charge higher prices to consumers (than they would if consumers knew about the real expected lifespan of the products) because consumers assume that the products would have an expected lifespan not much different from the average. It will also </w:t>
      </w:r>
      <w:r w:rsidRPr="009B5734">
        <w:rPr>
          <w:rFonts w:ascii="Times New Roman" w:hAnsi="Times New Roman" w:cs="Times New Roman"/>
          <w:b/>
          <w:noProof/>
          <w:sz w:val="24"/>
        </w:rPr>
        <w:t>reduce barriers to cross-border trade</w:t>
      </w:r>
      <w:r w:rsidRPr="009B5734">
        <w:rPr>
          <w:rFonts w:ascii="Times New Roman" w:hAnsi="Times New Roman" w:cs="Times New Roman"/>
          <w:noProof/>
          <w:sz w:val="24"/>
        </w:rPr>
        <w:t xml:space="preserve"> as some Member States start to ban obsolescence practices, albeit in different ways. Rough estimations show that the</w:t>
      </w:r>
      <w:r w:rsidRPr="009B5734" w:rsidDel="009D4E04">
        <w:rPr>
          <w:rFonts w:ascii="Times New Roman" w:hAnsi="Times New Roman" w:cs="Times New Roman"/>
          <w:noProof/>
          <w:sz w:val="24"/>
        </w:rPr>
        <w:t xml:space="preserve"> </w:t>
      </w:r>
      <w:r w:rsidRPr="009B5734">
        <w:rPr>
          <w:rFonts w:ascii="Times New Roman" w:hAnsi="Times New Roman" w:cs="Times New Roman"/>
          <w:noProof/>
          <w:sz w:val="24"/>
        </w:rPr>
        <w:t xml:space="preserve">option would lead to </w:t>
      </w:r>
      <w:r w:rsidRPr="009B5734">
        <w:rPr>
          <w:rFonts w:ascii="Times New Roman" w:hAnsi="Times New Roman" w:cs="Times New Roman"/>
          <w:b/>
          <w:noProof/>
          <w:sz w:val="24"/>
        </w:rPr>
        <w:t xml:space="preserve">extra costs for businesses amounting to EUR </w:t>
      </w:r>
      <w:r w:rsidR="002E5A5F" w:rsidRPr="009B5734">
        <w:rPr>
          <w:rFonts w:ascii="Times New Roman" w:hAnsi="Times New Roman" w:cs="Times New Roman"/>
          <w:b/>
          <w:noProof/>
          <w:sz w:val="24"/>
        </w:rPr>
        <w:t xml:space="preserve">1 190 </w:t>
      </w:r>
      <w:r w:rsidRPr="009B5734">
        <w:rPr>
          <w:rFonts w:ascii="Times New Roman" w:hAnsi="Times New Roman" w:cs="Times New Roman"/>
          <w:b/>
          <w:noProof/>
          <w:sz w:val="24"/>
        </w:rPr>
        <w:t xml:space="preserve">– </w:t>
      </w:r>
      <w:r w:rsidR="003E5639" w:rsidRPr="009B5734">
        <w:rPr>
          <w:rFonts w:ascii="Times New Roman" w:hAnsi="Times New Roman" w:cs="Times New Roman"/>
          <w:b/>
          <w:noProof/>
          <w:sz w:val="24"/>
        </w:rPr>
        <w:t xml:space="preserve">1 </w:t>
      </w:r>
      <w:r w:rsidR="002E5A5F" w:rsidRPr="009B5734">
        <w:rPr>
          <w:rFonts w:ascii="Times New Roman" w:hAnsi="Times New Roman" w:cs="Times New Roman"/>
          <w:b/>
          <w:noProof/>
          <w:sz w:val="24"/>
        </w:rPr>
        <w:t xml:space="preserve">630 </w:t>
      </w:r>
      <w:r w:rsidRPr="009B5734">
        <w:rPr>
          <w:rFonts w:ascii="Times New Roman" w:hAnsi="Times New Roman" w:cs="Times New Roman"/>
          <w:b/>
          <w:noProof/>
          <w:sz w:val="24"/>
        </w:rPr>
        <w:t>million for the period 2025-2040</w:t>
      </w:r>
      <w:r w:rsidR="00490B43">
        <w:rPr>
          <w:rFonts w:ascii="Times New Roman" w:hAnsi="Times New Roman" w:cs="Times New Roman"/>
          <w:b/>
          <w:noProof/>
          <w:sz w:val="24"/>
        </w:rPr>
        <w:t xml:space="preserve"> (</w:t>
      </w:r>
      <w:r w:rsidR="00490B43" w:rsidRPr="00490B43">
        <w:rPr>
          <w:rFonts w:ascii="Times New Roman" w:hAnsi="Times New Roman" w:cs="Times New Roman"/>
          <w:noProof/>
          <w:sz w:val="24"/>
        </w:rPr>
        <w:t>or</w:t>
      </w:r>
      <w:r w:rsidR="00490B43">
        <w:rPr>
          <w:rFonts w:ascii="Times New Roman" w:hAnsi="Times New Roman" w:cs="Times New Roman"/>
          <w:b/>
          <w:noProof/>
          <w:sz w:val="24"/>
        </w:rPr>
        <w:t xml:space="preserve"> EUR 79 – 109 million per year)</w:t>
      </w:r>
      <w:r w:rsidRPr="009B5734">
        <w:rPr>
          <w:rFonts w:ascii="Times New Roman" w:hAnsi="Times New Roman" w:cs="Times New Roman"/>
          <w:noProof/>
          <w:sz w:val="24"/>
        </w:rPr>
        <w:t>, falling mainly on large manufacturers.</w:t>
      </w:r>
      <w:r w:rsidRPr="009B5734" w:rsidDel="00F7509A">
        <w:rPr>
          <w:rFonts w:ascii="Times New Roman" w:hAnsi="Times New Roman" w:cs="Times New Roman"/>
          <w:noProof/>
          <w:sz w:val="24"/>
        </w:rPr>
        <w:t xml:space="preserve"> </w:t>
      </w:r>
      <w:r w:rsidRPr="009B5734">
        <w:rPr>
          <w:rFonts w:ascii="Times New Roman" w:hAnsi="Times New Roman" w:cs="Times New Roman"/>
          <w:noProof/>
          <w:sz w:val="24"/>
        </w:rPr>
        <w:t xml:space="preserve">These costs include those related to the familiarisation with the measures (applicable to all businesses) as well as those linked to the need to review internal processes for these companies using practices targeted by the option.  </w:t>
      </w:r>
    </w:p>
    <w:p w:rsidR="00D12C1C" w:rsidRPr="009B5734" w:rsidRDefault="00D12C1C" w:rsidP="003122AA">
      <w:pPr>
        <w:ind w:left="0" w:firstLine="0"/>
        <w:rPr>
          <w:rFonts w:ascii="Times New Roman" w:hAnsi="Times New Roman"/>
          <w:noProof/>
          <w:sz w:val="24"/>
        </w:rPr>
      </w:pPr>
    </w:p>
    <w:p w:rsidR="0069378C" w:rsidRPr="009B5734" w:rsidRDefault="0069378C" w:rsidP="003122AA">
      <w:pPr>
        <w:ind w:left="0" w:firstLine="0"/>
        <w:rPr>
          <w:i/>
          <w:noProof/>
        </w:rPr>
      </w:pPr>
      <w:r w:rsidRPr="009B5734">
        <w:rPr>
          <w:rFonts w:ascii="Times New Roman" w:hAnsi="Times New Roman"/>
          <w:i/>
          <w:noProof/>
          <w:sz w:val="24"/>
        </w:rPr>
        <w:t>Impacts on public administrations:</w:t>
      </w:r>
    </w:p>
    <w:p w:rsidR="00966A36" w:rsidRPr="009B5734" w:rsidRDefault="004B0CF6" w:rsidP="00966A36">
      <w:pPr>
        <w:ind w:left="0" w:firstLine="0"/>
        <w:rPr>
          <w:rFonts w:ascii="Times New Roman" w:hAnsi="Times New Roman" w:cs="Times New Roman"/>
          <w:noProof/>
          <w:sz w:val="24"/>
          <w:szCs w:val="24"/>
        </w:rPr>
      </w:pPr>
      <w:r w:rsidRPr="009B5734">
        <w:rPr>
          <w:rFonts w:ascii="Times New Roman" w:hAnsi="Times New Roman" w:cs="Times New Roman"/>
          <w:noProof/>
          <w:sz w:val="24"/>
        </w:rPr>
        <w:t>Enforcement of</w:t>
      </w:r>
      <w:r w:rsidRPr="009B5734">
        <w:rPr>
          <w:rFonts w:ascii="Times New Roman" w:hAnsi="Times New Roman" w:cs="Times New Roman"/>
          <w:b/>
          <w:noProof/>
          <w:sz w:val="24"/>
        </w:rPr>
        <w:t xml:space="preserve"> </w:t>
      </w:r>
      <w:r w:rsidR="00752FFB" w:rsidRPr="009B5734">
        <w:rPr>
          <w:rFonts w:ascii="Times New Roman" w:hAnsi="Times New Roman" w:cs="Times New Roman"/>
          <w:b/>
          <w:noProof/>
          <w:sz w:val="24"/>
        </w:rPr>
        <w:t>option 2.1.A</w:t>
      </w:r>
      <w:r w:rsidR="009D4E04" w:rsidRPr="009B5734">
        <w:rPr>
          <w:rFonts w:ascii="Times New Roman" w:hAnsi="Times New Roman" w:cs="Times New Roman"/>
          <w:b/>
          <w:noProof/>
          <w:sz w:val="24"/>
        </w:rPr>
        <w:t xml:space="preserve"> </w:t>
      </w:r>
      <w:r w:rsidR="00112B1C" w:rsidRPr="009B5734">
        <w:rPr>
          <w:rFonts w:ascii="Times New Roman" w:hAnsi="Times New Roman" w:cs="Times New Roman"/>
          <w:noProof/>
          <w:sz w:val="24"/>
        </w:rPr>
        <w:t xml:space="preserve">could </w:t>
      </w:r>
      <w:r w:rsidRPr="009B5734">
        <w:rPr>
          <w:rFonts w:ascii="Times New Roman" w:hAnsi="Times New Roman" w:cs="Times New Roman"/>
          <w:noProof/>
          <w:sz w:val="24"/>
        </w:rPr>
        <w:t xml:space="preserve">be challenging due to the voluntary nature of collecting information, which means that enforcement authorities will have difficulties in identifying situations </w:t>
      </w:r>
      <w:r w:rsidR="008C47B0" w:rsidRPr="009B5734">
        <w:rPr>
          <w:rFonts w:ascii="Times New Roman" w:hAnsi="Times New Roman" w:cs="Times New Roman"/>
          <w:noProof/>
          <w:sz w:val="24"/>
        </w:rPr>
        <w:t>where</w:t>
      </w:r>
      <w:r w:rsidRPr="009B5734">
        <w:rPr>
          <w:rFonts w:ascii="Times New Roman" w:hAnsi="Times New Roman" w:cs="Times New Roman"/>
          <w:noProof/>
          <w:sz w:val="24"/>
        </w:rPr>
        <w:t xml:space="preserve"> information is available but not disclosed. The costs are estimated to be of </w:t>
      </w:r>
      <w:r w:rsidR="00C638E1" w:rsidRPr="009B5734">
        <w:rPr>
          <w:rFonts w:ascii="Times New Roman" w:hAnsi="Times New Roman" w:cs="Times New Roman"/>
          <w:b/>
          <w:noProof/>
          <w:sz w:val="24"/>
        </w:rPr>
        <w:t xml:space="preserve">EUR </w:t>
      </w:r>
      <w:r w:rsidR="003E5639" w:rsidRPr="009B5734">
        <w:rPr>
          <w:rFonts w:ascii="Times New Roman" w:hAnsi="Times New Roman" w:cs="Times New Roman"/>
          <w:b/>
          <w:noProof/>
          <w:sz w:val="24"/>
        </w:rPr>
        <w:t>7</w:t>
      </w:r>
      <w:r w:rsidR="00083C9C" w:rsidRPr="009B5734">
        <w:rPr>
          <w:rFonts w:ascii="Times New Roman" w:hAnsi="Times New Roman" w:cs="Times New Roman"/>
          <w:b/>
          <w:noProof/>
          <w:sz w:val="24"/>
        </w:rPr>
        <w:t>-</w:t>
      </w:r>
      <w:r w:rsidR="003E5639" w:rsidRPr="009B5734">
        <w:rPr>
          <w:rFonts w:ascii="Times New Roman" w:hAnsi="Times New Roman" w:cs="Times New Roman"/>
          <w:b/>
          <w:noProof/>
          <w:sz w:val="24"/>
        </w:rPr>
        <w:t>8</w:t>
      </w:r>
      <w:r w:rsidR="00083C9C" w:rsidRPr="009B5734">
        <w:rPr>
          <w:rFonts w:ascii="Times New Roman" w:hAnsi="Times New Roman" w:cs="Times New Roman"/>
          <w:b/>
          <w:noProof/>
          <w:sz w:val="24"/>
        </w:rPr>
        <w:t xml:space="preserve"> million for the period 2025-2040</w:t>
      </w:r>
      <w:r w:rsidR="00B4314A">
        <w:rPr>
          <w:rFonts w:ascii="Times New Roman" w:hAnsi="Times New Roman" w:cs="Times New Roman"/>
          <w:b/>
          <w:noProof/>
          <w:sz w:val="24"/>
        </w:rPr>
        <w:t xml:space="preserve"> (</w:t>
      </w:r>
      <w:r w:rsidR="00B4314A" w:rsidRPr="00B4314A">
        <w:rPr>
          <w:rFonts w:ascii="Times New Roman" w:hAnsi="Times New Roman" w:cs="Times New Roman"/>
          <w:noProof/>
          <w:sz w:val="24"/>
        </w:rPr>
        <w:t>or</w:t>
      </w:r>
      <w:r w:rsidR="00B4314A">
        <w:rPr>
          <w:rFonts w:ascii="Times New Roman" w:hAnsi="Times New Roman" w:cs="Times New Roman"/>
          <w:b/>
          <w:noProof/>
          <w:sz w:val="24"/>
        </w:rPr>
        <w:t xml:space="preserve"> EUR 0.46 – 0.53 million per year)</w:t>
      </w:r>
      <w:r w:rsidRPr="009B5734">
        <w:rPr>
          <w:rFonts w:ascii="Times New Roman" w:hAnsi="Times New Roman" w:cs="Times New Roman"/>
          <w:noProof/>
          <w:sz w:val="24"/>
        </w:rPr>
        <w:t xml:space="preserve">. </w:t>
      </w:r>
      <w:r w:rsidR="005E0B86" w:rsidRPr="009B5734">
        <w:rPr>
          <w:rFonts w:ascii="Times New Roman" w:hAnsi="Times New Roman" w:cs="Times New Roman"/>
          <w:noProof/>
          <w:sz w:val="24"/>
          <w:szCs w:val="24"/>
        </w:rPr>
        <w:t xml:space="preserve">Based on interviews with </w:t>
      </w:r>
      <w:r w:rsidR="0078589E">
        <w:rPr>
          <w:rFonts w:ascii="Times New Roman" w:hAnsi="Times New Roman" w:cs="Times New Roman"/>
          <w:noProof/>
          <w:sz w:val="24"/>
          <w:szCs w:val="24"/>
        </w:rPr>
        <w:t>national enforcement</w:t>
      </w:r>
      <w:r w:rsidR="005E0B86" w:rsidRPr="009B5734">
        <w:rPr>
          <w:rFonts w:ascii="Times New Roman" w:hAnsi="Times New Roman" w:cs="Times New Roman"/>
          <w:noProof/>
          <w:sz w:val="24"/>
          <w:szCs w:val="24"/>
        </w:rPr>
        <w:t xml:space="preserve"> authorities, it is assumed that the measure would not require significant additional resources on top of the</w:t>
      </w:r>
      <w:r w:rsidR="005E0B86">
        <w:rPr>
          <w:rFonts w:ascii="Times New Roman" w:hAnsi="Times New Roman" w:cs="Times New Roman"/>
          <w:noProof/>
          <w:sz w:val="24"/>
          <w:szCs w:val="24"/>
        </w:rPr>
        <w:t xml:space="preserve"> existing ones to enforce </w:t>
      </w:r>
      <w:r w:rsidR="0078589E">
        <w:rPr>
          <w:rFonts w:ascii="Times New Roman" w:hAnsi="Times New Roman" w:cs="Times New Roman"/>
          <w:noProof/>
          <w:sz w:val="24"/>
          <w:szCs w:val="24"/>
        </w:rPr>
        <w:t xml:space="preserve">the </w:t>
      </w:r>
      <w:r w:rsidR="005E0B86">
        <w:rPr>
          <w:rFonts w:ascii="Times New Roman" w:hAnsi="Times New Roman" w:cs="Times New Roman"/>
          <w:noProof/>
          <w:sz w:val="24"/>
          <w:szCs w:val="24"/>
        </w:rPr>
        <w:t>U</w:t>
      </w:r>
      <w:r w:rsidR="0078589E">
        <w:rPr>
          <w:rFonts w:ascii="Times New Roman" w:hAnsi="Times New Roman" w:cs="Times New Roman"/>
          <w:noProof/>
          <w:sz w:val="24"/>
          <w:szCs w:val="24"/>
        </w:rPr>
        <w:t xml:space="preserve">nfair </w:t>
      </w:r>
      <w:r w:rsidR="005E0B86">
        <w:rPr>
          <w:rFonts w:ascii="Times New Roman" w:hAnsi="Times New Roman" w:cs="Times New Roman"/>
          <w:noProof/>
          <w:sz w:val="24"/>
          <w:szCs w:val="24"/>
        </w:rPr>
        <w:t>C</w:t>
      </w:r>
      <w:r w:rsidR="0078589E">
        <w:rPr>
          <w:rFonts w:ascii="Times New Roman" w:hAnsi="Times New Roman" w:cs="Times New Roman"/>
          <w:noProof/>
          <w:sz w:val="24"/>
          <w:szCs w:val="24"/>
        </w:rPr>
        <w:t xml:space="preserve">ommercial </w:t>
      </w:r>
      <w:r w:rsidR="005E0B86">
        <w:rPr>
          <w:rFonts w:ascii="Times New Roman" w:hAnsi="Times New Roman" w:cs="Times New Roman"/>
          <w:noProof/>
          <w:sz w:val="24"/>
          <w:szCs w:val="24"/>
        </w:rPr>
        <w:t>P</w:t>
      </w:r>
      <w:r w:rsidR="0078589E">
        <w:rPr>
          <w:rFonts w:ascii="Times New Roman" w:hAnsi="Times New Roman" w:cs="Times New Roman"/>
          <w:noProof/>
          <w:sz w:val="24"/>
          <w:szCs w:val="24"/>
        </w:rPr>
        <w:t xml:space="preserve">ractices </w:t>
      </w:r>
      <w:r w:rsidR="005E0B86">
        <w:rPr>
          <w:rFonts w:ascii="Times New Roman" w:hAnsi="Times New Roman" w:cs="Times New Roman"/>
          <w:noProof/>
          <w:sz w:val="24"/>
          <w:szCs w:val="24"/>
        </w:rPr>
        <w:t>D</w:t>
      </w:r>
      <w:r w:rsidR="0078589E">
        <w:rPr>
          <w:rFonts w:ascii="Times New Roman" w:hAnsi="Times New Roman" w:cs="Times New Roman"/>
          <w:noProof/>
          <w:sz w:val="24"/>
          <w:szCs w:val="24"/>
        </w:rPr>
        <w:t>irective</w:t>
      </w:r>
      <w:r w:rsidR="005E0B86">
        <w:rPr>
          <w:rFonts w:ascii="Times New Roman" w:hAnsi="Times New Roman" w:cs="Times New Roman"/>
          <w:noProof/>
          <w:sz w:val="24"/>
          <w:szCs w:val="24"/>
        </w:rPr>
        <w:t xml:space="preserve">. </w:t>
      </w:r>
      <w:r w:rsidR="0078589E">
        <w:rPr>
          <w:rFonts w:ascii="Times New Roman" w:hAnsi="Times New Roman" w:cs="Times New Roman"/>
          <w:noProof/>
          <w:sz w:val="24"/>
          <w:szCs w:val="24"/>
        </w:rPr>
        <w:t>It is</w:t>
      </w:r>
      <w:r w:rsidR="005E0B86" w:rsidRPr="009B5734">
        <w:rPr>
          <w:rFonts w:ascii="Times New Roman" w:hAnsi="Times New Roman" w:cs="Times New Roman"/>
          <w:noProof/>
          <w:sz w:val="24"/>
          <w:szCs w:val="24"/>
        </w:rPr>
        <w:t xml:space="preserve"> therefore assume</w:t>
      </w:r>
      <w:r w:rsidR="0078589E">
        <w:rPr>
          <w:rFonts w:ascii="Times New Roman" w:hAnsi="Times New Roman" w:cs="Times New Roman"/>
          <w:noProof/>
          <w:sz w:val="24"/>
          <w:szCs w:val="24"/>
        </w:rPr>
        <w:t>d</w:t>
      </w:r>
      <w:r w:rsidR="005E0B86" w:rsidRPr="009B5734">
        <w:rPr>
          <w:rFonts w:ascii="Times New Roman" w:hAnsi="Times New Roman" w:cs="Times New Roman"/>
          <w:noProof/>
          <w:sz w:val="24"/>
          <w:szCs w:val="24"/>
        </w:rPr>
        <w:t xml:space="preserve"> that the measure will require </w:t>
      </w:r>
      <w:r w:rsidR="00F91447">
        <w:rPr>
          <w:rFonts w:ascii="Times New Roman" w:hAnsi="Times New Roman" w:cs="Times New Roman"/>
          <w:noProof/>
          <w:sz w:val="24"/>
          <w:szCs w:val="24"/>
        </w:rPr>
        <w:t xml:space="preserve">one </w:t>
      </w:r>
      <w:r w:rsidR="005E0B86" w:rsidRPr="009B5734">
        <w:rPr>
          <w:rFonts w:ascii="Times New Roman" w:hAnsi="Times New Roman" w:cs="Times New Roman"/>
          <w:noProof/>
          <w:sz w:val="24"/>
          <w:szCs w:val="24"/>
        </w:rPr>
        <w:t xml:space="preserve">Full Time Equivalent (per Member State), with 50% of their time devoted to surveillance, 25% devoted to inspections </w:t>
      </w:r>
      <w:r w:rsidR="005E0B86">
        <w:rPr>
          <w:rFonts w:ascii="Times New Roman" w:hAnsi="Times New Roman" w:cs="Times New Roman"/>
          <w:noProof/>
          <w:sz w:val="24"/>
          <w:szCs w:val="24"/>
        </w:rPr>
        <w:t xml:space="preserve">and 25% to handling complaints. </w:t>
      </w:r>
      <w:r w:rsidR="005E0B86" w:rsidRPr="009B5734">
        <w:rPr>
          <w:rFonts w:ascii="Times New Roman" w:hAnsi="Times New Roman" w:cs="Times New Roman"/>
          <w:noProof/>
          <w:sz w:val="24"/>
          <w:szCs w:val="24"/>
        </w:rPr>
        <w:t xml:space="preserve">35h </w:t>
      </w:r>
      <w:r w:rsidR="0078589E">
        <w:rPr>
          <w:rFonts w:ascii="Times New Roman" w:hAnsi="Times New Roman" w:cs="Times New Roman"/>
          <w:noProof/>
          <w:sz w:val="24"/>
          <w:szCs w:val="24"/>
        </w:rPr>
        <w:t xml:space="preserve">are assumed </w:t>
      </w:r>
      <w:r w:rsidR="005E0B86" w:rsidRPr="009B5734">
        <w:rPr>
          <w:rFonts w:ascii="Times New Roman" w:hAnsi="Times New Roman" w:cs="Times New Roman"/>
          <w:noProof/>
          <w:sz w:val="24"/>
          <w:szCs w:val="24"/>
        </w:rPr>
        <w:t xml:space="preserve">for one person getting familiarized with the measure and </w:t>
      </w:r>
      <w:r w:rsidR="0078589E">
        <w:rPr>
          <w:rFonts w:ascii="Times New Roman" w:hAnsi="Times New Roman" w:cs="Times New Roman"/>
          <w:noProof/>
          <w:sz w:val="24"/>
          <w:szCs w:val="24"/>
        </w:rPr>
        <w:t>the adjustment of</w:t>
      </w:r>
      <w:r w:rsidR="005E0B86" w:rsidRPr="009B5734">
        <w:rPr>
          <w:rFonts w:ascii="Times New Roman" w:hAnsi="Times New Roman" w:cs="Times New Roman"/>
          <w:noProof/>
          <w:sz w:val="24"/>
          <w:szCs w:val="24"/>
        </w:rPr>
        <w:t xml:space="preserve"> internal procedures to start enforcing the measure. 16 employee</w:t>
      </w:r>
      <w:r w:rsidR="0078589E">
        <w:rPr>
          <w:rFonts w:ascii="Times New Roman" w:hAnsi="Times New Roman" w:cs="Times New Roman"/>
          <w:noProof/>
          <w:sz w:val="24"/>
          <w:szCs w:val="24"/>
        </w:rPr>
        <w:t>s would</w:t>
      </w:r>
      <w:r w:rsidR="005E0B86">
        <w:rPr>
          <w:rFonts w:ascii="Times New Roman" w:hAnsi="Times New Roman" w:cs="Times New Roman"/>
          <w:noProof/>
          <w:sz w:val="24"/>
          <w:szCs w:val="24"/>
        </w:rPr>
        <w:t xml:space="preserve"> receive a 3.5h training. </w:t>
      </w:r>
      <w:r w:rsidR="005E0B86" w:rsidRPr="009B5734">
        <w:rPr>
          <w:rFonts w:ascii="Times New Roman" w:hAnsi="Times New Roman" w:cs="Times New Roman"/>
          <w:noProof/>
          <w:sz w:val="24"/>
          <w:szCs w:val="24"/>
        </w:rPr>
        <w:t xml:space="preserve">The costs of adjudication are expected to be in line with the unit costs presented in the previous measures. </w:t>
      </w:r>
      <w:r w:rsidR="00752FFB" w:rsidRPr="009B5734">
        <w:rPr>
          <w:rFonts w:ascii="Times New Roman" w:hAnsi="Times New Roman" w:cs="Times New Roman"/>
          <w:noProof/>
          <w:sz w:val="24"/>
        </w:rPr>
        <w:t>Enforcement of</w:t>
      </w:r>
      <w:r w:rsidR="00752FFB" w:rsidRPr="009B5734" w:rsidDel="009D4E04">
        <w:rPr>
          <w:rFonts w:ascii="Times New Roman" w:hAnsi="Times New Roman" w:cs="Times New Roman"/>
          <w:b/>
          <w:noProof/>
          <w:sz w:val="24"/>
        </w:rPr>
        <w:t xml:space="preserve"> </w:t>
      </w:r>
      <w:r w:rsidR="00752FFB" w:rsidRPr="009B5734">
        <w:rPr>
          <w:rFonts w:ascii="Times New Roman" w:hAnsi="Times New Roman" w:cs="Times New Roman"/>
          <w:b/>
          <w:noProof/>
          <w:sz w:val="24"/>
        </w:rPr>
        <w:t>option 2.1.B</w:t>
      </w:r>
      <w:r w:rsidR="00752FFB" w:rsidRPr="009B5734" w:rsidDel="008338AB">
        <w:rPr>
          <w:rFonts w:ascii="Times New Roman" w:hAnsi="Times New Roman" w:cs="Times New Roman"/>
          <w:b/>
          <w:noProof/>
          <w:sz w:val="24"/>
        </w:rPr>
        <w:t xml:space="preserve"> </w:t>
      </w:r>
      <w:r w:rsidR="008338AB" w:rsidRPr="009B5734">
        <w:rPr>
          <w:rFonts w:ascii="Times New Roman" w:hAnsi="Times New Roman" w:cs="Times New Roman"/>
          <w:noProof/>
          <w:sz w:val="24"/>
        </w:rPr>
        <w:t>is expected to result in</w:t>
      </w:r>
      <w:r w:rsidR="00752FFB" w:rsidRPr="009B5734" w:rsidDel="008338AB">
        <w:rPr>
          <w:rFonts w:ascii="Times New Roman" w:hAnsi="Times New Roman" w:cs="Times New Roman"/>
          <w:noProof/>
          <w:sz w:val="24"/>
        </w:rPr>
        <w:t xml:space="preserve"> </w:t>
      </w:r>
      <w:r w:rsidR="00752FFB" w:rsidRPr="009B5734">
        <w:rPr>
          <w:rFonts w:ascii="Times New Roman" w:hAnsi="Times New Roman" w:cs="Times New Roman"/>
          <w:noProof/>
          <w:sz w:val="24"/>
        </w:rPr>
        <w:t>the creation or strengthening of the capacity</w:t>
      </w:r>
      <w:r w:rsidR="008338AB" w:rsidRPr="009B5734">
        <w:rPr>
          <w:rFonts w:ascii="Times New Roman" w:hAnsi="Times New Roman" w:cs="Times New Roman"/>
          <w:noProof/>
          <w:sz w:val="24"/>
        </w:rPr>
        <w:t xml:space="preserve">, including technical </w:t>
      </w:r>
      <w:r w:rsidR="008C067A" w:rsidRPr="009B5734">
        <w:rPr>
          <w:rFonts w:ascii="Times New Roman" w:hAnsi="Times New Roman" w:cs="Times New Roman"/>
          <w:noProof/>
          <w:sz w:val="24"/>
        </w:rPr>
        <w:t>capacity</w:t>
      </w:r>
      <w:r w:rsidR="008338AB" w:rsidRPr="009B5734">
        <w:rPr>
          <w:rFonts w:ascii="Times New Roman" w:hAnsi="Times New Roman" w:cs="Times New Roman"/>
          <w:noProof/>
          <w:sz w:val="24"/>
        </w:rPr>
        <w:t>,</w:t>
      </w:r>
      <w:r w:rsidR="00752FFB" w:rsidRPr="009B5734">
        <w:rPr>
          <w:rFonts w:ascii="Times New Roman" w:hAnsi="Times New Roman" w:cs="Times New Roman"/>
          <w:noProof/>
          <w:sz w:val="24"/>
        </w:rPr>
        <w:t xml:space="preserve"> responsible for addressing obsolescence practices in each Member State. </w:t>
      </w:r>
      <w:r w:rsidR="0078589E">
        <w:rPr>
          <w:rFonts w:ascii="Times New Roman" w:hAnsi="Times New Roman" w:cs="Times New Roman"/>
          <w:noProof/>
          <w:sz w:val="24"/>
        </w:rPr>
        <w:t>The</w:t>
      </w:r>
      <w:r w:rsidR="00F91447">
        <w:rPr>
          <w:rFonts w:ascii="Times New Roman" w:hAnsi="Times New Roman" w:cs="Times New Roman"/>
          <w:noProof/>
          <w:sz w:val="24"/>
        </w:rPr>
        <w:t xml:space="preserve"> </w:t>
      </w:r>
      <w:r w:rsidR="00752FFB" w:rsidRPr="009B5734">
        <w:rPr>
          <w:rFonts w:ascii="Times New Roman" w:hAnsi="Times New Roman" w:cs="Times New Roman"/>
          <w:noProof/>
          <w:sz w:val="24"/>
        </w:rPr>
        <w:t xml:space="preserve">enforcement costs are estimated at </w:t>
      </w:r>
      <w:r w:rsidR="00752FFB" w:rsidRPr="009B5734">
        <w:rPr>
          <w:rFonts w:ascii="Times New Roman" w:hAnsi="Times New Roman" w:cs="Times New Roman"/>
          <w:b/>
          <w:noProof/>
          <w:sz w:val="24"/>
        </w:rPr>
        <w:t xml:space="preserve">EUR </w:t>
      </w:r>
      <w:r w:rsidR="002E5A5F" w:rsidRPr="009B5734">
        <w:rPr>
          <w:rFonts w:ascii="Times New Roman" w:hAnsi="Times New Roman" w:cs="Times New Roman"/>
          <w:b/>
          <w:noProof/>
          <w:sz w:val="24"/>
        </w:rPr>
        <w:t>103</w:t>
      </w:r>
      <w:r w:rsidR="00752FFB" w:rsidRPr="009B5734">
        <w:rPr>
          <w:rFonts w:ascii="Times New Roman" w:hAnsi="Times New Roman" w:cs="Times New Roman"/>
          <w:b/>
          <w:noProof/>
          <w:sz w:val="24"/>
        </w:rPr>
        <w:t>-</w:t>
      </w:r>
      <w:r w:rsidR="003E5639" w:rsidRPr="009B5734">
        <w:rPr>
          <w:rFonts w:ascii="Times New Roman" w:hAnsi="Times New Roman" w:cs="Times New Roman"/>
          <w:b/>
          <w:noProof/>
          <w:sz w:val="24"/>
        </w:rPr>
        <w:t xml:space="preserve">107 </w:t>
      </w:r>
      <w:r w:rsidR="00752FFB" w:rsidRPr="009B5734">
        <w:rPr>
          <w:rFonts w:ascii="Times New Roman" w:hAnsi="Times New Roman" w:cs="Times New Roman"/>
          <w:b/>
          <w:noProof/>
          <w:sz w:val="24"/>
        </w:rPr>
        <w:t>million  for the period 2025</w:t>
      </w:r>
      <w:r w:rsidR="008338AB" w:rsidRPr="009B5734">
        <w:rPr>
          <w:rFonts w:ascii="Times New Roman" w:hAnsi="Times New Roman" w:cs="Times New Roman"/>
          <w:b/>
          <w:noProof/>
          <w:sz w:val="24"/>
        </w:rPr>
        <w:t>-</w:t>
      </w:r>
      <w:r w:rsidR="00752FFB" w:rsidRPr="009B5734">
        <w:rPr>
          <w:rFonts w:ascii="Times New Roman" w:hAnsi="Times New Roman" w:cs="Times New Roman"/>
          <w:b/>
          <w:noProof/>
          <w:sz w:val="24"/>
        </w:rPr>
        <w:t>2040</w:t>
      </w:r>
      <w:r w:rsidR="00B4314A">
        <w:rPr>
          <w:rFonts w:ascii="Times New Roman" w:hAnsi="Times New Roman" w:cs="Times New Roman"/>
          <w:b/>
          <w:noProof/>
          <w:sz w:val="24"/>
        </w:rPr>
        <w:t xml:space="preserve"> (</w:t>
      </w:r>
      <w:r w:rsidR="00B4314A" w:rsidRPr="00B4314A">
        <w:rPr>
          <w:rFonts w:ascii="Times New Roman" w:hAnsi="Times New Roman" w:cs="Times New Roman"/>
          <w:noProof/>
          <w:sz w:val="24"/>
        </w:rPr>
        <w:t>or</w:t>
      </w:r>
      <w:r w:rsidR="00B4314A">
        <w:rPr>
          <w:rFonts w:ascii="Times New Roman" w:hAnsi="Times New Roman" w:cs="Times New Roman"/>
          <w:b/>
          <w:noProof/>
          <w:sz w:val="24"/>
        </w:rPr>
        <w:t xml:space="preserve"> EUR 6.9 – 7.1 million per year)</w:t>
      </w:r>
      <w:r w:rsidR="00752FFB" w:rsidRPr="009B5734">
        <w:rPr>
          <w:rFonts w:ascii="Times New Roman" w:hAnsi="Times New Roman" w:cs="Times New Roman"/>
          <w:noProof/>
          <w:sz w:val="24"/>
        </w:rPr>
        <w:t xml:space="preserve">. </w:t>
      </w:r>
      <w:r w:rsidR="00966A36" w:rsidRPr="009B5734">
        <w:rPr>
          <w:rFonts w:ascii="Times New Roman" w:hAnsi="Times New Roman" w:cs="Times New Roman"/>
          <w:noProof/>
          <w:sz w:val="24"/>
          <w:szCs w:val="24"/>
        </w:rPr>
        <w:t xml:space="preserve">Based on interviews with </w:t>
      </w:r>
      <w:r w:rsidR="0078589E">
        <w:rPr>
          <w:rFonts w:ascii="Times New Roman" w:hAnsi="Times New Roman" w:cs="Times New Roman"/>
          <w:noProof/>
          <w:sz w:val="24"/>
          <w:szCs w:val="24"/>
        </w:rPr>
        <w:t>national enforcement</w:t>
      </w:r>
      <w:r w:rsidR="00966A36" w:rsidRPr="009B5734">
        <w:rPr>
          <w:rFonts w:ascii="Times New Roman" w:hAnsi="Times New Roman" w:cs="Times New Roman"/>
          <w:noProof/>
          <w:sz w:val="24"/>
          <w:szCs w:val="24"/>
        </w:rPr>
        <w:t xml:space="preserve"> authorities, it is assumed that the measure would require significant additional resources on top of the existing ones to enforce </w:t>
      </w:r>
      <w:r w:rsidR="0078589E">
        <w:rPr>
          <w:rFonts w:ascii="Times New Roman" w:hAnsi="Times New Roman" w:cs="Times New Roman"/>
          <w:noProof/>
          <w:sz w:val="24"/>
          <w:szCs w:val="24"/>
        </w:rPr>
        <w:t xml:space="preserve">the </w:t>
      </w:r>
      <w:r w:rsidR="00966A36" w:rsidRPr="009B5734">
        <w:rPr>
          <w:rFonts w:ascii="Times New Roman" w:hAnsi="Times New Roman" w:cs="Times New Roman"/>
          <w:noProof/>
          <w:sz w:val="24"/>
          <w:szCs w:val="24"/>
        </w:rPr>
        <w:t>U</w:t>
      </w:r>
      <w:r w:rsidR="0078589E">
        <w:rPr>
          <w:rFonts w:ascii="Times New Roman" w:hAnsi="Times New Roman" w:cs="Times New Roman"/>
          <w:noProof/>
          <w:sz w:val="24"/>
          <w:szCs w:val="24"/>
        </w:rPr>
        <w:t xml:space="preserve">nfair </w:t>
      </w:r>
      <w:r w:rsidR="00966A36" w:rsidRPr="009B5734">
        <w:rPr>
          <w:rFonts w:ascii="Times New Roman" w:hAnsi="Times New Roman" w:cs="Times New Roman"/>
          <w:noProof/>
          <w:sz w:val="24"/>
          <w:szCs w:val="24"/>
        </w:rPr>
        <w:t>C</w:t>
      </w:r>
      <w:r w:rsidR="0078589E">
        <w:rPr>
          <w:rFonts w:ascii="Times New Roman" w:hAnsi="Times New Roman" w:cs="Times New Roman"/>
          <w:noProof/>
          <w:sz w:val="24"/>
          <w:szCs w:val="24"/>
        </w:rPr>
        <w:t xml:space="preserve">ommercial </w:t>
      </w:r>
      <w:r w:rsidR="00966A36" w:rsidRPr="009B5734">
        <w:rPr>
          <w:rFonts w:ascii="Times New Roman" w:hAnsi="Times New Roman" w:cs="Times New Roman"/>
          <w:noProof/>
          <w:sz w:val="24"/>
          <w:szCs w:val="24"/>
        </w:rPr>
        <w:t>P</w:t>
      </w:r>
      <w:r w:rsidR="0078589E">
        <w:rPr>
          <w:rFonts w:ascii="Times New Roman" w:hAnsi="Times New Roman" w:cs="Times New Roman"/>
          <w:noProof/>
          <w:sz w:val="24"/>
          <w:szCs w:val="24"/>
        </w:rPr>
        <w:t xml:space="preserve">ractice </w:t>
      </w:r>
      <w:r w:rsidR="00966A36" w:rsidRPr="009B5734">
        <w:rPr>
          <w:rFonts w:ascii="Times New Roman" w:hAnsi="Times New Roman" w:cs="Times New Roman"/>
          <w:noProof/>
          <w:sz w:val="24"/>
          <w:szCs w:val="24"/>
        </w:rPr>
        <w:t>D</w:t>
      </w:r>
      <w:r w:rsidR="0078589E">
        <w:rPr>
          <w:rFonts w:ascii="Times New Roman" w:hAnsi="Times New Roman" w:cs="Times New Roman"/>
          <w:noProof/>
          <w:sz w:val="24"/>
          <w:szCs w:val="24"/>
        </w:rPr>
        <w:t>irective</w:t>
      </w:r>
      <w:r w:rsidR="00966A36" w:rsidRPr="009B5734">
        <w:rPr>
          <w:rFonts w:ascii="Times New Roman" w:hAnsi="Times New Roman" w:cs="Times New Roman"/>
          <w:noProof/>
          <w:sz w:val="24"/>
          <w:szCs w:val="24"/>
        </w:rPr>
        <w:t xml:space="preserve"> (except f</w:t>
      </w:r>
      <w:r w:rsidR="00966A36">
        <w:rPr>
          <w:rFonts w:ascii="Times New Roman" w:hAnsi="Times New Roman" w:cs="Times New Roman"/>
          <w:noProof/>
          <w:sz w:val="24"/>
          <w:szCs w:val="24"/>
        </w:rPr>
        <w:t xml:space="preserve">or one Member States – France). </w:t>
      </w:r>
      <w:r w:rsidR="0078589E">
        <w:rPr>
          <w:rFonts w:ascii="Times New Roman" w:hAnsi="Times New Roman" w:cs="Times New Roman"/>
          <w:noProof/>
          <w:sz w:val="24"/>
          <w:szCs w:val="24"/>
        </w:rPr>
        <w:t>It is</w:t>
      </w:r>
      <w:r w:rsidR="00966A36" w:rsidRPr="009B5734">
        <w:rPr>
          <w:rFonts w:ascii="Times New Roman" w:hAnsi="Times New Roman" w:cs="Times New Roman"/>
          <w:noProof/>
          <w:sz w:val="24"/>
          <w:szCs w:val="24"/>
        </w:rPr>
        <w:t xml:space="preserve"> therefore assume</w:t>
      </w:r>
      <w:r w:rsidR="0078589E">
        <w:rPr>
          <w:rFonts w:ascii="Times New Roman" w:hAnsi="Times New Roman" w:cs="Times New Roman"/>
          <w:noProof/>
          <w:sz w:val="24"/>
          <w:szCs w:val="24"/>
        </w:rPr>
        <w:t>d</w:t>
      </w:r>
      <w:r w:rsidR="00966A36" w:rsidRPr="009B5734">
        <w:rPr>
          <w:rFonts w:ascii="Times New Roman" w:hAnsi="Times New Roman" w:cs="Times New Roman"/>
          <w:noProof/>
          <w:sz w:val="24"/>
          <w:szCs w:val="24"/>
        </w:rPr>
        <w:t xml:space="preserve"> that the measure will require a team of seven additional Full Time Equivalent (per Member State), with 42% of their time devoted to surveillance, 42% devoted to inspections </w:t>
      </w:r>
      <w:r w:rsidR="00966A36">
        <w:rPr>
          <w:rFonts w:ascii="Times New Roman" w:hAnsi="Times New Roman" w:cs="Times New Roman"/>
          <w:noProof/>
          <w:sz w:val="24"/>
          <w:szCs w:val="24"/>
        </w:rPr>
        <w:t>and 16% to handling complaints.</w:t>
      </w:r>
      <w:r w:rsidR="0078589E">
        <w:rPr>
          <w:rFonts w:ascii="Times New Roman" w:hAnsi="Times New Roman" w:cs="Times New Roman"/>
          <w:noProof/>
          <w:sz w:val="24"/>
          <w:szCs w:val="24"/>
        </w:rPr>
        <w:t xml:space="preserve"> </w:t>
      </w:r>
      <w:r w:rsidR="00966A36" w:rsidRPr="009B5734">
        <w:rPr>
          <w:rFonts w:ascii="Times New Roman" w:hAnsi="Times New Roman" w:cs="Times New Roman"/>
          <w:noProof/>
          <w:sz w:val="24"/>
          <w:szCs w:val="24"/>
        </w:rPr>
        <w:t xml:space="preserve">70h </w:t>
      </w:r>
      <w:r w:rsidR="0078589E">
        <w:rPr>
          <w:rFonts w:ascii="Times New Roman" w:hAnsi="Times New Roman" w:cs="Times New Roman"/>
          <w:noProof/>
          <w:sz w:val="24"/>
          <w:szCs w:val="24"/>
        </w:rPr>
        <w:t xml:space="preserve">are assumed </w:t>
      </w:r>
      <w:r w:rsidR="00966A36" w:rsidRPr="009B5734">
        <w:rPr>
          <w:rFonts w:ascii="Times New Roman" w:hAnsi="Times New Roman" w:cs="Times New Roman"/>
          <w:noProof/>
          <w:sz w:val="24"/>
          <w:szCs w:val="24"/>
        </w:rPr>
        <w:t xml:space="preserve">for three people getting familiarized with the measure and </w:t>
      </w:r>
      <w:r w:rsidR="0078589E">
        <w:rPr>
          <w:rFonts w:ascii="Times New Roman" w:hAnsi="Times New Roman" w:cs="Times New Roman"/>
          <w:noProof/>
          <w:sz w:val="24"/>
          <w:szCs w:val="24"/>
        </w:rPr>
        <w:t>the adjustment of</w:t>
      </w:r>
      <w:r w:rsidR="00966A36" w:rsidRPr="009B5734">
        <w:rPr>
          <w:rFonts w:ascii="Times New Roman" w:hAnsi="Times New Roman" w:cs="Times New Roman"/>
          <w:noProof/>
          <w:sz w:val="24"/>
          <w:szCs w:val="24"/>
        </w:rPr>
        <w:t xml:space="preserve"> internal procedures to start enforcin</w:t>
      </w:r>
      <w:r w:rsidR="0078589E">
        <w:rPr>
          <w:rFonts w:ascii="Times New Roman" w:hAnsi="Times New Roman" w:cs="Times New Roman"/>
          <w:noProof/>
          <w:sz w:val="24"/>
          <w:szCs w:val="24"/>
        </w:rPr>
        <w:t>g the measure. 16 employees would</w:t>
      </w:r>
      <w:r w:rsidR="00966A36">
        <w:rPr>
          <w:rFonts w:ascii="Times New Roman" w:hAnsi="Times New Roman" w:cs="Times New Roman"/>
          <w:noProof/>
          <w:sz w:val="24"/>
          <w:szCs w:val="24"/>
        </w:rPr>
        <w:t xml:space="preserve"> receive a 14h training. </w:t>
      </w:r>
      <w:r w:rsidR="00966A36" w:rsidRPr="009B5734">
        <w:rPr>
          <w:rFonts w:ascii="Times New Roman" w:hAnsi="Times New Roman" w:cs="Times New Roman"/>
          <w:noProof/>
          <w:sz w:val="24"/>
          <w:szCs w:val="24"/>
        </w:rPr>
        <w:t xml:space="preserve">The costs of adjudication ate expected to be significantly higher than average given the complexity of the matter. </w:t>
      </w:r>
      <w:r w:rsidR="0078589E">
        <w:rPr>
          <w:rFonts w:ascii="Times New Roman" w:hAnsi="Times New Roman" w:cs="Times New Roman"/>
          <w:noProof/>
          <w:sz w:val="24"/>
          <w:szCs w:val="24"/>
        </w:rPr>
        <w:t>It is</w:t>
      </w:r>
      <w:r w:rsidR="00966A36" w:rsidRPr="009B5734">
        <w:rPr>
          <w:rFonts w:ascii="Times New Roman" w:hAnsi="Times New Roman" w:cs="Times New Roman"/>
          <w:noProof/>
          <w:sz w:val="24"/>
          <w:szCs w:val="24"/>
        </w:rPr>
        <w:t xml:space="preserve"> assume</w:t>
      </w:r>
      <w:r w:rsidR="0078589E">
        <w:rPr>
          <w:rFonts w:ascii="Times New Roman" w:hAnsi="Times New Roman" w:cs="Times New Roman"/>
          <w:noProof/>
          <w:sz w:val="24"/>
          <w:szCs w:val="24"/>
        </w:rPr>
        <w:t>d</w:t>
      </w:r>
      <w:r w:rsidR="00966A36" w:rsidRPr="009B5734">
        <w:rPr>
          <w:rFonts w:ascii="Times New Roman" w:hAnsi="Times New Roman" w:cs="Times New Roman"/>
          <w:noProof/>
          <w:sz w:val="24"/>
          <w:szCs w:val="24"/>
        </w:rPr>
        <w:t xml:space="preserve"> that one ADR case will costs around EUR 7,756 and a court case around five times the average. </w:t>
      </w:r>
    </w:p>
    <w:p w:rsidR="00F53921" w:rsidRPr="009B5734" w:rsidRDefault="00752FFB" w:rsidP="003122AA">
      <w:pPr>
        <w:ind w:left="0" w:firstLine="0"/>
        <w:rPr>
          <w:rFonts w:ascii="Times New Roman" w:hAnsi="Times New Roman"/>
          <w:noProof/>
          <w:sz w:val="24"/>
        </w:rPr>
      </w:pPr>
      <w:r w:rsidRPr="009B5734">
        <w:rPr>
          <w:rFonts w:ascii="Times New Roman" w:hAnsi="Times New Roman" w:cs="Times New Roman"/>
          <w:noProof/>
          <w:sz w:val="24"/>
        </w:rPr>
        <w:t xml:space="preserve"> </w:t>
      </w:r>
    </w:p>
    <w:p w:rsidR="0069378C" w:rsidRPr="009B5734" w:rsidRDefault="0069378C" w:rsidP="003122AA">
      <w:pPr>
        <w:ind w:left="0" w:firstLine="0"/>
        <w:rPr>
          <w:i/>
          <w:noProof/>
        </w:rPr>
      </w:pPr>
      <w:r w:rsidRPr="009B5734">
        <w:rPr>
          <w:rFonts w:ascii="Times New Roman" w:hAnsi="Times New Roman"/>
          <w:i/>
          <w:noProof/>
          <w:sz w:val="24"/>
        </w:rPr>
        <w:t>Impacts on the environment:</w:t>
      </w:r>
    </w:p>
    <w:p w:rsidR="00752FFB" w:rsidRPr="009B5734" w:rsidRDefault="0069378C" w:rsidP="00752FFB">
      <w:pPr>
        <w:pStyle w:val="Text2"/>
        <w:spacing w:after="0"/>
        <w:ind w:left="0" w:firstLine="0"/>
        <w:rPr>
          <w:noProof/>
        </w:rPr>
      </w:pPr>
      <w:r w:rsidRPr="009B5734">
        <w:rPr>
          <w:noProof/>
        </w:rPr>
        <w:t xml:space="preserve">Due to the implementation of </w:t>
      </w:r>
      <w:r w:rsidR="009D4E04" w:rsidRPr="009B5734">
        <w:rPr>
          <w:b/>
          <w:noProof/>
        </w:rPr>
        <w:t>option</w:t>
      </w:r>
      <w:r w:rsidR="00752FFB" w:rsidRPr="009B5734">
        <w:rPr>
          <w:b/>
          <w:noProof/>
        </w:rPr>
        <w:t xml:space="preserve"> 2.1.A</w:t>
      </w:r>
      <w:r w:rsidRPr="009B5734">
        <w:rPr>
          <w:noProof/>
        </w:rPr>
        <w:t xml:space="preserve">, some consumers will opt for goods that </w:t>
      </w:r>
      <w:r w:rsidR="004B0CF6" w:rsidRPr="009B5734">
        <w:rPr>
          <w:noProof/>
        </w:rPr>
        <w:t>will last longer</w:t>
      </w:r>
      <w:r w:rsidRPr="009B5734">
        <w:rPr>
          <w:noProof/>
        </w:rPr>
        <w:t xml:space="preserve">. </w:t>
      </w:r>
      <w:r w:rsidR="00A17DE3" w:rsidRPr="009B5734">
        <w:rPr>
          <w:noProof/>
        </w:rPr>
        <w:t xml:space="preserve">The option will lead to a reduction of produced units and thus of </w:t>
      </w:r>
      <w:r w:rsidR="00A17DE3" w:rsidRPr="009B5734">
        <w:rPr>
          <w:b/>
          <w:noProof/>
        </w:rPr>
        <w:t>CO2 emissions</w:t>
      </w:r>
      <w:r w:rsidRPr="009B5734">
        <w:rPr>
          <w:b/>
          <w:noProof/>
        </w:rPr>
        <w:t xml:space="preserve"> </w:t>
      </w:r>
      <w:r w:rsidR="00C638E1" w:rsidRPr="009B5734">
        <w:rPr>
          <w:b/>
          <w:noProof/>
        </w:rPr>
        <w:t xml:space="preserve">estimated at </w:t>
      </w:r>
      <w:r w:rsidR="00C638E1" w:rsidRPr="009B5734" w:rsidDel="00083C9C">
        <w:rPr>
          <w:b/>
          <w:noProof/>
        </w:rPr>
        <w:t>0</w:t>
      </w:r>
      <w:r w:rsidR="00083C9C" w:rsidRPr="009B5734">
        <w:rPr>
          <w:b/>
          <w:noProof/>
        </w:rPr>
        <w:t>.2 – 0.4 mega tons (</w:t>
      </w:r>
      <w:r w:rsidR="00B4314A">
        <w:rPr>
          <w:b/>
          <w:noProof/>
        </w:rPr>
        <w:t>valued at</w:t>
      </w:r>
      <w:r w:rsidR="00083C9C" w:rsidRPr="009B5734">
        <w:rPr>
          <w:b/>
          <w:noProof/>
        </w:rPr>
        <w:t xml:space="preserve"> EUR 4 - </w:t>
      </w:r>
      <w:r w:rsidR="002E5A5F" w:rsidRPr="009B5734">
        <w:rPr>
          <w:b/>
          <w:noProof/>
        </w:rPr>
        <w:t>8</w:t>
      </w:r>
      <w:r w:rsidR="00083C9C" w:rsidRPr="009B5734">
        <w:rPr>
          <w:b/>
          <w:noProof/>
        </w:rPr>
        <w:t xml:space="preserve"> million)</w:t>
      </w:r>
      <w:r w:rsidR="00083C9C" w:rsidRPr="009B5734">
        <w:rPr>
          <w:noProof/>
        </w:rPr>
        <w:t xml:space="preserve"> during production for the period 2025-2040</w:t>
      </w:r>
      <w:r w:rsidR="00B4314A">
        <w:rPr>
          <w:noProof/>
        </w:rPr>
        <w:t xml:space="preserve"> (or </w:t>
      </w:r>
      <w:r w:rsidR="00B4314A" w:rsidRPr="0035400C">
        <w:rPr>
          <w:b/>
          <w:noProof/>
        </w:rPr>
        <w:t>0.01 – 0.03 mega tons per year, valued at EUR 0.3 – 0.5 million</w:t>
      </w:r>
      <w:r w:rsidR="00B4314A">
        <w:rPr>
          <w:noProof/>
        </w:rPr>
        <w:t>)</w:t>
      </w:r>
      <w:r w:rsidR="00C638E1" w:rsidRPr="009B5734">
        <w:rPr>
          <w:noProof/>
        </w:rPr>
        <w:t>.</w:t>
      </w:r>
      <w:r w:rsidR="00752FFB" w:rsidRPr="009B5734">
        <w:rPr>
          <w:noProof/>
        </w:rPr>
        <w:t xml:space="preserve"> Due to the implementation of option 2.1.B, some consumers will opt for goods that will last longer. The option will lead to a reduction of produced units and thus of </w:t>
      </w:r>
      <w:r w:rsidR="00752FFB" w:rsidRPr="009B5734">
        <w:rPr>
          <w:b/>
          <w:noProof/>
        </w:rPr>
        <w:t xml:space="preserve">CO2 emissions estimated at </w:t>
      </w:r>
      <w:r w:rsidR="002E5A5F" w:rsidRPr="009B5734">
        <w:rPr>
          <w:b/>
          <w:noProof/>
        </w:rPr>
        <w:t>3</w:t>
      </w:r>
      <w:r w:rsidR="00752FFB" w:rsidRPr="009B5734">
        <w:rPr>
          <w:b/>
          <w:noProof/>
        </w:rPr>
        <w:t xml:space="preserve">.5 – </w:t>
      </w:r>
      <w:r w:rsidR="002E5A5F" w:rsidRPr="009B5734">
        <w:rPr>
          <w:b/>
          <w:noProof/>
        </w:rPr>
        <w:t>4.3</w:t>
      </w:r>
      <w:r w:rsidR="00752FFB" w:rsidRPr="009B5734">
        <w:rPr>
          <w:b/>
          <w:noProof/>
        </w:rPr>
        <w:t xml:space="preserve"> mega tons (</w:t>
      </w:r>
      <w:r w:rsidR="0035400C">
        <w:rPr>
          <w:b/>
          <w:noProof/>
        </w:rPr>
        <w:t>valued at</w:t>
      </w:r>
      <w:r w:rsidR="00752FFB" w:rsidRPr="009B5734">
        <w:rPr>
          <w:noProof/>
        </w:rPr>
        <w:t xml:space="preserve"> </w:t>
      </w:r>
      <w:r w:rsidR="00752FFB" w:rsidRPr="009B5734">
        <w:rPr>
          <w:b/>
          <w:noProof/>
        </w:rPr>
        <w:t xml:space="preserve">EUR </w:t>
      </w:r>
      <w:r w:rsidR="002E5A5F" w:rsidRPr="009B5734">
        <w:rPr>
          <w:b/>
          <w:noProof/>
        </w:rPr>
        <w:t xml:space="preserve">72 </w:t>
      </w:r>
      <w:r w:rsidR="00752FFB" w:rsidRPr="009B5734">
        <w:rPr>
          <w:b/>
          <w:noProof/>
        </w:rPr>
        <w:t>-</w:t>
      </w:r>
      <w:r w:rsidR="00752FFB" w:rsidRPr="009B5734" w:rsidDel="003E5639">
        <w:rPr>
          <w:b/>
          <w:noProof/>
        </w:rPr>
        <w:t xml:space="preserve"> </w:t>
      </w:r>
      <w:r w:rsidR="002E5A5F" w:rsidRPr="009B5734">
        <w:rPr>
          <w:b/>
          <w:noProof/>
        </w:rPr>
        <w:t xml:space="preserve">90 </w:t>
      </w:r>
      <w:r w:rsidR="00752FFB" w:rsidRPr="009B5734">
        <w:rPr>
          <w:b/>
          <w:noProof/>
        </w:rPr>
        <w:t>million</w:t>
      </w:r>
      <w:r w:rsidR="00752FFB" w:rsidRPr="009B5734">
        <w:rPr>
          <w:noProof/>
        </w:rPr>
        <w:t>) during production for the period 2025</w:t>
      </w:r>
      <w:r w:rsidR="002E5A5F" w:rsidRPr="009B5734">
        <w:rPr>
          <w:noProof/>
        </w:rPr>
        <w:t xml:space="preserve"> </w:t>
      </w:r>
      <w:r w:rsidR="0035400C">
        <w:rPr>
          <w:noProof/>
        </w:rPr>
        <w:t>–</w:t>
      </w:r>
      <w:r w:rsidR="00752FFB" w:rsidRPr="009B5734">
        <w:rPr>
          <w:noProof/>
        </w:rPr>
        <w:t xml:space="preserve"> 2040</w:t>
      </w:r>
      <w:r w:rsidR="0035400C">
        <w:rPr>
          <w:noProof/>
        </w:rPr>
        <w:t xml:space="preserve"> (or </w:t>
      </w:r>
      <w:r w:rsidR="0035400C" w:rsidRPr="0035400C">
        <w:rPr>
          <w:b/>
          <w:noProof/>
        </w:rPr>
        <w:t>0.2 – 0.3 mega tons per year, valued at EUR 5 – 6 million</w:t>
      </w:r>
      <w:r w:rsidR="0035400C">
        <w:rPr>
          <w:noProof/>
        </w:rPr>
        <w:t>)</w:t>
      </w:r>
      <w:r w:rsidR="00752FFB" w:rsidRPr="009B5734">
        <w:rPr>
          <w:noProof/>
        </w:rPr>
        <w:t>.</w:t>
      </w:r>
      <w:r w:rsidR="00752FFB" w:rsidRPr="009B5734" w:rsidDel="00F7509A">
        <w:rPr>
          <w:noProof/>
        </w:rPr>
        <w:t xml:space="preserve"> </w:t>
      </w:r>
    </w:p>
    <w:p w:rsidR="0079671C" w:rsidRPr="009B5734" w:rsidRDefault="0079671C" w:rsidP="003122AA">
      <w:pPr>
        <w:pStyle w:val="Text2"/>
        <w:spacing w:after="0"/>
        <w:ind w:left="0" w:firstLine="0"/>
        <w:rPr>
          <w:noProof/>
        </w:rPr>
      </w:pPr>
    </w:p>
    <w:p w:rsidR="0069378C" w:rsidRPr="009B5734" w:rsidRDefault="0069378C" w:rsidP="003122AA">
      <w:pPr>
        <w:ind w:left="0" w:firstLine="0"/>
        <w:rPr>
          <w:i/>
          <w:noProof/>
        </w:rPr>
      </w:pPr>
      <w:r w:rsidRPr="009B5734">
        <w:rPr>
          <w:rFonts w:ascii="Times New Roman" w:hAnsi="Times New Roman"/>
          <w:i/>
          <w:noProof/>
          <w:sz w:val="24"/>
        </w:rPr>
        <w:t>Coherence</w:t>
      </w:r>
      <w:r w:rsidR="00A55F60" w:rsidRPr="009B5734">
        <w:rPr>
          <w:rFonts w:ascii="Times New Roman" w:hAnsi="Times New Roman"/>
          <w:i/>
          <w:noProof/>
          <w:sz w:val="24"/>
        </w:rPr>
        <w:t xml:space="preserve"> and applicability of the legislation</w:t>
      </w:r>
      <w:r w:rsidR="003A76CC" w:rsidRPr="009B5734">
        <w:rPr>
          <w:rFonts w:ascii="Times New Roman" w:hAnsi="Times New Roman"/>
          <w:i/>
          <w:noProof/>
          <w:sz w:val="24"/>
        </w:rPr>
        <w:t>:</w:t>
      </w:r>
    </w:p>
    <w:p w:rsidR="00844F25" w:rsidRPr="009B5734" w:rsidRDefault="0069378C" w:rsidP="00020D3D">
      <w:pPr>
        <w:pStyle w:val="Text2"/>
        <w:spacing w:after="0"/>
        <w:ind w:left="0" w:firstLine="0"/>
        <w:rPr>
          <w:noProof/>
        </w:rPr>
      </w:pPr>
      <w:r w:rsidRPr="009B5734">
        <w:rPr>
          <w:noProof/>
        </w:rPr>
        <w:t xml:space="preserve">No issue of coherence </w:t>
      </w:r>
      <w:r w:rsidR="00844F25" w:rsidRPr="009B5734">
        <w:rPr>
          <w:noProof/>
        </w:rPr>
        <w:t>was</w:t>
      </w:r>
      <w:r w:rsidRPr="009B5734">
        <w:rPr>
          <w:noProof/>
        </w:rPr>
        <w:t xml:space="preserve"> identified</w:t>
      </w:r>
      <w:r w:rsidR="009336EF" w:rsidRPr="009B5734">
        <w:rPr>
          <w:noProof/>
        </w:rPr>
        <w:t xml:space="preserve"> for </w:t>
      </w:r>
      <w:r w:rsidR="009336EF" w:rsidRPr="009B5734">
        <w:rPr>
          <w:b/>
          <w:noProof/>
        </w:rPr>
        <w:t>option 2.1.A</w:t>
      </w:r>
      <w:r w:rsidRPr="009B5734">
        <w:rPr>
          <w:noProof/>
        </w:rPr>
        <w:t xml:space="preserve">. </w:t>
      </w:r>
      <w:r w:rsidR="009336EF" w:rsidRPr="009B5734">
        <w:rPr>
          <w:b/>
          <w:noProof/>
        </w:rPr>
        <w:t>Option 2.1.B</w:t>
      </w:r>
      <w:r w:rsidR="009336EF" w:rsidRPr="009B5734">
        <w:rPr>
          <w:noProof/>
        </w:rPr>
        <w:t xml:space="preserve"> is expected to </w:t>
      </w:r>
      <w:r w:rsidR="009336EF" w:rsidRPr="009B5734">
        <w:rPr>
          <w:b/>
          <w:noProof/>
        </w:rPr>
        <w:t>have a significant impact on ensuring a better and coherent application of the EU legal consumer framework</w:t>
      </w:r>
      <w:r w:rsidR="009336EF" w:rsidRPr="009B5734">
        <w:rPr>
          <w:noProof/>
        </w:rPr>
        <w:t xml:space="preserve"> </w:t>
      </w:r>
      <w:r w:rsidR="00BD10E5" w:rsidRPr="009B5734">
        <w:rPr>
          <w:noProof/>
        </w:rPr>
        <w:t>through adding more specific and stronger</w:t>
      </w:r>
      <w:r w:rsidR="009336EF" w:rsidRPr="009B5734">
        <w:rPr>
          <w:noProof/>
        </w:rPr>
        <w:t xml:space="preserve"> </w:t>
      </w:r>
      <w:r w:rsidR="00BD10E5" w:rsidRPr="009B5734">
        <w:rPr>
          <w:noProof/>
        </w:rPr>
        <w:t>consumer protection</w:t>
      </w:r>
      <w:r w:rsidR="009336EF" w:rsidRPr="009B5734">
        <w:rPr>
          <w:noProof/>
        </w:rPr>
        <w:t xml:space="preserve"> </w:t>
      </w:r>
      <w:r w:rsidR="00BD10E5" w:rsidRPr="009B5734">
        <w:rPr>
          <w:noProof/>
        </w:rPr>
        <w:t>rules</w:t>
      </w:r>
      <w:r w:rsidR="009336EF" w:rsidRPr="009B5734">
        <w:rPr>
          <w:noProof/>
        </w:rPr>
        <w:t>.</w:t>
      </w:r>
    </w:p>
    <w:p w:rsidR="00C571F9" w:rsidRPr="009B5734" w:rsidRDefault="00F27B20" w:rsidP="006B18B5">
      <w:pPr>
        <w:pStyle w:val="Heading5"/>
        <w:rPr>
          <w:rFonts w:ascii="Times New Roman" w:hAnsi="Times New Roman" w:cs="Times New Roman"/>
          <w:i w:val="0"/>
          <w:noProof/>
          <w:sz w:val="24"/>
        </w:rPr>
      </w:pPr>
      <w:bookmarkStart w:id="210" w:name="_Toc58149083"/>
      <w:bookmarkStart w:id="211" w:name="_Toc58222461"/>
      <w:bookmarkStart w:id="212" w:name="_Toc58603229"/>
      <w:bookmarkStart w:id="213" w:name="_Toc58604089"/>
      <w:bookmarkStart w:id="214" w:name="_Toc58605406"/>
      <w:bookmarkStart w:id="215" w:name="_Toc60734044"/>
      <w:r w:rsidRPr="009B5734">
        <w:rPr>
          <w:rFonts w:ascii="Times New Roman" w:hAnsi="Times New Roman" w:cs="Times New Roman"/>
          <w:i w:val="0"/>
          <w:noProof/>
          <w:sz w:val="24"/>
        </w:rPr>
        <w:t>How do the options compare?</w:t>
      </w:r>
      <w:bookmarkEnd w:id="210"/>
      <w:bookmarkEnd w:id="211"/>
      <w:bookmarkEnd w:id="212"/>
      <w:bookmarkEnd w:id="213"/>
      <w:bookmarkEnd w:id="214"/>
      <w:bookmarkEnd w:id="215"/>
      <w:r w:rsidRPr="009B5734">
        <w:rPr>
          <w:rFonts w:ascii="Times New Roman" w:hAnsi="Times New Roman" w:cs="Times New Roman"/>
          <w:i w:val="0"/>
          <w:noProof/>
          <w:sz w:val="24"/>
        </w:rPr>
        <w:t xml:space="preserve"> </w:t>
      </w:r>
    </w:p>
    <w:p w:rsidR="00D042F3" w:rsidRPr="009B5734" w:rsidRDefault="007F77C2" w:rsidP="006B46E5">
      <w:pPr>
        <w:spacing w:after="120"/>
        <w:ind w:left="0" w:firstLine="0"/>
        <w:rPr>
          <w:rFonts w:ascii="Times New Roman" w:hAnsi="Times New Roman"/>
          <w:noProof/>
          <w:sz w:val="24"/>
        </w:rPr>
      </w:pPr>
      <w:r w:rsidRPr="009B5734">
        <w:rPr>
          <w:rFonts w:ascii="Times New Roman" w:hAnsi="Times New Roman"/>
          <w:noProof/>
          <w:sz w:val="24"/>
        </w:rPr>
        <w:t xml:space="preserve">The results of the MCA </w:t>
      </w:r>
      <w:r w:rsidR="00CA5D30" w:rsidRPr="009B5734">
        <w:rPr>
          <w:rFonts w:ascii="Times New Roman" w:hAnsi="Times New Roman"/>
          <w:noProof/>
          <w:sz w:val="24"/>
        </w:rPr>
        <w:t xml:space="preserve">and the sensitivity </w:t>
      </w:r>
      <w:r w:rsidRPr="009B5734">
        <w:rPr>
          <w:rFonts w:ascii="Times New Roman" w:hAnsi="Times New Roman"/>
          <w:noProof/>
          <w:sz w:val="24"/>
        </w:rPr>
        <w:t>analysis</w:t>
      </w:r>
      <w:r w:rsidRPr="009B5734">
        <w:rPr>
          <w:rStyle w:val="FootnoteReference"/>
          <w:rFonts w:ascii="Times New Roman" w:hAnsi="Times New Roman" w:cs="Times New Roman"/>
          <w:noProof/>
          <w:sz w:val="24"/>
          <w:szCs w:val="24"/>
        </w:rPr>
        <w:footnoteReference w:id="113"/>
      </w:r>
      <w:r w:rsidRPr="009B5734">
        <w:rPr>
          <w:rStyle w:val="FootnoteReference"/>
          <w:rFonts w:eastAsia="Times New Roman" w:cs="Times New Roman"/>
          <w:noProof/>
          <w:szCs w:val="24"/>
        </w:rPr>
        <w:t xml:space="preserve"> </w:t>
      </w:r>
      <w:r w:rsidR="00FF080F" w:rsidRPr="009B5734">
        <w:rPr>
          <w:rFonts w:ascii="Times New Roman" w:hAnsi="Times New Roman"/>
          <w:noProof/>
          <w:sz w:val="24"/>
        </w:rPr>
        <w:t xml:space="preserve">(presented in </w:t>
      </w:r>
      <w:hyperlink w:anchor="_Sub-problem_2.1:_Early" w:history="1">
        <w:r w:rsidR="00FF080F" w:rsidRPr="009B5734">
          <w:rPr>
            <w:rStyle w:val="Hyperlink"/>
            <w:rFonts w:ascii="Times New Roman" w:hAnsi="Times New Roman"/>
            <w:noProof/>
            <w:sz w:val="24"/>
          </w:rPr>
          <w:t xml:space="preserve">Annex </w:t>
        </w:r>
        <w:r w:rsidR="00CA5D30" w:rsidRPr="009B5734">
          <w:rPr>
            <w:rStyle w:val="Hyperlink"/>
            <w:rFonts w:ascii="Times New Roman" w:hAnsi="Times New Roman"/>
            <w:noProof/>
            <w:sz w:val="24"/>
          </w:rPr>
          <w:t>9</w:t>
        </w:r>
        <w:r w:rsidR="00FF080F" w:rsidRPr="009B5734">
          <w:rPr>
            <w:rStyle w:val="Hyperlink"/>
            <w:rFonts w:ascii="Times New Roman" w:hAnsi="Times New Roman"/>
            <w:noProof/>
            <w:sz w:val="24"/>
          </w:rPr>
          <w:t xml:space="preserve">, section </w:t>
        </w:r>
        <w:r w:rsidR="009B0C84" w:rsidRPr="009B5734">
          <w:rPr>
            <w:rStyle w:val="Hyperlink"/>
            <w:rFonts w:ascii="Times New Roman" w:hAnsi="Times New Roman"/>
            <w:noProof/>
            <w:sz w:val="24"/>
          </w:rPr>
          <w:t>2.3</w:t>
        </w:r>
      </w:hyperlink>
      <w:r w:rsidR="00FF080F" w:rsidRPr="009B5734">
        <w:rPr>
          <w:rFonts w:ascii="Times New Roman" w:hAnsi="Times New Roman"/>
          <w:noProof/>
          <w:sz w:val="24"/>
        </w:rPr>
        <w:t xml:space="preserve">) </w:t>
      </w:r>
      <w:r w:rsidRPr="009B5734">
        <w:rPr>
          <w:rFonts w:ascii="Times New Roman" w:hAnsi="Times New Roman"/>
          <w:noProof/>
          <w:sz w:val="24"/>
        </w:rPr>
        <w:t>shows that</w:t>
      </w:r>
      <w:r w:rsidR="00CA5D30" w:rsidRPr="009B5734">
        <w:rPr>
          <w:rFonts w:ascii="Times New Roman" w:hAnsi="Times New Roman"/>
          <w:noProof/>
          <w:sz w:val="24"/>
        </w:rPr>
        <w:t xml:space="preserve"> </w:t>
      </w:r>
      <w:r w:rsidRPr="009B5734">
        <w:rPr>
          <w:rFonts w:ascii="Times New Roman" w:hAnsi="Times New Roman"/>
          <w:b/>
          <w:noProof/>
          <w:sz w:val="24"/>
        </w:rPr>
        <w:t>option 2.1.B</w:t>
      </w:r>
      <w:r w:rsidR="00CA5D30" w:rsidRPr="009B5734">
        <w:rPr>
          <w:rFonts w:ascii="Times New Roman" w:hAnsi="Times New Roman"/>
          <w:noProof/>
          <w:sz w:val="24"/>
        </w:rPr>
        <w:t xml:space="preserve"> (Ban of certain identified practices associated to early obsolescence)</w:t>
      </w:r>
      <w:r w:rsidRPr="009B5734">
        <w:rPr>
          <w:rFonts w:ascii="Times New Roman" w:hAnsi="Times New Roman"/>
          <w:noProof/>
          <w:sz w:val="24"/>
        </w:rPr>
        <w:t xml:space="preserve"> rank</w:t>
      </w:r>
      <w:r w:rsidR="00CA5D30" w:rsidRPr="009B5734">
        <w:rPr>
          <w:rFonts w:ascii="Times New Roman" w:hAnsi="Times New Roman"/>
          <w:noProof/>
          <w:sz w:val="24"/>
        </w:rPr>
        <w:t>s</w:t>
      </w:r>
      <w:r w:rsidRPr="009B5734">
        <w:rPr>
          <w:rFonts w:ascii="Times New Roman" w:hAnsi="Times New Roman"/>
          <w:noProof/>
          <w:sz w:val="24"/>
        </w:rPr>
        <w:t xml:space="preserve"> the highest</w:t>
      </w:r>
      <w:r w:rsidR="00CA5D30" w:rsidRPr="009B5734">
        <w:rPr>
          <w:rFonts w:ascii="Times New Roman" w:hAnsi="Times New Roman"/>
          <w:noProof/>
          <w:sz w:val="24"/>
        </w:rPr>
        <w:t xml:space="preserve">, followed by </w:t>
      </w:r>
      <w:r w:rsidR="00CA5D30" w:rsidRPr="009B5734">
        <w:rPr>
          <w:rFonts w:ascii="Times New Roman" w:hAnsi="Times New Roman"/>
          <w:b/>
          <w:noProof/>
          <w:sz w:val="24"/>
        </w:rPr>
        <w:t xml:space="preserve">option 2.1A </w:t>
      </w:r>
      <w:r w:rsidR="00CA5D30" w:rsidRPr="009B5734">
        <w:rPr>
          <w:rFonts w:ascii="Times New Roman" w:hAnsi="Times New Roman"/>
          <w:noProof/>
          <w:sz w:val="24"/>
        </w:rPr>
        <w:t xml:space="preserve"> (Information on early failures of products identified by authorised entities) and then the baseline</w:t>
      </w:r>
      <w:r w:rsidRPr="009B5734">
        <w:rPr>
          <w:rFonts w:ascii="Times New Roman" w:hAnsi="Times New Roman"/>
          <w:noProof/>
          <w:sz w:val="24"/>
        </w:rPr>
        <w:t>.</w:t>
      </w:r>
    </w:p>
    <w:p w:rsidR="00D042F3" w:rsidRPr="00F67503" w:rsidRDefault="00B96030" w:rsidP="004931D3">
      <w:pPr>
        <w:spacing w:after="120"/>
        <w:ind w:left="0" w:firstLine="0"/>
        <w:rPr>
          <w:rFonts w:ascii="Times New Roman" w:hAnsi="Times New Roman"/>
          <w:noProof/>
          <w:sz w:val="24"/>
          <w:szCs w:val="24"/>
        </w:rPr>
      </w:pPr>
      <w:r w:rsidRPr="005D24D2">
        <w:rPr>
          <w:rFonts w:ascii="Times New Roman" w:hAnsi="Times New Roman"/>
          <w:noProof/>
          <w:sz w:val="24"/>
          <w:szCs w:val="24"/>
        </w:rPr>
        <w:t>When looking at the proportionality of the two options, t</w:t>
      </w:r>
      <w:r w:rsidR="00D042F3" w:rsidRPr="005D24D2">
        <w:rPr>
          <w:rFonts w:ascii="Times New Roman" w:hAnsi="Times New Roman"/>
          <w:noProof/>
          <w:sz w:val="24"/>
          <w:szCs w:val="24"/>
        </w:rPr>
        <w:t>he MCA shows that the tangible and intangible costs of options 2.1A and 2.1.B are outweighed by their expected benefits (even for the worst-case scenario). The results of the partial cost-benefit analysis (which only considers tangible and monetisable impacts) also suggest that the benefits of options 2.1.A and 2.1.B are higher than their expected costs, with option 2.1.B presenting the highest net present value.</w:t>
      </w:r>
    </w:p>
    <w:p w:rsidR="007F77C2" w:rsidRPr="009B5734" w:rsidRDefault="007F77C2" w:rsidP="006B46E5">
      <w:pPr>
        <w:spacing w:after="120"/>
        <w:ind w:left="0" w:firstLine="0"/>
        <w:rPr>
          <w:rFonts w:ascii="Times New Roman" w:hAnsi="Times New Roman"/>
          <w:noProof/>
          <w:sz w:val="24"/>
        </w:rPr>
      </w:pPr>
      <w:r w:rsidRPr="009B5734">
        <w:rPr>
          <w:rFonts w:ascii="Times New Roman" w:hAnsi="Times New Roman"/>
          <w:noProof/>
          <w:sz w:val="24"/>
        </w:rPr>
        <w:t xml:space="preserve"> </w:t>
      </w:r>
    </w:p>
    <w:p w:rsidR="000245FD" w:rsidRPr="0084232A" w:rsidRDefault="00A00208" w:rsidP="00A00208">
      <w:pPr>
        <w:pStyle w:val="Heading4"/>
        <w:rPr>
          <w:noProof/>
        </w:rPr>
      </w:pPr>
      <w:bookmarkStart w:id="216" w:name="_Toc58149084"/>
      <w:bookmarkStart w:id="217" w:name="_Toc58604090"/>
      <w:r w:rsidRPr="00A00208">
        <w:t>6.2.2.</w:t>
      </w:r>
      <w:r w:rsidRPr="00A00208">
        <w:tab/>
      </w:r>
      <w:r w:rsidR="000245FD" w:rsidRPr="005D24D2">
        <w:rPr>
          <w:noProof/>
        </w:rPr>
        <w:t>Sub-problem 2.2: Consumers are faced with</w:t>
      </w:r>
      <w:r w:rsidR="00F166B4" w:rsidRPr="005D24D2">
        <w:rPr>
          <w:noProof/>
        </w:rPr>
        <w:t xml:space="preserve"> the practice of making</w:t>
      </w:r>
      <w:r w:rsidR="000245FD" w:rsidRPr="005D24D2">
        <w:rPr>
          <w:noProof/>
        </w:rPr>
        <w:t xml:space="preserve"> unclear or not well-substantiated environmental claims</w:t>
      </w:r>
      <w:bookmarkEnd w:id="216"/>
      <w:bookmarkEnd w:id="217"/>
      <w:r w:rsidR="00F166B4" w:rsidRPr="005D24D2">
        <w:rPr>
          <w:noProof/>
        </w:rPr>
        <w:t xml:space="preserve"> (“Greenwashing”)</w:t>
      </w:r>
    </w:p>
    <w:tbl>
      <w:tblPr>
        <w:tblStyle w:val="TableGrid"/>
        <w:tblW w:w="8864" w:type="dxa"/>
        <w:tblLook w:val="04A0" w:firstRow="1" w:lastRow="0" w:firstColumn="1" w:lastColumn="0" w:noHBand="0" w:noVBand="1"/>
      </w:tblPr>
      <w:tblGrid>
        <w:gridCol w:w="2939"/>
        <w:gridCol w:w="2985"/>
        <w:gridCol w:w="2940"/>
      </w:tblGrid>
      <w:tr w:rsidR="00463900" w:rsidRPr="009B5734" w:rsidTr="00463900">
        <w:trPr>
          <w:trHeight w:val="251"/>
        </w:trPr>
        <w:tc>
          <w:tcPr>
            <w:tcW w:w="2939" w:type="dxa"/>
          </w:tcPr>
          <w:p w:rsidR="00463900" w:rsidRPr="009B5734" w:rsidRDefault="00463900" w:rsidP="00463900">
            <w:pPr>
              <w:pStyle w:val="Text2"/>
              <w:ind w:left="0" w:firstLine="0"/>
              <w:rPr>
                <w:noProof/>
                <w:sz w:val="20"/>
              </w:rPr>
            </w:pPr>
            <w:r w:rsidRPr="009B5734">
              <w:rPr>
                <w:b/>
                <w:noProof/>
                <w:sz w:val="20"/>
              </w:rPr>
              <w:t xml:space="preserve">Option 2.2.A: </w:t>
            </w:r>
            <w:r w:rsidRPr="009B5734">
              <w:rPr>
                <w:noProof/>
                <w:sz w:val="20"/>
              </w:rPr>
              <w:t>Ban of general /vague environmental claims</w:t>
            </w:r>
            <w:r w:rsidRPr="009B5734">
              <w:rPr>
                <w:b/>
                <w:noProof/>
                <w:sz w:val="20"/>
              </w:rPr>
              <w:t xml:space="preserve">  </w:t>
            </w:r>
          </w:p>
        </w:tc>
        <w:tc>
          <w:tcPr>
            <w:tcW w:w="2985" w:type="dxa"/>
          </w:tcPr>
          <w:p w:rsidR="00463900" w:rsidRPr="009B5734" w:rsidRDefault="00463900" w:rsidP="00463900">
            <w:pPr>
              <w:pStyle w:val="Text2"/>
              <w:ind w:left="0" w:firstLine="0"/>
              <w:rPr>
                <w:noProof/>
                <w:sz w:val="20"/>
              </w:rPr>
            </w:pPr>
            <w:r w:rsidRPr="009B5734">
              <w:rPr>
                <w:b/>
                <w:noProof/>
                <w:sz w:val="20"/>
              </w:rPr>
              <w:t xml:space="preserve">Option 2.2.B: </w:t>
            </w:r>
            <w:r w:rsidRPr="009B5734">
              <w:rPr>
                <w:noProof/>
                <w:sz w:val="20"/>
              </w:rPr>
              <w:t>Prohibition of environmental claims that do not fulfil a minimum set of criteria</w:t>
            </w:r>
          </w:p>
        </w:tc>
        <w:tc>
          <w:tcPr>
            <w:tcW w:w="2940" w:type="dxa"/>
          </w:tcPr>
          <w:p w:rsidR="00463900" w:rsidRPr="009B5734" w:rsidRDefault="00463900" w:rsidP="00463900">
            <w:pPr>
              <w:pStyle w:val="Text2"/>
              <w:ind w:left="0" w:firstLine="0"/>
              <w:rPr>
                <w:noProof/>
                <w:sz w:val="20"/>
              </w:rPr>
            </w:pPr>
            <w:r w:rsidRPr="009B5734">
              <w:rPr>
                <w:b/>
                <w:noProof/>
                <w:sz w:val="20"/>
              </w:rPr>
              <w:t xml:space="preserve">Option 2.2.C: </w:t>
            </w:r>
            <w:r w:rsidRPr="009B5734">
              <w:rPr>
                <w:noProof/>
                <w:sz w:val="20"/>
              </w:rPr>
              <w:t>Option 2.2A + 2.2B</w:t>
            </w:r>
          </w:p>
        </w:tc>
      </w:tr>
    </w:tbl>
    <w:p w:rsidR="00764E91" w:rsidRPr="009B5734" w:rsidRDefault="000245FD" w:rsidP="006B18B5">
      <w:pPr>
        <w:pStyle w:val="Heading5"/>
        <w:rPr>
          <w:rFonts w:ascii="Times New Roman" w:hAnsi="Times New Roman" w:cs="Times New Roman"/>
          <w:i w:val="0"/>
          <w:noProof/>
          <w:sz w:val="24"/>
        </w:rPr>
      </w:pPr>
      <w:bookmarkStart w:id="218" w:name="_Impacts_of_the_1"/>
      <w:bookmarkStart w:id="219" w:name="_Toc58149085"/>
      <w:bookmarkStart w:id="220" w:name="_Toc58222463"/>
      <w:bookmarkStart w:id="221" w:name="_Toc58603231"/>
      <w:bookmarkStart w:id="222" w:name="_Toc58604091"/>
      <w:bookmarkStart w:id="223" w:name="_Toc58605408"/>
      <w:bookmarkStart w:id="224" w:name="_Toc60734046"/>
      <w:bookmarkEnd w:id="218"/>
      <w:r w:rsidRPr="009B5734">
        <w:rPr>
          <w:rStyle w:val="highlight"/>
          <w:rFonts w:ascii="Times New Roman" w:hAnsi="Times New Roman" w:cs="Times New Roman"/>
          <w:i w:val="0"/>
          <w:noProof/>
          <w:sz w:val="24"/>
        </w:rPr>
        <w:t>Impacts</w:t>
      </w:r>
      <w:r w:rsidRPr="009B5734">
        <w:rPr>
          <w:rFonts w:ascii="Times New Roman" w:hAnsi="Times New Roman" w:cs="Times New Roman"/>
          <w:i w:val="0"/>
          <w:noProof/>
          <w:sz w:val="24"/>
        </w:rPr>
        <w:t xml:space="preserve"> of the policy options</w:t>
      </w:r>
      <w:bookmarkEnd w:id="219"/>
      <w:bookmarkEnd w:id="220"/>
      <w:bookmarkEnd w:id="221"/>
      <w:bookmarkEnd w:id="222"/>
      <w:bookmarkEnd w:id="223"/>
      <w:bookmarkEnd w:id="224"/>
    </w:p>
    <w:p w:rsidR="0020183C" w:rsidRPr="009B5734" w:rsidRDefault="0020183C" w:rsidP="0020183C">
      <w:pPr>
        <w:ind w:left="0" w:firstLine="0"/>
        <w:rPr>
          <w:rFonts w:ascii="Times New Roman" w:hAnsi="Times New Roman"/>
          <w:i/>
          <w:noProof/>
          <w:sz w:val="24"/>
        </w:rPr>
      </w:pPr>
      <w:r w:rsidRPr="009B5734">
        <w:rPr>
          <w:rFonts w:ascii="Times New Roman" w:hAnsi="Times New Roman"/>
          <w:i/>
          <w:noProof/>
          <w:sz w:val="24"/>
        </w:rPr>
        <w:t>Impacts on consumers:</w:t>
      </w:r>
    </w:p>
    <w:p w:rsidR="00DB1AC5" w:rsidRPr="00966A36" w:rsidRDefault="0081081B" w:rsidP="00227800">
      <w:pPr>
        <w:ind w:left="0" w:firstLine="0"/>
        <w:rPr>
          <w:rFonts w:ascii="Times New Roman" w:hAnsi="Times New Roman" w:cs="Times New Roman"/>
          <w:noProof/>
          <w:sz w:val="24"/>
        </w:rPr>
      </w:pPr>
      <w:r w:rsidRPr="009B5734">
        <w:rPr>
          <w:rFonts w:ascii="Times New Roman" w:hAnsi="Times New Roman" w:cs="Times New Roman"/>
          <w:noProof/>
          <w:sz w:val="24"/>
        </w:rPr>
        <w:t xml:space="preserve">Under </w:t>
      </w:r>
      <w:r w:rsidRPr="009B5734">
        <w:rPr>
          <w:rFonts w:ascii="Times New Roman" w:hAnsi="Times New Roman" w:cs="Times New Roman"/>
          <w:b/>
          <w:noProof/>
          <w:sz w:val="24"/>
        </w:rPr>
        <w:t>option</w:t>
      </w:r>
      <w:r w:rsidR="00DB1AC5" w:rsidRPr="009B5734">
        <w:rPr>
          <w:rFonts w:ascii="Times New Roman" w:hAnsi="Times New Roman" w:cs="Times New Roman"/>
          <w:b/>
          <w:noProof/>
          <w:sz w:val="24"/>
        </w:rPr>
        <w:t xml:space="preserve"> 2.2.A</w:t>
      </w:r>
      <w:r w:rsidRPr="009B5734">
        <w:rPr>
          <w:rFonts w:ascii="Times New Roman" w:hAnsi="Times New Roman" w:cs="Times New Roman"/>
          <w:noProof/>
          <w:sz w:val="24"/>
        </w:rPr>
        <w:t xml:space="preserve">, </w:t>
      </w:r>
      <w:r w:rsidRPr="009B5734">
        <w:rPr>
          <w:rFonts w:ascii="Times New Roman" w:hAnsi="Times New Roman" w:cs="Times New Roman"/>
          <w:b/>
          <w:noProof/>
          <w:sz w:val="24"/>
        </w:rPr>
        <w:t>general/vague statements</w:t>
      </w:r>
      <w:r w:rsidRPr="009B5734">
        <w:rPr>
          <w:rFonts w:ascii="Times New Roman" w:hAnsi="Times New Roman" w:cs="Times New Roman"/>
          <w:noProof/>
          <w:sz w:val="24"/>
        </w:rPr>
        <w:t xml:space="preserve"> on the environmental performance of products </w:t>
      </w:r>
      <w:r w:rsidR="00B25602" w:rsidRPr="009B5734">
        <w:rPr>
          <w:rFonts w:ascii="Times New Roman" w:hAnsi="Times New Roman" w:cs="Times New Roman"/>
          <w:noProof/>
          <w:sz w:val="24"/>
        </w:rPr>
        <w:t xml:space="preserve">or traders </w:t>
      </w:r>
      <w:r w:rsidRPr="009B5734">
        <w:rPr>
          <w:rFonts w:ascii="Times New Roman" w:hAnsi="Times New Roman" w:cs="Times New Roman"/>
          <w:noProof/>
          <w:sz w:val="24"/>
        </w:rPr>
        <w:t>(such as “good for the environment”, “friend of nature”</w:t>
      </w:r>
      <w:r w:rsidR="007E0943" w:rsidRPr="009B5734">
        <w:rPr>
          <w:rFonts w:ascii="Times New Roman" w:hAnsi="Times New Roman" w:cs="Times New Roman"/>
          <w:noProof/>
          <w:sz w:val="24"/>
        </w:rPr>
        <w:t>,</w:t>
      </w:r>
      <w:r w:rsidR="00D12230" w:rsidRPr="009B5734">
        <w:rPr>
          <w:rFonts w:ascii="Times New Roman" w:hAnsi="Times New Roman" w:cs="Times New Roman"/>
          <w:noProof/>
          <w:sz w:val="24"/>
        </w:rPr>
        <w:t xml:space="preserve"> </w:t>
      </w:r>
      <w:r w:rsidRPr="009B5734">
        <w:rPr>
          <w:rFonts w:ascii="Times New Roman" w:hAnsi="Times New Roman" w:cs="Times New Roman"/>
          <w:noProof/>
          <w:sz w:val="24"/>
        </w:rPr>
        <w:t xml:space="preserve">etc.) </w:t>
      </w:r>
      <w:r w:rsidRPr="009B5734">
        <w:rPr>
          <w:rFonts w:ascii="Times New Roman" w:hAnsi="Times New Roman" w:cs="Times New Roman"/>
          <w:b/>
          <w:noProof/>
          <w:sz w:val="24"/>
        </w:rPr>
        <w:t>would be forbidden</w:t>
      </w:r>
      <w:r w:rsidRPr="009B5734">
        <w:rPr>
          <w:rFonts w:ascii="Times New Roman" w:hAnsi="Times New Roman" w:cs="Times New Roman"/>
          <w:noProof/>
          <w:sz w:val="24"/>
        </w:rPr>
        <w:t xml:space="preserve"> unless the product </w:t>
      </w:r>
      <w:r w:rsidR="00B25602" w:rsidRPr="009B5734">
        <w:rPr>
          <w:rFonts w:ascii="Times New Roman" w:hAnsi="Times New Roman" w:cs="Times New Roman"/>
          <w:noProof/>
          <w:sz w:val="24"/>
        </w:rPr>
        <w:t xml:space="preserve">or trader </w:t>
      </w:r>
      <w:r w:rsidRPr="009B5734">
        <w:rPr>
          <w:rFonts w:ascii="Times New Roman" w:hAnsi="Times New Roman" w:cs="Times New Roman"/>
          <w:noProof/>
          <w:sz w:val="24"/>
        </w:rPr>
        <w:t>is considered to have an “environmentally excellent performance”</w:t>
      </w:r>
      <w:r w:rsidR="00B25602" w:rsidRPr="009B5734">
        <w:rPr>
          <w:rFonts w:ascii="Times New Roman" w:hAnsi="Times New Roman" w:cs="Times New Roman"/>
          <w:noProof/>
          <w:sz w:val="24"/>
        </w:rPr>
        <w:t xml:space="preserve"> in accordance with EU applicable laws</w:t>
      </w:r>
      <w:r w:rsidR="00E64818" w:rsidRPr="009B5734">
        <w:rPr>
          <w:rFonts w:ascii="Times New Roman" w:hAnsi="Times New Roman" w:cs="Times New Roman"/>
          <w:noProof/>
          <w:sz w:val="24"/>
        </w:rPr>
        <w:t xml:space="preserve"> (e.g.</w:t>
      </w:r>
      <w:r w:rsidR="00096DA2" w:rsidRPr="009B5734">
        <w:rPr>
          <w:rFonts w:ascii="Times New Roman" w:hAnsi="Times New Roman" w:cs="Times New Roman"/>
          <w:noProof/>
          <w:sz w:val="24"/>
          <w:szCs w:val="24"/>
        </w:rPr>
        <w:t xml:space="preserve"> </w:t>
      </w:r>
      <w:r w:rsidR="006331BF" w:rsidRPr="009B5734">
        <w:rPr>
          <w:rFonts w:ascii="Times New Roman" w:hAnsi="Times New Roman" w:cs="Times New Roman"/>
          <w:noProof/>
          <w:sz w:val="24"/>
        </w:rPr>
        <w:t xml:space="preserve">presence </w:t>
      </w:r>
      <w:r w:rsidR="00E64818" w:rsidRPr="009B5734">
        <w:rPr>
          <w:rFonts w:ascii="Times New Roman" w:hAnsi="Times New Roman" w:cs="Times New Roman"/>
          <w:noProof/>
          <w:sz w:val="24"/>
        </w:rPr>
        <w:t>of the EU Ecolabel)</w:t>
      </w:r>
      <w:r w:rsidRPr="009B5734">
        <w:rPr>
          <w:rFonts w:ascii="Times New Roman" w:hAnsi="Times New Roman" w:cs="Times New Roman"/>
          <w:noProof/>
          <w:sz w:val="24"/>
        </w:rPr>
        <w:t xml:space="preserve">. </w:t>
      </w:r>
      <w:r w:rsidR="00BD10E5" w:rsidRPr="009B5734">
        <w:rPr>
          <w:rFonts w:ascii="Times New Roman" w:hAnsi="Times New Roman" w:cs="Times New Roman"/>
          <w:noProof/>
          <w:sz w:val="24"/>
        </w:rPr>
        <w:t>B</w:t>
      </w:r>
      <w:r w:rsidR="00C1494F" w:rsidRPr="009B5734">
        <w:rPr>
          <w:rFonts w:ascii="Times New Roman" w:hAnsi="Times New Roman" w:cs="Times New Roman"/>
          <w:noProof/>
          <w:sz w:val="24"/>
          <w:szCs w:val="24"/>
        </w:rPr>
        <w:t xml:space="preserve">anning such vague statements </w:t>
      </w:r>
      <w:r w:rsidR="00BD10E5" w:rsidRPr="009B5734">
        <w:rPr>
          <w:rFonts w:ascii="Times New Roman" w:hAnsi="Times New Roman" w:cs="Times New Roman"/>
          <w:noProof/>
          <w:sz w:val="24"/>
          <w:szCs w:val="24"/>
        </w:rPr>
        <w:t xml:space="preserve">will contribute to </w:t>
      </w:r>
      <w:r w:rsidR="00C1494F" w:rsidRPr="009B5734">
        <w:rPr>
          <w:rFonts w:ascii="Times New Roman" w:hAnsi="Times New Roman" w:cs="Times New Roman"/>
          <w:noProof/>
          <w:sz w:val="24"/>
          <w:szCs w:val="24"/>
        </w:rPr>
        <w:t xml:space="preserve">consumers taking </w:t>
      </w:r>
      <w:r w:rsidR="00BD10E5" w:rsidRPr="009B5734">
        <w:rPr>
          <w:rFonts w:ascii="Times New Roman" w:hAnsi="Times New Roman" w:cs="Times New Roman"/>
          <w:noProof/>
          <w:sz w:val="24"/>
          <w:szCs w:val="24"/>
        </w:rPr>
        <w:t xml:space="preserve">better informed </w:t>
      </w:r>
      <w:r w:rsidR="00C1494F" w:rsidRPr="009B5734">
        <w:rPr>
          <w:rFonts w:ascii="Times New Roman" w:hAnsi="Times New Roman" w:cs="Times New Roman"/>
          <w:noProof/>
          <w:sz w:val="24"/>
          <w:szCs w:val="24"/>
        </w:rPr>
        <w:t xml:space="preserve">decisions and </w:t>
      </w:r>
      <w:r w:rsidR="00BD10E5" w:rsidRPr="009B5734">
        <w:rPr>
          <w:rFonts w:ascii="Times New Roman" w:hAnsi="Times New Roman" w:cs="Times New Roman"/>
          <w:noProof/>
          <w:sz w:val="24"/>
          <w:szCs w:val="24"/>
        </w:rPr>
        <w:t xml:space="preserve">will </w:t>
      </w:r>
      <w:r w:rsidR="00C1494F" w:rsidRPr="009B5734">
        <w:rPr>
          <w:rFonts w:ascii="Times New Roman" w:hAnsi="Times New Roman" w:cs="Times New Roman"/>
          <w:noProof/>
          <w:sz w:val="24"/>
          <w:szCs w:val="24"/>
        </w:rPr>
        <w:t xml:space="preserve">also </w:t>
      </w:r>
      <w:r w:rsidR="00BD10E5" w:rsidRPr="009B5734">
        <w:rPr>
          <w:rFonts w:ascii="Times New Roman" w:hAnsi="Times New Roman" w:cs="Times New Roman"/>
          <w:noProof/>
          <w:sz w:val="24"/>
          <w:szCs w:val="24"/>
        </w:rPr>
        <w:t>give more prominence to those</w:t>
      </w:r>
      <w:r w:rsidR="00C1494F" w:rsidRPr="009B5734">
        <w:rPr>
          <w:rFonts w:ascii="Times New Roman" w:hAnsi="Times New Roman" w:cs="Times New Roman"/>
          <w:noProof/>
          <w:sz w:val="24"/>
          <w:szCs w:val="24"/>
        </w:rPr>
        <w:t xml:space="preserve"> products </w:t>
      </w:r>
      <w:r w:rsidR="00BD10E5" w:rsidRPr="009B5734">
        <w:rPr>
          <w:rFonts w:ascii="Times New Roman" w:hAnsi="Times New Roman" w:cs="Times New Roman"/>
          <w:noProof/>
          <w:sz w:val="24"/>
          <w:szCs w:val="24"/>
        </w:rPr>
        <w:t>that</w:t>
      </w:r>
      <w:r w:rsidR="00C1494F" w:rsidRPr="009B5734">
        <w:rPr>
          <w:rFonts w:ascii="Times New Roman" w:hAnsi="Times New Roman" w:cs="Times New Roman"/>
          <w:noProof/>
          <w:sz w:val="24"/>
          <w:szCs w:val="24"/>
        </w:rPr>
        <w:t xml:space="preserve"> are truly “environmental</w:t>
      </w:r>
      <w:r w:rsidR="006331BF" w:rsidRPr="009B5734">
        <w:rPr>
          <w:rFonts w:ascii="Times New Roman" w:hAnsi="Times New Roman" w:cs="Times New Roman"/>
          <w:noProof/>
          <w:sz w:val="24"/>
          <w:szCs w:val="24"/>
        </w:rPr>
        <w:t>ly</w:t>
      </w:r>
      <w:r w:rsidR="00C1494F" w:rsidRPr="009B5734">
        <w:rPr>
          <w:rFonts w:ascii="Times New Roman" w:hAnsi="Times New Roman" w:cs="Times New Roman"/>
          <w:noProof/>
          <w:sz w:val="24"/>
          <w:szCs w:val="24"/>
        </w:rPr>
        <w:t xml:space="preserve"> excellent”. </w:t>
      </w:r>
      <w:r w:rsidR="00C812C8" w:rsidRPr="009B5734">
        <w:rPr>
          <w:rFonts w:ascii="Times New Roman" w:hAnsi="Times New Roman" w:cs="Times New Roman"/>
          <w:noProof/>
          <w:sz w:val="24"/>
          <w:szCs w:val="24"/>
        </w:rPr>
        <w:t>The</w:t>
      </w:r>
      <w:r w:rsidR="00C1494F" w:rsidRPr="009B5734" w:rsidDel="00E45ABD">
        <w:rPr>
          <w:rFonts w:ascii="Times New Roman" w:hAnsi="Times New Roman" w:cs="Times New Roman"/>
          <w:noProof/>
          <w:sz w:val="24"/>
          <w:szCs w:val="24"/>
        </w:rPr>
        <w:t xml:space="preserve"> </w:t>
      </w:r>
      <w:r w:rsidR="00E45ABD" w:rsidRPr="009B5734">
        <w:rPr>
          <w:rFonts w:ascii="Times New Roman" w:hAnsi="Times New Roman" w:cs="Times New Roman"/>
          <w:noProof/>
          <w:sz w:val="24"/>
          <w:szCs w:val="24"/>
        </w:rPr>
        <w:t>option</w:t>
      </w:r>
      <w:r w:rsidR="00C1494F" w:rsidRPr="009B5734">
        <w:rPr>
          <w:rFonts w:ascii="Times New Roman" w:hAnsi="Times New Roman" w:cs="Times New Roman"/>
          <w:noProof/>
          <w:sz w:val="24"/>
          <w:szCs w:val="24"/>
        </w:rPr>
        <w:t xml:space="preserve"> </w:t>
      </w:r>
      <w:r w:rsidR="00C627A2" w:rsidRPr="009B5734">
        <w:rPr>
          <w:rFonts w:ascii="Times New Roman" w:hAnsi="Times New Roman" w:cs="Times New Roman"/>
          <w:noProof/>
          <w:sz w:val="24"/>
          <w:szCs w:val="24"/>
        </w:rPr>
        <w:t>will</w:t>
      </w:r>
      <w:r w:rsidR="00C1494F" w:rsidRPr="009B5734">
        <w:rPr>
          <w:rFonts w:ascii="Times New Roman" w:hAnsi="Times New Roman" w:cs="Times New Roman"/>
          <w:noProof/>
          <w:sz w:val="24"/>
          <w:szCs w:val="24"/>
        </w:rPr>
        <w:t xml:space="preserve"> have a </w:t>
      </w:r>
      <w:r w:rsidR="00C1494F" w:rsidRPr="009B5734">
        <w:rPr>
          <w:rFonts w:ascii="Times New Roman" w:hAnsi="Times New Roman" w:cs="Times New Roman"/>
          <w:b/>
          <w:noProof/>
          <w:sz w:val="24"/>
          <w:szCs w:val="24"/>
        </w:rPr>
        <w:t>positive impact on consumer trust</w:t>
      </w:r>
      <w:r w:rsidR="00C812C8" w:rsidRPr="009B5734">
        <w:rPr>
          <w:rFonts w:ascii="Times New Roman" w:hAnsi="Times New Roman" w:cs="Times New Roman"/>
          <w:noProof/>
          <w:sz w:val="24"/>
          <w:szCs w:val="24"/>
        </w:rPr>
        <w:t>, as</w:t>
      </w:r>
      <w:r w:rsidR="00C1494F" w:rsidRPr="009B5734">
        <w:rPr>
          <w:rFonts w:ascii="Times New Roman" w:hAnsi="Times New Roman" w:cs="Times New Roman"/>
          <w:noProof/>
          <w:sz w:val="24"/>
          <w:szCs w:val="24"/>
        </w:rPr>
        <w:t xml:space="preserve"> highlighted by stakeholders from all groups. </w:t>
      </w:r>
      <w:r w:rsidR="00C1494F" w:rsidRPr="009B5734">
        <w:rPr>
          <w:rFonts w:ascii="Times New Roman" w:hAnsi="Times New Roman"/>
          <w:noProof/>
          <w:sz w:val="24"/>
        </w:rPr>
        <w:t>T</w:t>
      </w:r>
      <w:r w:rsidR="0020183C" w:rsidRPr="009B5734">
        <w:rPr>
          <w:rFonts w:ascii="Times New Roman" w:hAnsi="Times New Roman"/>
          <w:noProof/>
          <w:sz w:val="24"/>
        </w:rPr>
        <w:t>he</w:t>
      </w:r>
      <w:r w:rsidR="00C1494F" w:rsidRPr="009B5734">
        <w:rPr>
          <w:rFonts w:ascii="Times New Roman" w:hAnsi="Times New Roman"/>
          <w:noProof/>
          <w:sz w:val="24"/>
        </w:rPr>
        <w:t xml:space="preserve"> </w:t>
      </w:r>
      <w:r w:rsidR="00E45ABD" w:rsidRPr="009B5734">
        <w:rPr>
          <w:rFonts w:ascii="Times New Roman" w:hAnsi="Times New Roman"/>
          <w:noProof/>
          <w:sz w:val="24"/>
        </w:rPr>
        <w:t xml:space="preserve">option </w:t>
      </w:r>
      <w:r w:rsidR="00C1494F" w:rsidRPr="009B5734">
        <w:rPr>
          <w:rFonts w:ascii="Times New Roman" w:hAnsi="Times New Roman"/>
          <w:noProof/>
          <w:sz w:val="24"/>
        </w:rPr>
        <w:t xml:space="preserve">is expected to lead to </w:t>
      </w:r>
      <w:r w:rsidR="0020183C" w:rsidRPr="009B5734">
        <w:rPr>
          <w:rFonts w:ascii="Times New Roman" w:hAnsi="Times New Roman"/>
          <w:noProof/>
          <w:sz w:val="24"/>
        </w:rPr>
        <w:t xml:space="preserve">consumer welfare estimated at </w:t>
      </w:r>
      <w:r w:rsidR="00C627A2" w:rsidRPr="009B5734">
        <w:rPr>
          <w:rFonts w:ascii="Times New Roman" w:hAnsi="Times New Roman"/>
          <w:b/>
          <w:noProof/>
          <w:sz w:val="24"/>
        </w:rPr>
        <w:t xml:space="preserve">EUR </w:t>
      </w:r>
      <w:r w:rsidR="007365A7" w:rsidRPr="009B5734">
        <w:rPr>
          <w:rFonts w:ascii="Times New Roman" w:hAnsi="Times New Roman"/>
          <w:b/>
          <w:noProof/>
          <w:sz w:val="24"/>
        </w:rPr>
        <w:t xml:space="preserve">2 </w:t>
      </w:r>
      <w:r w:rsidR="002E5A5F" w:rsidRPr="009B5734">
        <w:rPr>
          <w:rFonts w:ascii="Times New Roman" w:hAnsi="Times New Roman"/>
          <w:b/>
          <w:noProof/>
          <w:sz w:val="24"/>
        </w:rPr>
        <w:t xml:space="preserve">155 </w:t>
      </w:r>
      <w:r w:rsidR="007365A7" w:rsidRPr="009B5734">
        <w:rPr>
          <w:rFonts w:ascii="Times New Roman" w:hAnsi="Times New Roman"/>
          <w:b/>
          <w:noProof/>
          <w:sz w:val="24"/>
        </w:rPr>
        <w:t xml:space="preserve">– </w:t>
      </w:r>
      <w:r w:rsidR="003E5639" w:rsidRPr="009B5734">
        <w:rPr>
          <w:rFonts w:ascii="Times New Roman" w:hAnsi="Times New Roman"/>
          <w:b/>
          <w:noProof/>
          <w:sz w:val="24"/>
        </w:rPr>
        <w:t>3 9</w:t>
      </w:r>
      <w:r w:rsidR="002E5A5F" w:rsidRPr="009B5734">
        <w:rPr>
          <w:rFonts w:ascii="Times New Roman" w:hAnsi="Times New Roman"/>
          <w:b/>
          <w:noProof/>
          <w:sz w:val="24"/>
        </w:rPr>
        <w:t>6</w:t>
      </w:r>
      <w:r w:rsidR="003E5639" w:rsidRPr="009B5734">
        <w:rPr>
          <w:rFonts w:ascii="Times New Roman" w:hAnsi="Times New Roman"/>
          <w:b/>
          <w:noProof/>
          <w:sz w:val="24"/>
        </w:rPr>
        <w:t>0</w:t>
      </w:r>
      <w:r w:rsidR="007365A7" w:rsidRPr="009B5734">
        <w:rPr>
          <w:rFonts w:ascii="Times New Roman" w:hAnsi="Times New Roman"/>
          <w:b/>
          <w:noProof/>
          <w:sz w:val="24"/>
        </w:rPr>
        <w:t xml:space="preserve"> </w:t>
      </w:r>
      <w:r w:rsidR="007365A7" w:rsidRPr="009B5734">
        <w:rPr>
          <w:rFonts w:ascii="Times New Roman" w:hAnsi="Times New Roman" w:cs="Times New Roman"/>
          <w:b/>
          <w:noProof/>
          <w:sz w:val="24"/>
          <w:szCs w:val="24"/>
        </w:rPr>
        <w:t>million for the period 2025-2040</w:t>
      </w:r>
      <w:r w:rsidR="0035400C">
        <w:rPr>
          <w:rFonts w:ascii="Times New Roman" w:hAnsi="Times New Roman" w:cs="Times New Roman"/>
          <w:b/>
          <w:noProof/>
          <w:sz w:val="24"/>
          <w:szCs w:val="24"/>
        </w:rPr>
        <w:t xml:space="preserve"> (</w:t>
      </w:r>
      <w:r w:rsidR="0035400C" w:rsidRPr="0035400C">
        <w:rPr>
          <w:rFonts w:ascii="Times New Roman" w:hAnsi="Times New Roman" w:cs="Times New Roman"/>
          <w:noProof/>
          <w:sz w:val="24"/>
          <w:szCs w:val="24"/>
        </w:rPr>
        <w:t>or</w:t>
      </w:r>
      <w:r w:rsidR="0035400C">
        <w:rPr>
          <w:rFonts w:ascii="Times New Roman" w:hAnsi="Times New Roman" w:cs="Times New Roman"/>
          <w:b/>
          <w:noProof/>
          <w:sz w:val="24"/>
          <w:szCs w:val="24"/>
        </w:rPr>
        <w:t xml:space="preserve"> EUR 144 – 264 million per year)</w:t>
      </w:r>
      <w:r w:rsidR="00C627A2" w:rsidRPr="009B5734">
        <w:rPr>
          <w:rFonts w:ascii="Times New Roman" w:hAnsi="Times New Roman"/>
          <w:noProof/>
          <w:sz w:val="24"/>
        </w:rPr>
        <w:t>.</w:t>
      </w:r>
      <w:r w:rsidR="00DB1AC5" w:rsidRPr="009B5734">
        <w:rPr>
          <w:rFonts w:ascii="Times New Roman" w:hAnsi="Times New Roman"/>
          <w:noProof/>
          <w:sz w:val="24"/>
        </w:rPr>
        <w:t xml:space="preserve"> </w:t>
      </w:r>
      <w:r w:rsidR="00DB1AC5" w:rsidRPr="009B5734">
        <w:rPr>
          <w:rFonts w:ascii="Times New Roman" w:hAnsi="Times New Roman" w:cs="Times New Roman"/>
          <w:b/>
          <w:noProof/>
          <w:sz w:val="24"/>
          <w:szCs w:val="24"/>
        </w:rPr>
        <w:t>Option</w:t>
      </w:r>
      <w:r w:rsidR="00923C2E" w:rsidRPr="009B5734">
        <w:rPr>
          <w:rFonts w:ascii="Times New Roman" w:hAnsi="Times New Roman" w:cs="Times New Roman"/>
          <w:b/>
          <w:noProof/>
          <w:sz w:val="24"/>
          <w:szCs w:val="24"/>
        </w:rPr>
        <w:t xml:space="preserve"> 2.2.B</w:t>
      </w:r>
      <w:r w:rsidR="00923C2E" w:rsidRPr="009B5734">
        <w:rPr>
          <w:rFonts w:ascii="Times New Roman" w:hAnsi="Times New Roman" w:cs="Times New Roman"/>
          <w:noProof/>
          <w:sz w:val="24"/>
          <w:szCs w:val="24"/>
        </w:rPr>
        <w:t xml:space="preserve">, namely a </w:t>
      </w:r>
      <w:r w:rsidR="00DB1AC5" w:rsidRPr="009B5734">
        <w:rPr>
          <w:rFonts w:ascii="Times New Roman" w:hAnsi="Times New Roman" w:cs="Times New Roman"/>
          <w:b/>
          <w:noProof/>
          <w:sz w:val="24"/>
          <w:szCs w:val="24"/>
        </w:rPr>
        <w:t>prohibition of environmental claims that do not fulfil a minimum set of criteria</w:t>
      </w:r>
      <w:r w:rsidR="00923C2E" w:rsidRPr="009B5734">
        <w:rPr>
          <w:rFonts w:ascii="Times New Roman" w:hAnsi="Times New Roman" w:cs="Times New Roman"/>
          <w:noProof/>
          <w:sz w:val="24"/>
          <w:szCs w:val="24"/>
        </w:rPr>
        <w:t>,</w:t>
      </w:r>
      <w:r w:rsidR="00DB1AC5" w:rsidRPr="009B5734">
        <w:rPr>
          <w:rFonts w:ascii="Times New Roman" w:hAnsi="Times New Roman" w:cs="Times New Roman"/>
          <w:noProof/>
          <w:sz w:val="24"/>
          <w:szCs w:val="24"/>
        </w:rPr>
        <w:t xml:space="preserve"> would particularly </w:t>
      </w:r>
      <w:r w:rsidR="00496EA4" w:rsidRPr="009B5734">
        <w:rPr>
          <w:rFonts w:ascii="Times New Roman" w:hAnsi="Times New Roman" w:cs="Times New Roman"/>
          <w:noProof/>
          <w:sz w:val="24"/>
          <w:szCs w:val="24"/>
        </w:rPr>
        <w:t xml:space="preserve">provide for general rules for </w:t>
      </w:r>
      <w:r w:rsidR="00DB1AC5" w:rsidRPr="009B5734">
        <w:rPr>
          <w:rFonts w:ascii="Times New Roman" w:hAnsi="Times New Roman" w:cs="Times New Roman"/>
          <w:b/>
          <w:noProof/>
          <w:sz w:val="24"/>
          <w:szCs w:val="24"/>
        </w:rPr>
        <w:t>the claims not</w:t>
      </w:r>
      <w:r w:rsidR="0087152B">
        <w:rPr>
          <w:rFonts w:ascii="Times New Roman" w:hAnsi="Times New Roman" w:cs="Times New Roman"/>
          <w:b/>
          <w:noProof/>
          <w:sz w:val="24"/>
          <w:szCs w:val="24"/>
        </w:rPr>
        <w:t xml:space="preserve"> yet</w:t>
      </w:r>
      <w:r w:rsidR="00DB1AC5" w:rsidRPr="009B5734">
        <w:rPr>
          <w:rFonts w:ascii="Times New Roman" w:hAnsi="Times New Roman" w:cs="Times New Roman"/>
          <w:b/>
          <w:noProof/>
          <w:sz w:val="24"/>
          <w:szCs w:val="24"/>
        </w:rPr>
        <w:t xml:space="preserve"> covered under the Green Claims Initiative</w:t>
      </w:r>
      <w:r w:rsidR="00DB1AC5" w:rsidRPr="009B5734">
        <w:rPr>
          <w:rFonts w:ascii="Times New Roman" w:hAnsi="Times New Roman" w:cs="Times New Roman"/>
          <w:noProof/>
          <w:sz w:val="24"/>
          <w:szCs w:val="24"/>
        </w:rPr>
        <w:t>. By</w:t>
      </w:r>
      <w:r w:rsidR="00DB1AC5" w:rsidRPr="009B5734" w:rsidDel="003F47CB">
        <w:rPr>
          <w:rFonts w:ascii="Times New Roman" w:hAnsi="Times New Roman" w:cs="Times New Roman"/>
          <w:noProof/>
          <w:sz w:val="24"/>
          <w:szCs w:val="24"/>
        </w:rPr>
        <w:t xml:space="preserve"> </w:t>
      </w:r>
      <w:r w:rsidR="00BD10E5" w:rsidRPr="009B5734">
        <w:rPr>
          <w:rFonts w:ascii="Times New Roman" w:hAnsi="Times New Roman" w:cs="Times New Roman"/>
          <w:noProof/>
          <w:sz w:val="24"/>
          <w:szCs w:val="24"/>
        </w:rPr>
        <w:t>specifying</w:t>
      </w:r>
      <w:r w:rsidR="00DB1AC5" w:rsidRPr="009B5734">
        <w:rPr>
          <w:rFonts w:ascii="Times New Roman" w:hAnsi="Times New Roman" w:cs="Times New Roman"/>
          <w:noProof/>
          <w:sz w:val="24"/>
          <w:szCs w:val="24"/>
        </w:rPr>
        <w:t xml:space="preserve"> minimum criteria</w:t>
      </w:r>
      <w:r w:rsidR="00BD10E5" w:rsidRPr="009B5734">
        <w:rPr>
          <w:rFonts w:ascii="Times New Roman" w:hAnsi="Times New Roman" w:cs="Times New Roman"/>
          <w:noProof/>
          <w:sz w:val="24"/>
          <w:szCs w:val="24"/>
        </w:rPr>
        <w:t xml:space="preserve"> for assessing the fairness of other claims</w:t>
      </w:r>
      <w:r w:rsidR="00DB1AC5" w:rsidRPr="009B5734">
        <w:rPr>
          <w:rFonts w:ascii="Times New Roman" w:hAnsi="Times New Roman" w:cs="Times New Roman"/>
          <w:noProof/>
          <w:sz w:val="24"/>
          <w:szCs w:val="24"/>
        </w:rPr>
        <w:t xml:space="preserve">, this option will </w:t>
      </w:r>
      <w:r w:rsidR="00BD10E5" w:rsidRPr="009B5734">
        <w:rPr>
          <w:rFonts w:ascii="Times New Roman" w:hAnsi="Times New Roman" w:cs="Times New Roman"/>
          <w:noProof/>
          <w:sz w:val="24"/>
          <w:szCs w:val="24"/>
        </w:rPr>
        <w:t>further</w:t>
      </w:r>
      <w:r w:rsidR="00DB1AC5" w:rsidRPr="009B5734">
        <w:rPr>
          <w:rFonts w:ascii="Times New Roman" w:hAnsi="Times New Roman" w:cs="Times New Roman"/>
          <w:noProof/>
          <w:sz w:val="24"/>
          <w:szCs w:val="24"/>
        </w:rPr>
        <w:t xml:space="preserve"> contribute to improving the reliability of the information provided to consumers and, therefore, will have a positive impact on the decision making of consumers. </w:t>
      </w:r>
      <w:r w:rsidR="00DB1AC5" w:rsidRPr="009B5734">
        <w:rPr>
          <w:rFonts w:ascii="Times New Roman" w:hAnsi="Times New Roman" w:cs="Times New Roman"/>
          <w:noProof/>
          <w:sz w:val="24"/>
        </w:rPr>
        <w:t>W</w:t>
      </w:r>
      <w:r w:rsidR="00DB1AC5" w:rsidRPr="009B5734">
        <w:rPr>
          <w:rFonts w:ascii="Times New Roman" w:hAnsi="Times New Roman"/>
          <w:noProof/>
          <w:sz w:val="24"/>
        </w:rPr>
        <w:t xml:space="preserve">hen compared to </w:t>
      </w:r>
      <w:r w:rsidR="00C2308E" w:rsidRPr="009B5734">
        <w:rPr>
          <w:rFonts w:ascii="Times New Roman" w:hAnsi="Times New Roman"/>
          <w:noProof/>
          <w:sz w:val="24"/>
        </w:rPr>
        <w:t>this</w:t>
      </w:r>
      <w:r w:rsidR="00DB1AC5" w:rsidRPr="009B5734">
        <w:rPr>
          <w:rFonts w:ascii="Times New Roman" w:hAnsi="Times New Roman"/>
          <w:noProof/>
          <w:sz w:val="24"/>
        </w:rPr>
        <w:t xml:space="preserve"> alternative baseline, this impact </w:t>
      </w:r>
      <w:r w:rsidR="00C2308E" w:rsidRPr="009B5734">
        <w:rPr>
          <w:rFonts w:ascii="Times New Roman" w:hAnsi="Times New Roman"/>
          <w:noProof/>
          <w:sz w:val="24"/>
        </w:rPr>
        <w:t xml:space="preserve">is </w:t>
      </w:r>
      <w:r w:rsidR="00DB1AC5" w:rsidRPr="009B5734">
        <w:rPr>
          <w:rFonts w:ascii="Times New Roman" w:hAnsi="Times New Roman"/>
          <w:noProof/>
          <w:sz w:val="24"/>
        </w:rPr>
        <w:t>estimated to amount to</w:t>
      </w:r>
      <w:r w:rsidR="00B9711D" w:rsidRPr="009B5734">
        <w:rPr>
          <w:rFonts w:ascii="Times New Roman" w:hAnsi="Times New Roman"/>
          <w:noProof/>
          <w:sz w:val="24"/>
        </w:rPr>
        <w:t xml:space="preserve"> an increase in consumer welfare of</w:t>
      </w:r>
      <w:r w:rsidR="00DB1AC5" w:rsidRPr="009B5734">
        <w:rPr>
          <w:rFonts w:ascii="Times New Roman" w:hAnsi="Times New Roman"/>
          <w:noProof/>
          <w:sz w:val="24"/>
        </w:rPr>
        <w:t xml:space="preserve"> be</w:t>
      </w:r>
      <w:r w:rsidR="00B9711D" w:rsidRPr="009B5734">
        <w:rPr>
          <w:rFonts w:ascii="Times New Roman" w:hAnsi="Times New Roman"/>
          <w:noProof/>
          <w:sz w:val="24"/>
        </w:rPr>
        <w:t>tween</w:t>
      </w:r>
      <w:r w:rsidR="00DB1AC5" w:rsidRPr="009B5734">
        <w:rPr>
          <w:rFonts w:ascii="Times New Roman" w:hAnsi="Times New Roman"/>
          <w:noProof/>
          <w:sz w:val="24"/>
        </w:rPr>
        <w:t xml:space="preserve"> </w:t>
      </w:r>
      <w:r w:rsidR="00DB1AC5" w:rsidRPr="009B5734">
        <w:rPr>
          <w:rFonts w:ascii="Times New Roman" w:hAnsi="Times New Roman"/>
          <w:b/>
          <w:noProof/>
          <w:sz w:val="24"/>
        </w:rPr>
        <w:t xml:space="preserve">EUR </w:t>
      </w:r>
      <w:r w:rsidR="002E5A5F" w:rsidRPr="009B5734">
        <w:rPr>
          <w:rFonts w:ascii="Times New Roman" w:hAnsi="Times New Roman"/>
          <w:b/>
          <w:noProof/>
          <w:sz w:val="24"/>
        </w:rPr>
        <w:t>1580</w:t>
      </w:r>
      <w:r w:rsidR="00DB1AC5" w:rsidRPr="009B5734">
        <w:rPr>
          <w:rFonts w:ascii="Times New Roman" w:hAnsi="Times New Roman"/>
          <w:b/>
          <w:noProof/>
          <w:sz w:val="24"/>
        </w:rPr>
        <w:t xml:space="preserve"> – </w:t>
      </w:r>
      <w:r w:rsidR="002E5A5F" w:rsidRPr="009B5734">
        <w:rPr>
          <w:rFonts w:ascii="Times New Roman" w:hAnsi="Times New Roman"/>
          <w:b/>
          <w:noProof/>
          <w:sz w:val="24"/>
        </w:rPr>
        <w:t>2</w:t>
      </w:r>
      <w:r w:rsidR="003E5639" w:rsidRPr="009B5734">
        <w:rPr>
          <w:rFonts w:ascii="Times New Roman" w:hAnsi="Times New Roman"/>
          <w:b/>
          <w:noProof/>
          <w:sz w:val="24"/>
        </w:rPr>
        <w:t xml:space="preserve"> </w:t>
      </w:r>
      <w:r w:rsidR="002E5A5F" w:rsidRPr="009B5734">
        <w:rPr>
          <w:rFonts w:ascii="Times New Roman" w:hAnsi="Times New Roman"/>
          <w:b/>
          <w:noProof/>
          <w:sz w:val="24"/>
        </w:rPr>
        <w:t>91</w:t>
      </w:r>
      <w:r w:rsidR="003E5639" w:rsidRPr="009B5734">
        <w:rPr>
          <w:rFonts w:ascii="Times New Roman" w:hAnsi="Times New Roman"/>
          <w:b/>
          <w:noProof/>
          <w:sz w:val="24"/>
        </w:rPr>
        <w:t>0</w:t>
      </w:r>
      <w:r w:rsidR="00DB1AC5" w:rsidRPr="009B5734">
        <w:rPr>
          <w:rFonts w:ascii="Times New Roman" w:hAnsi="Times New Roman"/>
          <w:b/>
          <w:noProof/>
          <w:sz w:val="24"/>
        </w:rPr>
        <w:t xml:space="preserve"> million for the period 2025-2040</w:t>
      </w:r>
      <w:r w:rsidR="0035400C">
        <w:rPr>
          <w:rFonts w:ascii="Times New Roman" w:hAnsi="Times New Roman"/>
          <w:b/>
          <w:noProof/>
          <w:sz w:val="24"/>
        </w:rPr>
        <w:t xml:space="preserve"> (</w:t>
      </w:r>
      <w:r w:rsidR="0035400C" w:rsidRPr="00D13F6D">
        <w:rPr>
          <w:rFonts w:ascii="Times New Roman" w:hAnsi="Times New Roman"/>
          <w:noProof/>
          <w:sz w:val="24"/>
        </w:rPr>
        <w:t>or</w:t>
      </w:r>
      <w:r w:rsidR="0035400C">
        <w:rPr>
          <w:rFonts w:ascii="Times New Roman" w:hAnsi="Times New Roman"/>
          <w:b/>
          <w:noProof/>
          <w:sz w:val="24"/>
        </w:rPr>
        <w:t xml:space="preserve"> EUR 105 – 194 million per year)</w:t>
      </w:r>
      <w:r w:rsidR="00DB1AC5" w:rsidRPr="009B5734">
        <w:rPr>
          <w:rFonts w:ascii="Times New Roman" w:hAnsi="Times New Roman"/>
          <w:noProof/>
          <w:sz w:val="24"/>
        </w:rPr>
        <w:t xml:space="preserve">. </w:t>
      </w:r>
      <w:r w:rsidR="00DB1AC5" w:rsidRPr="009B5734">
        <w:rPr>
          <w:rFonts w:ascii="Times New Roman" w:hAnsi="Times New Roman"/>
          <w:b/>
          <w:noProof/>
          <w:sz w:val="24"/>
        </w:rPr>
        <w:t>Option 2.2.C</w:t>
      </w:r>
      <w:r w:rsidR="00DB1AC5" w:rsidRPr="009B5734">
        <w:rPr>
          <w:rFonts w:ascii="Times New Roman" w:hAnsi="Times New Roman"/>
          <w:noProof/>
          <w:sz w:val="24"/>
        </w:rPr>
        <w:t xml:space="preserve"> will entail a combination of the impacts described for option 2.2.A and option 2.2.B. The option is thus expected to lead to an increase in the consumer surplus, which is estimated to amount to </w:t>
      </w:r>
      <w:r w:rsidR="00DB1AC5" w:rsidRPr="009B5734">
        <w:rPr>
          <w:rFonts w:ascii="Times New Roman" w:hAnsi="Times New Roman"/>
          <w:b/>
          <w:noProof/>
          <w:sz w:val="24"/>
        </w:rPr>
        <w:t>EUR</w:t>
      </w:r>
      <w:r w:rsidR="00DB1AC5" w:rsidRPr="009B5734">
        <w:rPr>
          <w:rFonts w:ascii="Times New Roman" w:hAnsi="Times New Roman"/>
          <w:noProof/>
          <w:sz w:val="24"/>
        </w:rPr>
        <w:t xml:space="preserve"> </w:t>
      </w:r>
      <w:r w:rsidR="002E5A5F" w:rsidRPr="009B5734">
        <w:rPr>
          <w:rFonts w:ascii="Times New Roman" w:hAnsi="Times New Roman"/>
          <w:b/>
          <w:noProof/>
          <w:sz w:val="24"/>
        </w:rPr>
        <w:t xml:space="preserve">3 735 </w:t>
      </w:r>
      <w:r w:rsidR="00DB1AC5" w:rsidRPr="009B5734">
        <w:rPr>
          <w:rFonts w:ascii="Times New Roman" w:hAnsi="Times New Roman"/>
          <w:b/>
          <w:noProof/>
          <w:sz w:val="24"/>
        </w:rPr>
        <w:t xml:space="preserve">– </w:t>
      </w:r>
      <w:r w:rsidR="002E5A5F" w:rsidRPr="009B5734">
        <w:rPr>
          <w:rFonts w:ascii="Times New Roman" w:hAnsi="Times New Roman"/>
          <w:b/>
          <w:noProof/>
          <w:sz w:val="24"/>
        </w:rPr>
        <w:t>6</w:t>
      </w:r>
      <w:r w:rsidR="003E5639" w:rsidRPr="009B5734">
        <w:rPr>
          <w:rFonts w:ascii="Times New Roman" w:hAnsi="Times New Roman"/>
          <w:b/>
          <w:noProof/>
          <w:sz w:val="24"/>
        </w:rPr>
        <w:t xml:space="preserve"> </w:t>
      </w:r>
      <w:r w:rsidR="002E5A5F" w:rsidRPr="009B5734">
        <w:rPr>
          <w:rFonts w:ascii="Times New Roman" w:hAnsi="Times New Roman"/>
          <w:b/>
          <w:noProof/>
          <w:sz w:val="24"/>
        </w:rPr>
        <w:t xml:space="preserve">870 </w:t>
      </w:r>
      <w:r w:rsidR="00DB1AC5" w:rsidRPr="009B5734">
        <w:rPr>
          <w:rFonts w:ascii="Times New Roman" w:hAnsi="Times New Roman"/>
          <w:b/>
          <w:noProof/>
          <w:sz w:val="24"/>
        </w:rPr>
        <w:t>million</w:t>
      </w:r>
      <w:r w:rsidR="00DB1AC5" w:rsidRPr="009B5734" w:rsidDel="006331BF">
        <w:rPr>
          <w:rFonts w:ascii="Times New Roman" w:hAnsi="Times New Roman"/>
          <w:b/>
          <w:noProof/>
          <w:sz w:val="24"/>
        </w:rPr>
        <w:t xml:space="preserve"> </w:t>
      </w:r>
      <w:r w:rsidR="00DB1AC5" w:rsidRPr="009B5734">
        <w:rPr>
          <w:rFonts w:ascii="Times New Roman" w:hAnsi="Times New Roman"/>
          <w:b/>
          <w:noProof/>
          <w:sz w:val="24"/>
        </w:rPr>
        <w:t>for the period 2025-2040</w:t>
      </w:r>
      <w:r w:rsidR="00D13F6D">
        <w:rPr>
          <w:rFonts w:ascii="Times New Roman" w:hAnsi="Times New Roman"/>
          <w:b/>
          <w:noProof/>
          <w:sz w:val="24"/>
        </w:rPr>
        <w:t xml:space="preserve"> (</w:t>
      </w:r>
      <w:r w:rsidR="00D13F6D" w:rsidRPr="00D13F6D">
        <w:rPr>
          <w:rFonts w:ascii="Times New Roman" w:hAnsi="Times New Roman"/>
          <w:noProof/>
          <w:sz w:val="24"/>
        </w:rPr>
        <w:t>or</w:t>
      </w:r>
      <w:r w:rsidR="00D13F6D">
        <w:rPr>
          <w:rFonts w:ascii="Times New Roman" w:hAnsi="Times New Roman"/>
          <w:b/>
          <w:noProof/>
          <w:sz w:val="24"/>
        </w:rPr>
        <w:t xml:space="preserve"> EUR 249 – 458 million per year)</w:t>
      </w:r>
      <w:r w:rsidR="00DB1AC5" w:rsidRPr="009B5734">
        <w:rPr>
          <w:rFonts w:ascii="Times New Roman" w:hAnsi="Times New Roman"/>
          <w:noProof/>
          <w:sz w:val="24"/>
        </w:rPr>
        <w:t>.</w:t>
      </w:r>
    </w:p>
    <w:p w:rsidR="0020183C" w:rsidRPr="009B5734" w:rsidRDefault="0020183C" w:rsidP="005C28EF">
      <w:pPr>
        <w:ind w:left="0" w:firstLine="0"/>
        <w:rPr>
          <w:rFonts w:ascii="Times New Roman" w:hAnsi="Times New Roman"/>
          <w:noProof/>
          <w:sz w:val="24"/>
        </w:rPr>
      </w:pPr>
    </w:p>
    <w:p w:rsidR="0020183C" w:rsidRPr="009B5734" w:rsidRDefault="0020183C" w:rsidP="005C28EF">
      <w:pPr>
        <w:ind w:left="0" w:firstLine="0"/>
        <w:rPr>
          <w:i/>
          <w:noProof/>
        </w:rPr>
      </w:pPr>
      <w:r w:rsidRPr="009B5734">
        <w:rPr>
          <w:rFonts w:ascii="Times New Roman" w:hAnsi="Times New Roman"/>
          <w:i/>
          <w:noProof/>
          <w:sz w:val="24"/>
        </w:rPr>
        <w:t>Impacts on businesses:</w:t>
      </w:r>
    </w:p>
    <w:p w:rsidR="0087033F" w:rsidRPr="009B5734" w:rsidRDefault="00C1494F" w:rsidP="005C28EF">
      <w:pPr>
        <w:ind w:left="0" w:firstLine="0"/>
        <w:rPr>
          <w:rFonts w:ascii="Times New Roman" w:eastAsia="Times New Roman" w:hAnsi="Times New Roman" w:cs="Times New Roman"/>
          <w:noProof/>
          <w:sz w:val="24"/>
          <w:szCs w:val="20"/>
        </w:rPr>
      </w:pPr>
      <w:r w:rsidRPr="009B5734">
        <w:rPr>
          <w:rFonts w:ascii="Times New Roman" w:hAnsi="Times New Roman"/>
          <w:noProof/>
          <w:sz w:val="24"/>
        </w:rPr>
        <w:t xml:space="preserve">The impact of </w:t>
      </w:r>
      <w:r w:rsidR="00E45ABD" w:rsidRPr="009B5734">
        <w:rPr>
          <w:rFonts w:ascii="Times New Roman" w:hAnsi="Times New Roman"/>
          <w:b/>
          <w:noProof/>
          <w:sz w:val="24"/>
        </w:rPr>
        <w:t>option</w:t>
      </w:r>
      <w:r w:rsidR="00DB1AC5" w:rsidRPr="009B5734">
        <w:rPr>
          <w:rFonts w:ascii="Times New Roman" w:hAnsi="Times New Roman"/>
          <w:b/>
          <w:noProof/>
          <w:sz w:val="24"/>
        </w:rPr>
        <w:t xml:space="preserve"> 2.2A</w:t>
      </w:r>
      <w:r w:rsidR="00E45ABD" w:rsidRPr="009B5734">
        <w:rPr>
          <w:rFonts w:ascii="Times New Roman" w:hAnsi="Times New Roman"/>
          <w:noProof/>
          <w:sz w:val="24"/>
        </w:rPr>
        <w:t xml:space="preserve"> </w:t>
      </w:r>
      <w:r w:rsidRPr="009B5734">
        <w:rPr>
          <w:rFonts w:ascii="Times New Roman" w:hAnsi="Times New Roman"/>
          <w:noProof/>
          <w:sz w:val="24"/>
        </w:rPr>
        <w:t xml:space="preserve">on </w:t>
      </w:r>
      <w:r w:rsidR="00275A6F" w:rsidRPr="009B5734">
        <w:rPr>
          <w:rFonts w:ascii="Times New Roman" w:hAnsi="Times New Roman"/>
          <w:noProof/>
          <w:sz w:val="24"/>
        </w:rPr>
        <w:t>a level playing field</w:t>
      </w:r>
      <w:r w:rsidRPr="009B5734">
        <w:rPr>
          <w:rFonts w:ascii="Times New Roman" w:hAnsi="Times New Roman"/>
          <w:noProof/>
          <w:sz w:val="24"/>
        </w:rPr>
        <w:t xml:space="preserve"> is expected to be positive as products with unsubstantiated </w:t>
      </w:r>
      <w:r w:rsidR="00DD00DE" w:rsidRPr="009B5734">
        <w:rPr>
          <w:rFonts w:ascii="Times New Roman" w:hAnsi="Times New Roman"/>
          <w:noProof/>
          <w:sz w:val="24"/>
        </w:rPr>
        <w:t xml:space="preserve">vague </w:t>
      </w:r>
      <w:r w:rsidRPr="009B5734">
        <w:rPr>
          <w:rFonts w:ascii="Times New Roman" w:hAnsi="Times New Roman"/>
          <w:noProof/>
          <w:sz w:val="24"/>
        </w:rPr>
        <w:t xml:space="preserve">claims will no longer </w:t>
      </w:r>
      <w:r w:rsidR="00275A6F" w:rsidRPr="009B5734">
        <w:rPr>
          <w:rFonts w:ascii="Times New Roman" w:hAnsi="Times New Roman"/>
          <w:noProof/>
          <w:sz w:val="24"/>
        </w:rPr>
        <w:t>compete with</w:t>
      </w:r>
      <w:r w:rsidRPr="009B5734">
        <w:rPr>
          <w:rFonts w:ascii="Times New Roman" w:hAnsi="Times New Roman"/>
          <w:noProof/>
          <w:sz w:val="24"/>
        </w:rPr>
        <w:t xml:space="preserve"> products that are indeed </w:t>
      </w:r>
      <w:r w:rsidR="006331BF" w:rsidRPr="009B5734">
        <w:rPr>
          <w:rFonts w:ascii="Times New Roman" w:hAnsi="Times New Roman"/>
          <w:noProof/>
          <w:sz w:val="24"/>
        </w:rPr>
        <w:t xml:space="preserve">environmentally </w:t>
      </w:r>
      <w:r w:rsidRPr="009B5734">
        <w:rPr>
          <w:rFonts w:ascii="Times New Roman" w:hAnsi="Times New Roman"/>
          <w:noProof/>
          <w:sz w:val="24"/>
        </w:rPr>
        <w:t>excellent. The</w:t>
      </w:r>
      <w:r w:rsidRPr="009B5734" w:rsidDel="00E45ABD">
        <w:rPr>
          <w:rFonts w:ascii="Times New Roman" w:hAnsi="Times New Roman"/>
          <w:noProof/>
          <w:sz w:val="24"/>
        </w:rPr>
        <w:t xml:space="preserve"> </w:t>
      </w:r>
      <w:r w:rsidR="00E45ABD" w:rsidRPr="009B5734">
        <w:rPr>
          <w:rFonts w:ascii="Times New Roman" w:hAnsi="Times New Roman"/>
          <w:noProof/>
          <w:sz w:val="24"/>
        </w:rPr>
        <w:t>option</w:t>
      </w:r>
      <w:r w:rsidRPr="009B5734">
        <w:rPr>
          <w:rFonts w:ascii="Times New Roman" w:hAnsi="Times New Roman"/>
          <w:noProof/>
          <w:sz w:val="24"/>
        </w:rPr>
        <w:t xml:space="preserve"> is expected to entail </w:t>
      </w:r>
      <w:r w:rsidR="00C812C8" w:rsidRPr="009B5734">
        <w:rPr>
          <w:rFonts w:ascii="Times New Roman" w:hAnsi="Times New Roman"/>
          <w:b/>
          <w:noProof/>
          <w:sz w:val="24"/>
        </w:rPr>
        <w:t xml:space="preserve">compliance </w:t>
      </w:r>
      <w:r w:rsidRPr="009B5734">
        <w:rPr>
          <w:rFonts w:ascii="Times New Roman" w:hAnsi="Times New Roman"/>
          <w:b/>
          <w:noProof/>
          <w:sz w:val="24"/>
        </w:rPr>
        <w:t xml:space="preserve">costs for businesses </w:t>
      </w:r>
      <w:r w:rsidR="00C627A2" w:rsidRPr="009B5734">
        <w:rPr>
          <w:rFonts w:ascii="Times New Roman" w:hAnsi="Times New Roman"/>
          <w:noProof/>
          <w:sz w:val="24"/>
        </w:rPr>
        <w:t xml:space="preserve">at </w:t>
      </w:r>
      <w:r w:rsidR="00C627A2" w:rsidRPr="009B5734">
        <w:rPr>
          <w:rFonts w:ascii="Times New Roman" w:hAnsi="Times New Roman"/>
          <w:b/>
          <w:noProof/>
          <w:sz w:val="24"/>
        </w:rPr>
        <w:t xml:space="preserve">EUR </w:t>
      </w:r>
      <w:r w:rsidR="003E5639" w:rsidRPr="009B5734">
        <w:rPr>
          <w:rFonts w:ascii="Times New Roman" w:hAnsi="Times New Roman"/>
          <w:b/>
          <w:noProof/>
          <w:sz w:val="24"/>
        </w:rPr>
        <w:t>2 900</w:t>
      </w:r>
      <w:r w:rsidR="00F547B1" w:rsidRPr="009B5734">
        <w:rPr>
          <w:rFonts w:ascii="Times New Roman" w:hAnsi="Times New Roman"/>
          <w:b/>
          <w:noProof/>
          <w:sz w:val="24"/>
        </w:rPr>
        <w:t xml:space="preserve"> – 3 </w:t>
      </w:r>
      <w:r w:rsidR="003E5639" w:rsidRPr="009B5734">
        <w:rPr>
          <w:rFonts w:ascii="Times New Roman" w:hAnsi="Times New Roman"/>
          <w:b/>
          <w:noProof/>
          <w:sz w:val="24"/>
        </w:rPr>
        <w:t>1</w:t>
      </w:r>
      <w:r w:rsidR="002E5A5F" w:rsidRPr="009B5734">
        <w:rPr>
          <w:rFonts w:ascii="Times New Roman" w:hAnsi="Times New Roman"/>
          <w:b/>
          <w:noProof/>
          <w:sz w:val="24"/>
        </w:rPr>
        <w:t>5</w:t>
      </w:r>
      <w:r w:rsidR="00F547B1" w:rsidRPr="009B5734">
        <w:rPr>
          <w:rFonts w:ascii="Times New Roman" w:hAnsi="Times New Roman"/>
          <w:b/>
          <w:noProof/>
          <w:sz w:val="24"/>
        </w:rPr>
        <w:t>0 million</w:t>
      </w:r>
      <w:r w:rsidR="00F547B1" w:rsidRPr="009B5734">
        <w:rPr>
          <w:rFonts w:ascii="Times New Roman" w:hAnsi="Times New Roman"/>
          <w:noProof/>
          <w:sz w:val="24"/>
        </w:rPr>
        <w:t xml:space="preserve"> for the period 2025-2040</w:t>
      </w:r>
      <w:r w:rsidR="00D13F6D">
        <w:rPr>
          <w:rFonts w:ascii="Times New Roman" w:hAnsi="Times New Roman"/>
          <w:noProof/>
          <w:sz w:val="24"/>
        </w:rPr>
        <w:t xml:space="preserve"> (or </w:t>
      </w:r>
      <w:r w:rsidR="00D13F6D" w:rsidRPr="00D13F6D">
        <w:rPr>
          <w:rFonts w:ascii="Times New Roman" w:hAnsi="Times New Roman"/>
          <w:b/>
          <w:noProof/>
          <w:sz w:val="24"/>
        </w:rPr>
        <w:t>EUR 193 – 210 million per year</w:t>
      </w:r>
      <w:r w:rsidR="00D13F6D">
        <w:rPr>
          <w:rFonts w:ascii="Times New Roman" w:hAnsi="Times New Roman"/>
          <w:noProof/>
          <w:sz w:val="24"/>
        </w:rPr>
        <w:t>)</w:t>
      </w:r>
      <w:r w:rsidR="00BB4AE8" w:rsidRPr="009B5734">
        <w:rPr>
          <w:rFonts w:ascii="Times New Roman" w:hAnsi="Times New Roman"/>
          <w:noProof/>
          <w:sz w:val="24"/>
        </w:rPr>
        <w:t xml:space="preserve">, linked to </w:t>
      </w:r>
      <w:r w:rsidR="002619B5" w:rsidRPr="009B5734">
        <w:rPr>
          <w:rFonts w:ascii="Times New Roman" w:hAnsi="Times New Roman"/>
          <w:noProof/>
          <w:sz w:val="24"/>
        </w:rPr>
        <w:t>familiarisation with the option and</w:t>
      </w:r>
      <w:r w:rsidR="00BB4AE8" w:rsidRPr="009B5734">
        <w:rPr>
          <w:rFonts w:ascii="Times New Roman" w:hAnsi="Times New Roman"/>
          <w:noProof/>
          <w:sz w:val="24"/>
        </w:rPr>
        <w:t xml:space="preserve"> the removal of unfounded claims</w:t>
      </w:r>
      <w:r w:rsidR="002619B5" w:rsidRPr="009B5734">
        <w:rPr>
          <w:rFonts w:ascii="Times New Roman" w:hAnsi="Times New Roman"/>
          <w:noProof/>
          <w:sz w:val="24"/>
        </w:rPr>
        <w:t xml:space="preserve"> for the small share of products in stock before the approval of the measure</w:t>
      </w:r>
      <w:r w:rsidR="00BB4AE8" w:rsidRPr="009B5734">
        <w:rPr>
          <w:rFonts w:ascii="Times New Roman" w:hAnsi="Times New Roman"/>
          <w:noProof/>
          <w:sz w:val="24"/>
        </w:rPr>
        <w:t>.</w:t>
      </w:r>
      <w:r w:rsidR="00DB1AC5" w:rsidRPr="009B5734">
        <w:rPr>
          <w:rFonts w:ascii="Times New Roman" w:hAnsi="Times New Roman"/>
          <w:noProof/>
          <w:sz w:val="24"/>
        </w:rPr>
        <w:t xml:space="preserve"> The impact of</w:t>
      </w:r>
      <w:r w:rsidR="00DB1AC5" w:rsidRPr="009B5734">
        <w:rPr>
          <w:rFonts w:ascii="Times New Roman" w:hAnsi="Times New Roman"/>
          <w:b/>
          <w:noProof/>
          <w:sz w:val="24"/>
        </w:rPr>
        <w:t xml:space="preserve"> option 2.2.B </w:t>
      </w:r>
      <w:r w:rsidR="00DB1AC5" w:rsidRPr="009B5734">
        <w:rPr>
          <w:rFonts w:ascii="Times New Roman" w:hAnsi="Times New Roman"/>
          <w:noProof/>
          <w:sz w:val="24"/>
        </w:rPr>
        <w:t>on the level playing field is expected to be positive</w:t>
      </w:r>
      <w:r w:rsidR="00E64818" w:rsidRPr="009B5734">
        <w:rPr>
          <w:rFonts w:ascii="Times New Roman" w:hAnsi="Times New Roman"/>
          <w:noProof/>
          <w:sz w:val="24"/>
        </w:rPr>
        <w:t>,</w:t>
      </w:r>
      <w:r w:rsidR="00DB1AC5" w:rsidRPr="009B5734">
        <w:rPr>
          <w:rFonts w:ascii="Times New Roman" w:hAnsi="Times New Roman"/>
          <w:noProof/>
          <w:sz w:val="24"/>
        </w:rPr>
        <w:t xml:space="preserve"> as products with unsubstantiated claims will no longer compete with products containing green claims complying with the minimum set</w:t>
      </w:r>
      <w:r w:rsidR="00E64818" w:rsidRPr="009B5734">
        <w:rPr>
          <w:rFonts w:ascii="Times New Roman" w:hAnsi="Times New Roman"/>
          <w:noProof/>
          <w:sz w:val="24"/>
        </w:rPr>
        <w:t xml:space="preserve"> of criteria.  </w:t>
      </w:r>
      <w:r w:rsidR="00DB1AC5" w:rsidRPr="009B5734">
        <w:rPr>
          <w:rFonts w:ascii="Times New Roman" w:hAnsi="Times New Roman"/>
          <w:noProof/>
          <w:sz w:val="24"/>
        </w:rPr>
        <w:t>The</w:t>
      </w:r>
      <w:r w:rsidR="00DB1AC5" w:rsidRPr="009B5734" w:rsidDel="00E45ABD">
        <w:rPr>
          <w:rFonts w:ascii="Times New Roman" w:hAnsi="Times New Roman"/>
          <w:noProof/>
          <w:sz w:val="24"/>
        </w:rPr>
        <w:t xml:space="preserve"> </w:t>
      </w:r>
      <w:r w:rsidR="00DB1AC5" w:rsidRPr="009B5734">
        <w:rPr>
          <w:rFonts w:ascii="Times New Roman" w:hAnsi="Times New Roman"/>
          <w:noProof/>
          <w:sz w:val="24"/>
        </w:rPr>
        <w:t xml:space="preserve">option is expected to entail compliance costs of </w:t>
      </w:r>
      <w:r w:rsidR="00DB1AC5" w:rsidRPr="009B5734">
        <w:rPr>
          <w:rFonts w:ascii="Times New Roman" w:hAnsi="Times New Roman"/>
          <w:b/>
          <w:noProof/>
          <w:sz w:val="24"/>
        </w:rPr>
        <w:t xml:space="preserve">EUR </w:t>
      </w:r>
      <w:r w:rsidR="003E5639" w:rsidRPr="009B5734">
        <w:rPr>
          <w:rFonts w:ascii="Times New Roman" w:hAnsi="Times New Roman"/>
          <w:b/>
          <w:noProof/>
          <w:sz w:val="24"/>
        </w:rPr>
        <w:t>2 900</w:t>
      </w:r>
      <w:r w:rsidR="00DB1AC5" w:rsidRPr="009B5734">
        <w:rPr>
          <w:rFonts w:ascii="Times New Roman" w:hAnsi="Times New Roman"/>
          <w:b/>
          <w:noProof/>
          <w:sz w:val="24"/>
        </w:rPr>
        <w:t xml:space="preserve"> – 3 </w:t>
      </w:r>
      <w:r w:rsidR="003E5639" w:rsidRPr="009B5734">
        <w:rPr>
          <w:rFonts w:ascii="Times New Roman" w:hAnsi="Times New Roman"/>
          <w:b/>
          <w:noProof/>
          <w:sz w:val="24"/>
        </w:rPr>
        <w:t>1</w:t>
      </w:r>
      <w:r w:rsidR="002E5A5F" w:rsidRPr="009B5734">
        <w:rPr>
          <w:rFonts w:ascii="Times New Roman" w:hAnsi="Times New Roman"/>
          <w:b/>
          <w:noProof/>
          <w:sz w:val="24"/>
        </w:rPr>
        <w:t>5</w:t>
      </w:r>
      <w:r w:rsidR="00DB1AC5" w:rsidRPr="009B5734">
        <w:rPr>
          <w:rFonts w:ascii="Times New Roman" w:hAnsi="Times New Roman"/>
          <w:b/>
          <w:noProof/>
          <w:sz w:val="24"/>
        </w:rPr>
        <w:t>0 million for the period 2025-2040</w:t>
      </w:r>
      <w:r w:rsidR="00D13F6D">
        <w:rPr>
          <w:rFonts w:ascii="Times New Roman" w:hAnsi="Times New Roman"/>
          <w:b/>
          <w:noProof/>
          <w:sz w:val="24"/>
        </w:rPr>
        <w:t xml:space="preserve"> (</w:t>
      </w:r>
      <w:r w:rsidR="00D13F6D" w:rsidRPr="00D13F6D">
        <w:rPr>
          <w:rFonts w:ascii="Times New Roman" w:hAnsi="Times New Roman"/>
          <w:noProof/>
          <w:sz w:val="24"/>
        </w:rPr>
        <w:t>or</w:t>
      </w:r>
      <w:r w:rsidR="00D13F6D">
        <w:rPr>
          <w:rFonts w:ascii="Times New Roman" w:hAnsi="Times New Roman"/>
          <w:b/>
          <w:noProof/>
          <w:sz w:val="24"/>
        </w:rPr>
        <w:t xml:space="preserve"> EUR 193 – 210 million per year)</w:t>
      </w:r>
      <w:r w:rsidR="00DB1AC5" w:rsidRPr="009B5734">
        <w:rPr>
          <w:rFonts w:ascii="Times New Roman" w:hAnsi="Times New Roman"/>
          <w:noProof/>
          <w:sz w:val="24"/>
        </w:rPr>
        <w:t>, of which about 99% will be for SMEs.</w:t>
      </w:r>
      <w:r w:rsidR="00DB1AC5" w:rsidRPr="009B5734" w:rsidDel="00BD3D0B">
        <w:rPr>
          <w:rFonts w:ascii="Times New Roman" w:hAnsi="Times New Roman"/>
          <w:noProof/>
          <w:sz w:val="24"/>
        </w:rPr>
        <w:t xml:space="preserve"> </w:t>
      </w:r>
      <w:r w:rsidR="00923C2E" w:rsidRPr="009B5734">
        <w:rPr>
          <w:rFonts w:ascii="Times New Roman" w:hAnsi="Times New Roman"/>
          <w:b/>
          <w:noProof/>
          <w:sz w:val="24"/>
        </w:rPr>
        <w:t>Option 2.2.C</w:t>
      </w:r>
      <w:r w:rsidR="00923C2E" w:rsidRPr="009B5734">
        <w:rPr>
          <w:rFonts w:ascii="Times New Roman" w:hAnsi="Times New Roman"/>
          <w:noProof/>
          <w:sz w:val="24"/>
        </w:rPr>
        <w:t xml:space="preserve"> will entail a combination of the impacts described for option 2.2.A and option 2.2.B</w:t>
      </w:r>
      <w:r w:rsidR="00923C2E" w:rsidRPr="009B5734">
        <w:rPr>
          <w:i/>
          <w:noProof/>
        </w:rPr>
        <w:t xml:space="preserve">. </w:t>
      </w:r>
      <w:r w:rsidR="00923C2E" w:rsidRPr="009B5734">
        <w:rPr>
          <w:rFonts w:ascii="Times New Roman" w:hAnsi="Times New Roman"/>
          <w:noProof/>
          <w:sz w:val="24"/>
        </w:rPr>
        <w:t xml:space="preserve">There are </w:t>
      </w:r>
      <w:r w:rsidR="00756E8B" w:rsidRPr="009B5734">
        <w:rPr>
          <w:rFonts w:ascii="Times New Roman" w:hAnsi="Times New Roman" w:cs="Times New Roman"/>
          <w:b/>
          <w:noProof/>
          <w:sz w:val="24"/>
        </w:rPr>
        <w:t>certain</w:t>
      </w:r>
      <w:r w:rsidR="00756E8B" w:rsidRPr="009B5734">
        <w:rPr>
          <w:rFonts w:ascii="Times New Roman" w:hAnsi="Times New Roman"/>
          <w:b/>
          <w:noProof/>
          <w:sz w:val="24"/>
        </w:rPr>
        <w:t xml:space="preserve"> </w:t>
      </w:r>
      <w:r w:rsidR="00923C2E" w:rsidRPr="009B5734">
        <w:rPr>
          <w:rFonts w:ascii="Times New Roman" w:hAnsi="Times New Roman"/>
          <w:b/>
          <w:noProof/>
          <w:sz w:val="24"/>
        </w:rPr>
        <w:t>economies of scales</w:t>
      </w:r>
      <w:r w:rsidR="00923C2E" w:rsidRPr="009B5734">
        <w:rPr>
          <w:rFonts w:ascii="Times New Roman" w:hAnsi="Times New Roman"/>
          <w:noProof/>
          <w:sz w:val="24"/>
        </w:rPr>
        <w:t xml:space="preserve"> when the two options are combined</w:t>
      </w:r>
      <w:r w:rsidR="00B9711D" w:rsidRPr="009B5734">
        <w:rPr>
          <w:rFonts w:ascii="Times New Roman" w:hAnsi="Times New Roman" w:cs="Times New Roman"/>
          <w:bCs/>
          <w:noProof/>
          <w:sz w:val="24"/>
        </w:rPr>
        <w:t>, related,</w:t>
      </w:r>
      <w:r w:rsidR="00756E8B" w:rsidRPr="009B5734">
        <w:rPr>
          <w:rFonts w:ascii="Times New Roman" w:hAnsi="Times New Roman" w:cs="Times New Roman"/>
          <w:bCs/>
          <w:noProof/>
          <w:sz w:val="24"/>
        </w:rPr>
        <w:t xml:space="preserve"> </w:t>
      </w:r>
      <w:r w:rsidR="00B9711D" w:rsidRPr="009B5734">
        <w:rPr>
          <w:rFonts w:ascii="Times New Roman" w:hAnsi="Times New Roman" w:cs="Times New Roman"/>
          <w:bCs/>
          <w:noProof/>
          <w:sz w:val="24"/>
        </w:rPr>
        <w:t>for example,</w:t>
      </w:r>
      <w:r w:rsidR="00756E8B" w:rsidRPr="009B5734">
        <w:rPr>
          <w:rFonts w:ascii="Times New Roman" w:hAnsi="Times New Roman" w:cs="Times New Roman"/>
          <w:bCs/>
          <w:noProof/>
          <w:sz w:val="24"/>
        </w:rPr>
        <w:t xml:space="preserve"> to the fact that</w:t>
      </w:r>
      <w:r w:rsidR="008B0C80" w:rsidRPr="009B5734">
        <w:rPr>
          <w:rFonts w:ascii="Times New Roman" w:hAnsi="Times New Roman" w:cs="Times New Roman"/>
          <w:bCs/>
          <w:noProof/>
          <w:sz w:val="24"/>
        </w:rPr>
        <w:t xml:space="preserve"> the</w:t>
      </w:r>
      <w:r w:rsidR="00756E8B" w:rsidRPr="009B5734">
        <w:rPr>
          <w:rFonts w:ascii="Times New Roman" w:hAnsi="Times New Roman" w:cs="Times New Roman"/>
          <w:bCs/>
          <w:noProof/>
          <w:sz w:val="24"/>
        </w:rPr>
        <w:t xml:space="preserve"> removal of the relevant claims for the small share of products in stock for which each of the two types of claims are made (vague claims which are not</w:t>
      </w:r>
      <w:r w:rsidR="008B0C80" w:rsidRPr="009B5734">
        <w:rPr>
          <w:rFonts w:ascii="Times New Roman" w:hAnsi="Times New Roman" w:cs="Times New Roman"/>
          <w:bCs/>
          <w:noProof/>
          <w:sz w:val="24"/>
        </w:rPr>
        <w:t xml:space="preserve"> based on “environmentally excellent performance” in accordance with applicable EU laws + environmental claims that do not fulfil a minimum set of criteria) can be conducted simultaneously</w:t>
      </w:r>
      <w:r w:rsidR="00923C2E" w:rsidRPr="009B5734">
        <w:rPr>
          <w:rFonts w:ascii="Times New Roman" w:hAnsi="Times New Roman" w:cs="Times New Roman"/>
          <w:bCs/>
          <w:noProof/>
          <w:sz w:val="24"/>
        </w:rPr>
        <w:t>.</w:t>
      </w:r>
      <w:r w:rsidR="00923C2E" w:rsidRPr="009B5734">
        <w:rPr>
          <w:rFonts w:ascii="Times New Roman" w:hAnsi="Times New Roman"/>
          <w:noProof/>
          <w:sz w:val="24"/>
        </w:rPr>
        <w:t xml:space="preserve"> The substantive compliance costs are estimated at </w:t>
      </w:r>
      <w:r w:rsidR="00923C2E" w:rsidRPr="009B5734">
        <w:rPr>
          <w:rFonts w:ascii="Times New Roman" w:hAnsi="Times New Roman"/>
          <w:b/>
          <w:noProof/>
          <w:sz w:val="24"/>
        </w:rPr>
        <w:t xml:space="preserve">EUR 3 </w:t>
      </w:r>
      <w:r w:rsidR="002E5A5F" w:rsidRPr="009B5734">
        <w:rPr>
          <w:rFonts w:ascii="Times New Roman" w:hAnsi="Times New Roman"/>
          <w:b/>
          <w:noProof/>
          <w:sz w:val="24"/>
        </w:rPr>
        <w:t>300</w:t>
      </w:r>
      <w:r w:rsidR="003E5639" w:rsidRPr="009B5734">
        <w:rPr>
          <w:rFonts w:ascii="Times New Roman" w:hAnsi="Times New Roman"/>
          <w:b/>
          <w:noProof/>
          <w:sz w:val="24"/>
        </w:rPr>
        <w:t xml:space="preserve"> </w:t>
      </w:r>
      <w:r w:rsidR="00923C2E" w:rsidRPr="009B5734">
        <w:rPr>
          <w:rFonts w:ascii="Times New Roman" w:hAnsi="Times New Roman"/>
          <w:b/>
          <w:noProof/>
          <w:sz w:val="24"/>
        </w:rPr>
        <w:t xml:space="preserve">– 3 </w:t>
      </w:r>
      <w:r w:rsidR="002E5A5F" w:rsidRPr="009B5734">
        <w:rPr>
          <w:rFonts w:ascii="Times New Roman" w:hAnsi="Times New Roman"/>
          <w:b/>
          <w:noProof/>
          <w:sz w:val="24"/>
        </w:rPr>
        <w:t>500</w:t>
      </w:r>
      <w:r w:rsidR="003E5639" w:rsidRPr="009B5734">
        <w:rPr>
          <w:rFonts w:ascii="Times New Roman" w:hAnsi="Times New Roman"/>
          <w:b/>
          <w:noProof/>
          <w:sz w:val="24"/>
        </w:rPr>
        <w:t xml:space="preserve"> </w:t>
      </w:r>
      <w:r w:rsidR="00923C2E" w:rsidRPr="009B5734">
        <w:rPr>
          <w:rFonts w:ascii="Times New Roman" w:hAnsi="Times New Roman"/>
          <w:b/>
          <w:noProof/>
          <w:sz w:val="24"/>
        </w:rPr>
        <w:t>million for the period 2025-2040</w:t>
      </w:r>
      <w:r w:rsidR="00D13F6D">
        <w:rPr>
          <w:rFonts w:ascii="Times New Roman" w:hAnsi="Times New Roman"/>
          <w:b/>
          <w:noProof/>
          <w:sz w:val="24"/>
        </w:rPr>
        <w:t xml:space="preserve"> (</w:t>
      </w:r>
      <w:r w:rsidR="00D13F6D" w:rsidRPr="00D13F6D">
        <w:rPr>
          <w:rFonts w:ascii="Times New Roman" w:hAnsi="Times New Roman"/>
          <w:noProof/>
          <w:sz w:val="24"/>
        </w:rPr>
        <w:t>or</w:t>
      </w:r>
      <w:r w:rsidR="00D13F6D">
        <w:rPr>
          <w:rFonts w:ascii="Times New Roman" w:hAnsi="Times New Roman"/>
          <w:b/>
          <w:noProof/>
          <w:sz w:val="24"/>
        </w:rPr>
        <w:t xml:space="preserve"> EUR 220 – 233 million per year)</w:t>
      </w:r>
      <w:r w:rsidR="00923C2E" w:rsidRPr="009B5734">
        <w:rPr>
          <w:rFonts w:ascii="Times New Roman" w:hAnsi="Times New Roman"/>
          <w:noProof/>
          <w:sz w:val="24"/>
        </w:rPr>
        <w:t>.</w:t>
      </w:r>
      <w:r w:rsidR="00C2308E" w:rsidRPr="009B5734">
        <w:rPr>
          <w:rFonts w:ascii="Times New Roman" w:hAnsi="Times New Roman"/>
          <w:noProof/>
          <w:sz w:val="24"/>
        </w:rPr>
        <w:t xml:space="preserve"> The costs of these options are significantly higher than that of the options </w:t>
      </w:r>
      <w:r w:rsidR="00096F03" w:rsidRPr="009B5734">
        <w:rPr>
          <w:rFonts w:ascii="Times New Roman" w:hAnsi="Times New Roman"/>
          <w:noProof/>
          <w:sz w:val="24"/>
        </w:rPr>
        <w:t xml:space="preserve">assessed </w:t>
      </w:r>
      <w:r w:rsidR="00C2308E" w:rsidRPr="009B5734">
        <w:rPr>
          <w:rFonts w:ascii="Times New Roman" w:hAnsi="Times New Roman"/>
          <w:noProof/>
          <w:sz w:val="24"/>
        </w:rPr>
        <w:t xml:space="preserve">related to </w:t>
      </w:r>
      <w:r w:rsidR="00756E8B" w:rsidRPr="009B5734">
        <w:rPr>
          <w:rFonts w:ascii="Times New Roman" w:hAnsi="Times New Roman" w:cs="Times New Roman"/>
          <w:noProof/>
          <w:sz w:val="24"/>
        </w:rPr>
        <w:t>P</w:t>
      </w:r>
      <w:r w:rsidR="00C2308E" w:rsidRPr="009B5734">
        <w:rPr>
          <w:rFonts w:ascii="Times New Roman" w:hAnsi="Times New Roman" w:cs="Times New Roman"/>
          <w:noProof/>
          <w:sz w:val="24"/>
        </w:rPr>
        <w:t>roblem</w:t>
      </w:r>
      <w:r w:rsidR="00096F03" w:rsidRPr="009B5734">
        <w:rPr>
          <w:rFonts w:ascii="Times New Roman" w:hAnsi="Times New Roman" w:cs="Times New Roman"/>
          <w:noProof/>
          <w:sz w:val="24"/>
        </w:rPr>
        <w:t> </w:t>
      </w:r>
      <w:r w:rsidR="00C2308E" w:rsidRPr="009B5734">
        <w:rPr>
          <w:rFonts w:ascii="Times New Roman" w:hAnsi="Times New Roman" w:cs="Times New Roman"/>
          <w:noProof/>
          <w:sz w:val="24"/>
        </w:rPr>
        <w:t xml:space="preserve">1 </w:t>
      </w:r>
      <w:r w:rsidR="00756E8B" w:rsidRPr="009B5734">
        <w:rPr>
          <w:rFonts w:ascii="Times New Roman" w:hAnsi="Times New Roman" w:cs="Times New Roman"/>
          <w:noProof/>
          <w:sz w:val="24"/>
        </w:rPr>
        <w:t>(Consumers lack reliable information</w:t>
      </w:r>
      <w:r w:rsidR="00756E8B">
        <w:rPr>
          <w:rFonts w:ascii="Times New Roman" w:hAnsi="Times New Roman" w:cs="Times New Roman"/>
          <w:noProof/>
          <w:sz w:val="24"/>
        </w:rPr>
        <w:t xml:space="preserve"> </w:t>
      </w:r>
      <w:r w:rsidR="00756E8B" w:rsidRPr="009B5734">
        <w:rPr>
          <w:rFonts w:ascii="Times New Roman" w:hAnsi="Times New Roman" w:cs="Times New Roman"/>
          <w:noProof/>
          <w:sz w:val="24"/>
        </w:rPr>
        <w:t xml:space="preserve">at the point of sale to make environmentally sustainable </w:t>
      </w:r>
      <w:r w:rsidR="0080633B">
        <w:rPr>
          <w:rFonts w:ascii="Times New Roman" w:hAnsi="Times New Roman" w:cs="Times New Roman"/>
          <w:noProof/>
          <w:sz w:val="24"/>
        </w:rPr>
        <w:t>consumption choices</w:t>
      </w:r>
      <w:r w:rsidR="00756E8B" w:rsidRPr="009B5734">
        <w:rPr>
          <w:rFonts w:ascii="Times New Roman" w:hAnsi="Times New Roman" w:cs="Times New Roman"/>
          <w:noProof/>
          <w:sz w:val="24"/>
        </w:rPr>
        <w:t>)</w:t>
      </w:r>
      <w:r w:rsidR="00756E8B" w:rsidRPr="009B5734">
        <w:rPr>
          <w:rFonts w:ascii="Times New Roman" w:hAnsi="Times New Roman"/>
          <w:noProof/>
          <w:sz w:val="24"/>
        </w:rPr>
        <w:t xml:space="preserve"> </w:t>
      </w:r>
      <w:r w:rsidR="00096F03" w:rsidRPr="009B5734">
        <w:rPr>
          <w:rFonts w:ascii="Times New Roman" w:hAnsi="Times New Roman" w:cs="Times New Roman"/>
          <w:noProof/>
          <w:sz w:val="24"/>
        </w:rPr>
        <w:t>and Sub-Problem 2.1 (Consumers are sold products that do not last as long as they should and consumers expect)</w:t>
      </w:r>
      <w:r w:rsidR="00096F03" w:rsidRPr="009B5734">
        <w:rPr>
          <w:rFonts w:ascii="Times New Roman" w:hAnsi="Times New Roman"/>
          <w:noProof/>
          <w:sz w:val="24"/>
        </w:rPr>
        <w:t xml:space="preserve"> </w:t>
      </w:r>
      <w:r w:rsidR="00C2308E" w:rsidRPr="009B5734">
        <w:rPr>
          <w:rFonts w:ascii="Times New Roman" w:hAnsi="Times New Roman"/>
          <w:noProof/>
          <w:sz w:val="24"/>
        </w:rPr>
        <w:t>because they apply to a significantly higher number of businesses (about 40 times more).</w:t>
      </w:r>
    </w:p>
    <w:p w:rsidR="00C1494F" w:rsidRPr="009B5734" w:rsidRDefault="00BB4AE8" w:rsidP="00C812C8">
      <w:pPr>
        <w:ind w:left="0" w:firstLine="0"/>
        <w:rPr>
          <w:rFonts w:ascii="Times New Roman" w:hAnsi="Times New Roman"/>
          <w:noProof/>
          <w:sz w:val="24"/>
          <w:szCs w:val="20"/>
        </w:rPr>
      </w:pPr>
      <w:r w:rsidRPr="009B5734">
        <w:rPr>
          <w:rFonts w:ascii="Times New Roman" w:eastAsia="Times New Roman" w:hAnsi="Times New Roman" w:cs="Times New Roman"/>
          <w:noProof/>
          <w:sz w:val="24"/>
          <w:szCs w:val="20"/>
        </w:rPr>
        <w:t xml:space="preserve"> </w:t>
      </w:r>
    </w:p>
    <w:p w:rsidR="0020183C" w:rsidRPr="009B5734" w:rsidRDefault="0020183C" w:rsidP="0020183C">
      <w:pPr>
        <w:ind w:left="0" w:firstLine="0"/>
        <w:rPr>
          <w:i/>
          <w:noProof/>
        </w:rPr>
      </w:pPr>
      <w:r w:rsidRPr="009B5734">
        <w:rPr>
          <w:rFonts w:ascii="Times New Roman" w:hAnsi="Times New Roman"/>
          <w:i/>
          <w:noProof/>
          <w:sz w:val="24"/>
        </w:rPr>
        <w:t>Impacts on public administrations:</w:t>
      </w:r>
    </w:p>
    <w:p w:rsidR="0020183C" w:rsidRPr="009B5734" w:rsidRDefault="00BD10E5" w:rsidP="0020183C">
      <w:pPr>
        <w:ind w:left="0" w:firstLine="0"/>
        <w:rPr>
          <w:rFonts w:ascii="Times New Roman" w:hAnsi="Times New Roman"/>
          <w:noProof/>
          <w:sz w:val="24"/>
        </w:rPr>
      </w:pPr>
      <w:r w:rsidRPr="009B5734">
        <w:rPr>
          <w:rFonts w:ascii="Times New Roman" w:hAnsi="Times New Roman"/>
          <w:b/>
          <w:noProof/>
          <w:sz w:val="24"/>
        </w:rPr>
        <w:t>O</w:t>
      </w:r>
      <w:r w:rsidR="00E45ABD" w:rsidRPr="009B5734">
        <w:rPr>
          <w:rFonts w:ascii="Times New Roman" w:hAnsi="Times New Roman"/>
          <w:b/>
          <w:noProof/>
          <w:sz w:val="24"/>
        </w:rPr>
        <w:t>ption</w:t>
      </w:r>
      <w:r w:rsidR="00E45ABD" w:rsidRPr="009B5734">
        <w:rPr>
          <w:rFonts w:ascii="Times New Roman" w:hAnsi="Times New Roman"/>
          <w:noProof/>
          <w:sz w:val="24"/>
        </w:rPr>
        <w:t xml:space="preserve"> </w:t>
      </w:r>
      <w:r w:rsidR="00DB1AC5" w:rsidRPr="009B5734">
        <w:rPr>
          <w:rFonts w:ascii="Times New Roman" w:hAnsi="Times New Roman"/>
          <w:b/>
          <w:noProof/>
          <w:sz w:val="24"/>
        </w:rPr>
        <w:t>2.2.A</w:t>
      </w:r>
      <w:r w:rsidR="00E45ABD" w:rsidRPr="009B5734">
        <w:rPr>
          <w:rFonts w:ascii="Times New Roman" w:hAnsi="Times New Roman"/>
          <w:noProof/>
          <w:sz w:val="24"/>
        </w:rPr>
        <w:t xml:space="preserve"> </w:t>
      </w:r>
      <w:r w:rsidR="00691DB9" w:rsidRPr="009B5734">
        <w:rPr>
          <w:rFonts w:ascii="Times New Roman" w:hAnsi="Times New Roman"/>
          <w:noProof/>
          <w:sz w:val="24"/>
        </w:rPr>
        <w:t>facilitate</w:t>
      </w:r>
      <w:r w:rsidRPr="009B5734">
        <w:rPr>
          <w:rFonts w:ascii="Times New Roman" w:hAnsi="Times New Roman"/>
          <w:noProof/>
          <w:sz w:val="24"/>
        </w:rPr>
        <w:t>s enforcement against misleading claims as it</w:t>
      </w:r>
      <w:r w:rsidR="00E64818" w:rsidRPr="009B5734">
        <w:rPr>
          <w:rFonts w:ascii="Times New Roman" w:hAnsi="Times New Roman"/>
          <w:noProof/>
          <w:sz w:val="24"/>
        </w:rPr>
        <w:t xml:space="preserve"> </w:t>
      </w:r>
      <w:r w:rsidR="00C1494F" w:rsidRPr="009B5734">
        <w:rPr>
          <w:rFonts w:ascii="Times New Roman" w:hAnsi="Times New Roman"/>
          <w:noProof/>
          <w:sz w:val="24"/>
        </w:rPr>
        <w:t xml:space="preserve">specifies what type of proof is accepted in order to use </w:t>
      </w:r>
      <w:r w:rsidR="005E0138" w:rsidRPr="009B5734">
        <w:rPr>
          <w:rFonts w:ascii="Times New Roman" w:hAnsi="Times New Roman"/>
          <w:noProof/>
          <w:sz w:val="24"/>
        </w:rPr>
        <w:t>general/</w:t>
      </w:r>
      <w:r w:rsidR="00C1494F" w:rsidRPr="009B5734">
        <w:rPr>
          <w:rFonts w:ascii="Times New Roman" w:hAnsi="Times New Roman"/>
          <w:noProof/>
          <w:sz w:val="24"/>
        </w:rPr>
        <w:t>vague</w:t>
      </w:r>
      <w:r w:rsidR="00C1494F" w:rsidRPr="009B5734" w:rsidDel="000B2CEC">
        <w:rPr>
          <w:rFonts w:ascii="Times New Roman" w:hAnsi="Times New Roman"/>
          <w:noProof/>
          <w:sz w:val="24"/>
        </w:rPr>
        <w:t xml:space="preserve"> </w:t>
      </w:r>
      <w:r w:rsidR="00C1494F" w:rsidRPr="009B5734">
        <w:rPr>
          <w:rFonts w:ascii="Times New Roman" w:hAnsi="Times New Roman"/>
          <w:noProof/>
          <w:sz w:val="24"/>
        </w:rPr>
        <w:t>environmental claims</w:t>
      </w:r>
      <w:r w:rsidR="002619B5" w:rsidRPr="009B5734">
        <w:rPr>
          <w:rFonts w:ascii="Times New Roman" w:hAnsi="Times New Roman"/>
          <w:noProof/>
          <w:sz w:val="24"/>
        </w:rPr>
        <w:t xml:space="preserve"> (</w:t>
      </w:r>
      <w:r w:rsidR="00DD00DE" w:rsidRPr="009B5734">
        <w:rPr>
          <w:rFonts w:ascii="Times New Roman" w:hAnsi="Times New Roman"/>
          <w:noProof/>
          <w:sz w:val="24"/>
        </w:rPr>
        <w:t xml:space="preserve">e.g. </w:t>
      </w:r>
      <w:r w:rsidR="00E64818" w:rsidRPr="009B5734">
        <w:rPr>
          <w:rFonts w:ascii="Times New Roman" w:hAnsi="Times New Roman"/>
          <w:noProof/>
          <w:sz w:val="24"/>
        </w:rPr>
        <w:t xml:space="preserve">environmentally excellent performance as attested </w:t>
      </w:r>
      <w:r w:rsidR="000B2CEC" w:rsidRPr="009B5734">
        <w:rPr>
          <w:rFonts w:ascii="Times New Roman" w:hAnsi="Times New Roman"/>
          <w:noProof/>
          <w:sz w:val="24"/>
        </w:rPr>
        <w:t xml:space="preserve">for example </w:t>
      </w:r>
      <w:r w:rsidR="00E64818" w:rsidRPr="009B5734">
        <w:rPr>
          <w:rFonts w:ascii="Times New Roman" w:hAnsi="Times New Roman"/>
          <w:noProof/>
          <w:sz w:val="24"/>
        </w:rPr>
        <w:t xml:space="preserve">by the </w:t>
      </w:r>
      <w:r w:rsidR="000B2CEC" w:rsidRPr="009B5734">
        <w:rPr>
          <w:rFonts w:ascii="Times New Roman" w:hAnsi="Times New Roman"/>
          <w:noProof/>
          <w:sz w:val="24"/>
        </w:rPr>
        <w:t xml:space="preserve">presence </w:t>
      </w:r>
      <w:r w:rsidR="00E64818" w:rsidRPr="009B5734">
        <w:rPr>
          <w:rFonts w:ascii="Times New Roman" w:hAnsi="Times New Roman"/>
          <w:noProof/>
          <w:sz w:val="24"/>
        </w:rPr>
        <w:t xml:space="preserve">of the </w:t>
      </w:r>
      <w:r w:rsidR="00DD00DE" w:rsidRPr="009B5734">
        <w:rPr>
          <w:rFonts w:ascii="Times New Roman" w:hAnsi="Times New Roman"/>
          <w:noProof/>
          <w:sz w:val="24"/>
        </w:rPr>
        <w:t xml:space="preserve">EU </w:t>
      </w:r>
      <w:r w:rsidR="002619B5" w:rsidRPr="009B5734">
        <w:rPr>
          <w:rFonts w:ascii="Times New Roman" w:hAnsi="Times New Roman"/>
          <w:noProof/>
          <w:sz w:val="24"/>
        </w:rPr>
        <w:t>Ecolabel)</w:t>
      </w:r>
      <w:r w:rsidR="00C1494F" w:rsidRPr="009B5734">
        <w:rPr>
          <w:rFonts w:ascii="Times New Roman" w:hAnsi="Times New Roman"/>
          <w:noProof/>
          <w:sz w:val="24"/>
        </w:rPr>
        <w:t xml:space="preserve">. </w:t>
      </w:r>
      <w:r w:rsidR="00C627A2" w:rsidRPr="009B5734">
        <w:rPr>
          <w:rFonts w:ascii="Times New Roman" w:hAnsi="Times New Roman"/>
          <w:noProof/>
          <w:sz w:val="24"/>
        </w:rPr>
        <w:t xml:space="preserve">Overall, the enforcement costs are estimated at </w:t>
      </w:r>
      <w:r w:rsidR="00C627A2" w:rsidRPr="009B5734">
        <w:rPr>
          <w:rFonts w:ascii="Times New Roman" w:hAnsi="Times New Roman"/>
          <w:b/>
          <w:noProof/>
          <w:sz w:val="24"/>
        </w:rPr>
        <w:t xml:space="preserve">EUR </w:t>
      </w:r>
      <w:r w:rsidR="003E5639" w:rsidRPr="009B5734">
        <w:rPr>
          <w:rFonts w:ascii="Times New Roman" w:hAnsi="Times New Roman"/>
          <w:b/>
          <w:noProof/>
          <w:sz w:val="24"/>
        </w:rPr>
        <w:t>7</w:t>
      </w:r>
      <w:r w:rsidR="00F547B1" w:rsidRPr="009B5734">
        <w:rPr>
          <w:rFonts w:ascii="Times New Roman" w:hAnsi="Times New Roman"/>
          <w:b/>
          <w:noProof/>
          <w:sz w:val="24"/>
        </w:rPr>
        <w:t>-1</w:t>
      </w:r>
      <w:r w:rsidR="003E5639" w:rsidRPr="009B5734">
        <w:rPr>
          <w:rFonts w:ascii="Times New Roman" w:hAnsi="Times New Roman"/>
          <w:b/>
          <w:noProof/>
          <w:sz w:val="24"/>
        </w:rPr>
        <w:t>2</w:t>
      </w:r>
      <w:r w:rsidR="00F547B1" w:rsidRPr="009B5734">
        <w:rPr>
          <w:rFonts w:ascii="Times New Roman" w:hAnsi="Times New Roman"/>
          <w:b/>
          <w:noProof/>
          <w:sz w:val="24"/>
        </w:rPr>
        <w:t xml:space="preserve"> million for the period 2025-2040</w:t>
      </w:r>
      <w:r w:rsidR="00D13F6D">
        <w:rPr>
          <w:rFonts w:ascii="Times New Roman" w:hAnsi="Times New Roman"/>
          <w:b/>
          <w:noProof/>
          <w:sz w:val="24"/>
        </w:rPr>
        <w:t xml:space="preserve"> (</w:t>
      </w:r>
      <w:r w:rsidR="00D13F6D" w:rsidRPr="00D13F6D">
        <w:rPr>
          <w:rFonts w:ascii="Times New Roman" w:hAnsi="Times New Roman"/>
          <w:noProof/>
          <w:sz w:val="24"/>
        </w:rPr>
        <w:t xml:space="preserve">or </w:t>
      </w:r>
      <w:r w:rsidR="00D13F6D">
        <w:rPr>
          <w:rFonts w:ascii="Times New Roman" w:hAnsi="Times New Roman"/>
          <w:b/>
          <w:noProof/>
          <w:sz w:val="24"/>
        </w:rPr>
        <w:t>EUR 0.5 – 0.8 million per year)</w:t>
      </w:r>
      <w:r w:rsidR="00C627A2" w:rsidRPr="009B5734">
        <w:rPr>
          <w:rFonts w:ascii="Times New Roman" w:hAnsi="Times New Roman"/>
          <w:noProof/>
          <w:sz w:val="24"/>
        </w:rPr>
        <w:t>.</w:t>
      </w:r>
      <w:r w:rsidR="00227800">
        <w:rPr>
          <w:rFonts w:ascii="Times New Roman" w:hAnsi="Times New Roman"/>
          <w:noProof/>
          <w:sz w:val="24"/>
        </w:rPr>
        <w:t xml:space="preserve"> </w:t>
      </w:r>
      <w:r w:rsidR="00227800" w:rsidRPr="009B5734">
        <w:rPr>
          <w:rFonts w:ascii="Times New Roman" w:hAnsi="Times New Roman"/>
          <w:noProof/>
          <w:sz w:val="24"/>
        </w:rPr>
        <w:t>It is assumed that the measure would not require significant additional resources on top of the existing ones to enforce U</w:t>
      </w:r>
      <w:r w:rsidR="0078589E">
        <w:rPr>
          <w:rFonts w:ascii="Times New Roman" w:hAnsi="Times New Roman"/>
          <w:noProof/>
          <w:sz w:val="24"/>
        </w:rPr>
        <w:t xml:space="preserve">nfair </w:t>
      </w:r>
      <w:r w:rsidR="00227800" w:rsidRPr="009B5734">
        <w:rPr>
          <w:rFonts w:ascii="Times New Roman" w:hAnsi="Times New Roman"/>
          <w:noProof/>
          <w:sz w:val="24"/>
        </w:rPr>
        <w:t>C</w:t>
      </w:r>
      <w:r w:rsidR="0078589E">
        <w:rPr>
          <w:rFonts w:ascii="Times New Roman" w:hAnsi="Times New Roman"/>
          <w:noProof/>
          <w:sz w:val="24"/>
        </w:rPr>
        <w:t xml:space="preserve">ommercial </w:t>
      </w:r>
      <w:r w:rsidR="00227800" w:rsidRPr="009B5734">
        <w:rPr>
          <w:rFonts w:ascii="Times New Roman" w:hAnsi="Times New Roman"/>
          <w:noProof/>
          <w:sz w:val="24"/>
        </w:rPr>
        <w:t>P</w:t>
      </w:r>
      <w:r w:rsidR="0078589E">
        <w:rPr>
          <w:rFonts w:ascii="Times New Roman" w:hAnsi="Times New Roman"/>
          <w:noProof/>
          <w:sz w:val="24"/>
        </w:rPr>
        <w:t xml:space="preserve">ractices </w:t>
      </w:r>
      <w:r w:rsidR="00227800" w:rsidRPr="009B5734">
        <w:rPr>
          <w:rFonts w:ascii="Times New Roman" w:hAnsi="Times New Roman"/>
          <w:noProof/>
          <w:sz w:val="24"/>
        </w:rPr>
        <w:t>D</w:t>
      </w:r>
      <w:r w:rsidR="0078589E">
        <w:rPr>
          <w:rFonts w:ascii="Times New Roman" w:hAnsi="Times New Roman"/>
          <w:noProof/>
          <w:sz w:val="24"/>
        </w:rPr>
        <w:t>irective</w:t>
      </w:r>
      <w:r w:rsidR="00227800" w:rsidRPr="009B5734">
        <w:rPr>
          <w:rFonts w:ascii="Times New Roman" w:hAnsi="Times New Roman"/>
          <w:noProof/>
          <w:sz w:val="24"/>
        </w:rPr>
        <w:t xml:space="preserve">. In fact, some of the interviewed </w:t>
      </w:r>
      <w:r w:rsidR="0078589E">
        <w:rPr>
          <w:rFonts w:ascii="Times New Roman" w:hAnsi="Times New Roman"/>
          <w:noProof/>
          <w:sz w:val="24"/>
        </w:rPr>
        <w:t>national enforcement</w:t>
      </w:r>
      <w:r w:rsidR="00227800" w:rsidRPr="009B5734">
        <w:rPr>
          <w:rFonts w:ascii="Times New Roman" w:hAnsi="Times New Roman"/>
          <w:noProof/>
          <w:sz w:val="24"/>
        </w:rPr>
        <w:t xml:space="preserve"> authorities even indicated that the measure </w:t>
      </w:r>
      <w:r w:rsidR="0078589E">
        <w:rPr>
          <w:rFonts w:ascii="Times New Roman" w:hAnsi="Times New Roman"/>
          <w:noProof/>
          <w:sz w:val="24"/>
        </w:rPr>
        <w:t>might lead to savings as it would</w:t>
      </w:r>
      <w:r w:rsidR="00227800" w:rsidRPr="009B5734">
        <w:rPr>
          <w:rFonts w:ascii="Times New Roman" w:hAnsi="Times New Roman"/>
          <w:noProof/>
          <w:sz w:val="24"/>
        </w:rPr>
        <w:t xml:space="preserve"> help them to prove the practice of “greenwashing” more easily (less resources are needed to substantiate their assessment). For these Member States </w:t>
      </w:r>
      <w:r w:rsidR="0078589E">
        <w:rPr>
          <w:rFonts w:ascii="Times New Roman" w:hAnsi="Times New Roman"/>
          <w:noProof/>
          <w:sz w:val="24"/>
        </w:rPr>
        <w:t>it is</w:t>
      </w:r>
      <w:r w:rsidR="00227800" w:rsidRPr="009B5734">
        <w:rPr>
          <w:rFonts w:ascii="Times New Roman" w:hAnsi="Times New Roman"/>
          <w:noProof/>
          <w:sz w:val="24"/>
        </w:rPr>
        <w:t xml:space="preserve"> considered that the measure does not bring incre</w:t>
      </w:r>
      <w:r w:rsidR="0078589E">
        <w:rPr>
          <w:rFonts w:ascii="Times New Roman" w:hAnsi="Times New Roman"/>
          <w:noProof/>
          <w:sz w:val="24"/>
        </w:rPr>
        <w:t>mental costs. For the others, it is</w:t>
      </w:r>
      <w:r w:rsidR="00227800" w:rsidRPr="009B5734">
        <w:rPr>
          <w:rFonts w:ascii="Times New Roman" w:hAnsi="Times New Roman"/>
          <w:noProof/>
          <w:sz w:val="24"/>
        </w:rPr>
        <w:t xml:space="preserve"> assume</w:t>
      </w:r>
      <w:r w:rsidR="0078589E">
        <w:rPr>
          <w:rFonts w:ascii="Times New Roman" w:hAnsi="Times New Roman"/>
          <w:noProof/>
          <w:sz w:val="24"/>
        </w:rPr>
        <w:t>d</w:t>
      </w:r>
      <w:r w:rsidR="00227800" w:rsidRPr="009B5734">
        <w:rPr>
          <w:rFonts w:ascii="Times New Roman" w:hAnsi="Times New Roman"/>
          <w:noProof/>
          <w:sz w:val="24"/>
        </w:rPr>
        <w:t xml:space="preserve"> that one Full Time equivalent would work half time with 50% of its time devoted to monitoring, 25% to inspections and the rema</w:t>
      </w:r>
      <w:r w:rsidR="00227800">
        <w:rPr>
          <w:rFonts w:ascii="Times New Roman" w:hAnsi="Times New Roman"/>
          <w:noProof/>
          <w:sz w:val="24"/>
        </w:rPr>
        <w:t xml:space="preserve">ining 25% to handle complaints. </w:t>
      </w:r>
      <w:r w:rsidR="00227800" w:rsidRPr="009B5734">
        <w:rPr>
          <w:rFonts w:ascii="Times New Roman" w:hAnsi="Times New Roman" w:cs="Times New Roman"/>
          <w:noProof/>
          <w:sz w:val="24"/>
          <w:szCs w:val="24"/>
        </w:rPr>
        <w:t xml:space="preserve">For all Member States, 35h </w:t>
      </w:r>
      <w:r w:rsidR="0078589E">
        <w:rPr>
          <w:rFonts w:ascii="Times New Roman" w:hAnsi="Times New Roman" w:cs="Times New Roman"/>
          <w:noProof/>
          <w:sz w:val="24"/>
          <w:szCs w:val="24"/>
        </w:rPr>
        <w:t xml:space="preserve">are assumed </w:t>
      </w:r>
      <w:r w:rsidR="00227800" w:rsidRPr="009B5734">
        <w:rPr>
          <w:rFonts w:ascii="Times New Roman" w:hAnsi="Times New Roman" w:cs="Times New Roman"/>
          <w:noProof/>
          <w:sz w:val="24"/>
          <w:szCs w:val="24"/>
        </w:rPr>
        <w:t>for two people getting familiari</w:t>
      </w:r>
      <w:r w:rsidR="00F91447">
        <w:rPr>
          <w:rFonts w:ascii="Times New Roman" w:hAnsi="Times New Roman" w:cs="Times New Roman"/>
          <w:noProof/>
          <w:sz w:val="24"/>
          <w:szCs w:val="24"/>
        </w:rPr>
        <w:t>s</w:t>
      </w:r>
      <w:r w:rsidR="00227800" w:rsidRPr="009B5734">
        <w:rPr>
          <w:rFonts w:ascii="Times New Roman" w:hAnsi="Times New Roman" w:cs="Times New Roman"/>
          <w:noProof/>
          <w:sz w:val="24"/>
          <w:szCs w:val="24"/>
        </w:rPr>
        <w:t>ed with the measure and</w:t>
      </w:r>
      <w:r w:rsidR="0078589E">
        <w:rPr>
          <w:rFonts w:ascii="Times New Roman" w:hAnsi="Times New Roman" w:cs="Times New Roman"/>
          <w:noProof/>
          <w:sz w:val="24"/>
          <w:szCs w:val="24"/>
        </w:rPr>
        <w:t xml:space="preserve"> the</w:t>
      </w:r>
      <w:r w:rsidR="00227800" w:rsidRPr="009B5734">
        <w:rPr>
          <w:rFonts w:ascii="Times New Roman" w:hAnsi="Times New Roman" w:cs="Times New Roman"/>
          <w:noProof/>
          <w:sz w:val="24"/>
          <w:szCs w:val="24"/>
        </w:rPr>
        <w:t xml:space="preserve"> adjust</w:t>
      </w:r>
      <w:r w:rsidR="0078589E">
        <w:rPr>
          <w:rFonts w:ascii="Times New Roman" w:hAnsi="Times New Roman" w:cs="Times New Roman"/>
          <w:noProof/>
          <w:sz w:val="24"/>
          <w:szCs w:val="24"/>
        </w:rPr>
        <w:t>ment of</w:t>
      </w:r>
      <w:r w:rsidR="00227800" w:rsidRPr="009B5734">
        <w:rPr>
          <w:rFonts w:ascii="Times New Roman" w:hAnsi="Times New Roman" w:cs="Times New Roman"/>
          <w:noProof/>
          <w:sz w:val="24"/>
          <w:szCs w:val="24"/>
        </w:rPr>
        <w:t xml:space="preserve"> internal procedures to start enforcin</w:t>
      </w:r>
      <w:r w:rsidR="0078589E">
        <w:rPr>
          <w:rFonts w:ascii="Times New Roman" w:hAnsi="Times New Roman" w:cs="Times New Roman"/>
          <w:noProof/>
          <w:sz w:val="24"/>
          <w:szCs w:val="24"/>
        </w:rPr>
        <w:t>g the measure. 16 employees would</w:t>
      </w:r>
      <w:r w:rsidR="00227800" w:rsidRPr="009B5734">
        <w:rPr>
          <w:rFonts w:ascii="Times New Roman" w:hAnsi="Times New Roman" w:cs="Times New Roman"/>
          <w:noProof/>
          <w:sz w:val="24"/>
          <w:szCs w:val="24"/>
        </w:rPr>
        <w:t xml:space="preserve"> receive a 7h training.</w:t>
      </w:r>
      <w:r w:rsidR="00227800">
        <w:rPr>
          <w:rFonts w:ascii="Times New Roman" w:hAnsi="Times New Roman"/>
          <w:noProof/>
          <w:sz w:val="24"/>
        </w:rPr>
        <w:t xml:space="preserve"> </w:t>
      </w:r>
      <w:r w:rsidR="00227800" w:rsidRPr="009B5734">
        <w:rPr>
          <w:rFonts w:ascii="Times New Roman" w:hAnsi="Times New Roman" w:cs="Times New Roman"/>
          <w:noProof/>
          <w:sz w:val="24"/>
          <w:szCs w:val="24"/>
        </w:rPr>
        <w:t>It is also assumed that there might be a yearly action per Member State, which will cost EUR 20,000 (based on market research).</w:t>
      </w:r>
      <w:r w:rsidR="00227800">
        <w:rPr>
          <w:rFonts w:ascii="Times New Roman" w:hAnsi="Times New Roman"/>
          <w:noProof/>
          <w:sz w:val="24"/>
        </w:rPr>
        <w:t xml:space="preserve"> </w:t>
      </w:r>
      <w:r w:rsidR="00227800" w:rsidRPr="009B5734">
        <w:rPr>
          <w:rFonts w:ascii="Times New Roman" w:hAnsi="Times New Roman" w:cs="Times New Roman"/>
          <w:noProof/>
          <w:sz w:val="24"/>
          <w:szCs w:val="24"/>
        </w:rPr>
        <w:t>The costs of an A</w:t>
      </w:r>
      <w:r w:rsidR="0078589E">
        <w:rPr>
          <w:rFonts w:ascii="Times New Roman" w:hAnsi="Times New Roman" w:cs="Times New Roman"/>
          <w:noProof/>
          <w:sz w:val="24"/>
          <w:szCs w:val="24"/>
        </w:rPr>
        <w:t xml:space="preserve">lternative </w:t>
      </w:r>
      <w:r w:rsidR="00227800" w:rsidRPr="009B5734">
        <w:rPr>
          <w:rFonts w:ascii="Times New Roman" w:hAnsi="Times New Roman" w:cs="Times New Roman"/>
          <w:noProof/>
          <w:sz w:val="24"/>
          <w:szCs w:val="24"/>
        </w:rPr>
        <w:t>D</w:t>
      </w:r>
      <w:r w:rsidR="0078589E">
        <w:rPr>
          <w:rFonts w:ascii="Times New Roman" w:hAnsi="Times New Roman" w:cs="Times New Roman"/>
          <w:noProof/>
          <w:sz w:val="24"/>
          <w:szCs w:val="24"/>
        </w:rPr>
        <w:t xml:space="preserve">ispute </w:t>
      </w:r>
      <w:r w:rsidR="00227800" w:rsidRPr="009B5734">
        <w:rPr>
          <w:rFonts w:ascii="Times New Roman" w:hAnsi="Times New Roman" w:cs="Times New Roman"/>
          <w:noProof/>
          <w:sz w:val="24"/>
          <w:szCs w:val="24"/>
        </w:rPr>
        <w:t>R</w:t>
      </w:r>
      <w:r w:rsidR="0078589E">
        <w:rPr>
          <w:rFonts w:ascii="Times New Roman" w:hAnsi="Times New Roman" w:cs="Times New Roman"/>
          <w:noProof/>
          <w:sz w:val="24"/>
          <w:szCs w:val="24"/>
        </w:rPr>
        <w:t>esolution</w:t>
      </w:r>
      <w:r w:rsidR="00227800" w:rsidRPr="009B5734">
        <w:rPr>
          <w:rFonts w:ascii="Times New Roman" w:hAnsi="Times New Roman" w:cs="Times New Roman"/>
          <w:noProof/>
          <w:sz w:val="24"/>
          <w:szCs w:val="24"/>
        </w:rPr>
        <w:t xml:space="preserve"> body adjudication and of a court adjudication were obtaine</w:t>
      </w:r>
      <w:r w:rsidR="0078589E">
        <w:rPr>
          <w:rFonts w:ascii="Times New Roman" w:hAnsi="Times New Roman" w:cs="Times New Roman"/>
          <w:noProof/>
          <w:sz w:val="24"/>
          <w:szCs w:val="24"/>
        </w:rPr>
        <w:t xml:space="preserve">d from the Impact Assessment for the review of the Consumer Protection Cooperation Regulation </w:t>
      </w:r>
      <w:r w:rsidR="00227800" w:rsidRPr="009B5734">
        <w:rPr>
          <w:rFonts w:ascii="Times New Roman" w:hAnsi="Times New Roman" w:cs="Times New Roman"/>
          <w:noProof/>
          <w:sz w:val="24"/>
          <w:szCs w:val="24"/>
        </w:rPr>
        <w:t>and supporting study</w:t>
      </w:r>
      <w:r w:rsidR="00227800" w:rsidRPr="009B5734">
        <w:rPr>
          <w:rStyle w:val="FootnoteReference"/>
          <w:rFonts w:ascii="Times New Roman" w:hAnsi="Times New Roman" w:cs="Times New Roman"/>
          <w:noProof/>
          <w:sz w:val="24"/>
          <w:szCs w:val="24"/>
        </w:rPr>
        <w:footnoteReference w:id="114"/>
      </w:r>
      <w:r w:rsidR="00227800" w:rsidRPr="009B5734">
        <w:rPr>
          <w:rFonts w:ascii="Times New Roman" w:hAnsi="Times New Roman" w:cs="Times New Roman"/>
          <w:noProof/>
          <w:sz w:val="24"/>
          <w:szCs w:val="24"/>
        </w:rPr>
        <w:t xml:space="preserve">. </w:t>
      </w:r>
      <w:r w:rsidR="00DB1AC5" w:rsidRPr="009B5734">
        <w:rPr>
          <w:rFonts w:ascii="Times New Roman" w:hAnsi="Times New Roman"/>
          <w:noProof/>
          <w:sz w:val="24"/>
        </w:rPr>
        <w:t xml:space="preserve"> </w:t>
      </w:r>
      <w:r w:rsidR="00A21877" w:rsidRPr="009B5734">
        <w:rPr>
          <w:rFonts w:ascii="Times New Roman" w:hAnsi="Times New Roman"/>
          <w:noProof/>
          <w:sz w:val="24"/>
        </w:rPr>
        <w:t>The contribution</w:t>
      </w:r>
      <w:r w:rsidR="00DB1AC5" w:rsidRPr="009B5734">
        <w:rPr>
          <w:rFonts w:ascii="Times New Roman" w:hAnsi="Times New Roman"/>
          <w:noProof/>
          <w:sz w:val="24"/>
        </w:rPr>
        <w:t xml:space="preserve"> of</w:t>
      </w:r>
      <w:r w:rsidR="00DB1AC5" w:rsidRPr="009B5734">
        <w:rPr>
          <w:rFonts w:ascii="Times New Roman" w:hAnsi="Times New Roman"/>
          <w:b/>
          <w:noProof/>
          <w:sz w:val="24"/>
        </w:rPr>
        <w:t xml:space="preserve"> option 2.2.B </w:t>
      </w:r>
      <w:r w:rsidR="00A21877" w:rsidRPr="009B5734">
        <w:rPr>
          <w:rFonts w:ascii="Times New Roman" w:hAnsi="Times New Roman"/>
          <w:b/>
          <w:noProof/>
          <w:sz w:val="24"/>
        </w:rPr>
        <w:t>to more effective enforcement</w:t>
      </w:r>
      <w:r w:rsidR="00DB1AC5" w:rsidRPr="009B5734">
        <w:rPr>
          <w:rFonts w:ascii="Times New Roman" w:hAnsi="Times New Roman"/>
          <w:noProof/>
          <w:sz w:val="24"/>
        </w:rPr>
        <w:t xml:space="preserve"> </w:t>
      </w:r>
      <w:r w:rsidR="00A21877" w:rsidRPr="009B5734">
        <w:rPr>
          <w:rFonts w:ascii="Times New Roman" w:hAnsi="Times New Roman"/>
          <w:noProof/>
          <w:sz w:val="24"/>
        </w:rPr>
        <w:t xml:space="preserve">will be less pronounced </w:t>
      </w:r>
      <w:r w:rsidR="00DB1AC5" w:rsidRPr="009B5734">
        <w:rPr>
          <w:rFonts w:ascii="Times New Roman" w:hAnsi="Times New Roman"/>
          <w:noProof/>
          <w:sz w:val="24"/>
        </w:rPr>
        <w:t xml:space="preserve">than </w:t>
      </w:r>
      <w:r w:rsidR="00A21877" w:rsidRPr="009B5734">
        <w:rPr>
          <w:rFonts w:ascii="Times New Roman" w:hAnsi="Times New Roman"/>
          <w:noProof/>
          <w:sz w:val="24"/>
        </w:rPr>
        <w:t>that of</w:t>
      </w:r>
      <w:r w:rsidR="00DB1AC5" w:rsidRPr="009B5734">
        <w:rPr>
          <w:rFonts w:ascii="Times New Roman" w:hAnsi="Times New Roman"/>
          <w:noProof/>
          <w:sz w:val="24"/>
        </w:rPr>
        <w:t xml:space="preserve"> option 2.2.A as authorities would need to </w:t>
      </w:r>
      <w:r w:rsidR="00A21877" w:rsidRPr="009B5734">
        <w:rPr>
          <w:rFonts w:ascii="Times New Roman" w:hAnsi="Times New Roman"/>
          <w:noProof/>
          <w:sz w:val="24"/>
        </w:rPr>
        <w:t xml:space="preserve">assess </w:t>
      </w:r>
      <w:r w:rsidR="00DB1AC5" w:rsidRPr="009B5734">
        <w:rPr>
          <w:rFonts w:ascii="Times New Roman" w:hAnsi="Times New Roman"/>
          <w:noProof/>
          <w:sz w:val="24"/>
        </w:rPr>
        <w:t>to what extent the</w:t>
      </w:r>
      <w:r w:rsidR="000B2CEC" w:rsidRPr="009B5734">
        <w:rPr>
          <w:rFonts w:ascii="Times New Roman" w:hAnsi="Times New Roman"/>
          <w:noProof/>
          <w:sz w:val="24"/>
        </w:rPr>
        <w:t xml:space="preserve"> specific</w:t>
      </w:r>
      <w:r w:rsidR="00DB1AC5" w:rsidRPr="009B5734">
        <w:rPr>
          <w:rFonts w:ascii="Times New Roman" w:hAnsi="Times New Roman"/>
          <w:noProof/>
          <w:sz w:val="24"/>
        </w:rPr>
        <w:t xml:space="preserve"> claim complies with the criteria set out </w:t>
      </w:r>
      <w:r w:rsidR="000B2CEC" w:rsidRPr="009B5734">
        <w:rPr>
          <w:rFonts w:ascii="Times New Roman" w:hAnsi="Times New Roman"/>
          <w:noProof/>
          <w:sz w:val="24"/>
        </w:rPr>
        <w:t>under this</w:t>
      </w:r>
      <w:r w:rsidR="00DB1AC5" w:rsidRPr="009B5734">
        <w:rPr>
          <w:rFonts w:ascii="Times New Roman" w:hAnsi="Times New Roman"/>
          <w:noProof/>
          <w:sz w:val="24"/>
        </w:rPr>
        <w:t xml:space="preserve"> option. The costs are expected to be similar to those of option 2.2.A and amount to </w:t>
      </w:r>
      <w:r w:rsidR="00DB1AC5" w:rsidRPr="009B5734">
        <w:rPr>
          <w:rFonts w:ascii="Times New Roman" w:hAnsi="Times New Roman"/>
          <w:b/>
          <w:noProof/>
          <w:sz w:val="24"/>
        </w:rPr>
        <w:t xml:space="preserve">EUR </w:t>
      </w:r>
      <w:r w:rsidR="003E5639" w:rsidRPr="009B5734">
        <w:rPr>
          <w:rFonts w:ascii="Times New Roman" w:hAnsi="Times New Roman"/>
          <w:b/>
          <w:noProof/>
          <w:sz w:val="24"/>
        </w:rPr>
        <w:t>7</w:t>
      </w:r>
      <w:r w:rsidR="00DB1AC5" w:rsidRPr="009B5734">
        <w:rPr>
          <w:rFonts w:ascii="Times New Roman" w:hAnsi="Times New Roman"/>
          <w:b/>
          <w:noProof/>
          <w:sz w:val="24"/>
        </w:rPr>
        <w:t>-1</w:t>
      </w:r>
      <w:r w:rsidR="003E5639" w:rsidRPr="009B5734">
        <w:rPr>
          <w:rFonts w:ascii="Times New Roman" w:hAnsi="Times New Roman"/>
          <w:b/>
          <w:noProof/>
          <w:sz w:val="24"/>
        </w:rPr>
        <w:t>2</w:t>
      </w:r>
      <w:r w:rsidR="00DB1AC5" w:rsidRPr="009B5734">
        <w:rPr>
          <w:rFonts w:ascii="Times New Roman" w:hAnsi="Times New Roman"/>
          <w:b/>
          <w:noProof/>
          <w:sz w:val="24"/>
        </w:rPr>
        <w:t xml:space="preserve"> million for the period 2025-2040</w:t>
      </w:r>
      <w:r w:rsidR="00D13F6D">
        <w:rPr>
          <w:rFonts w:ascii="Times New Roman" w:hAnsi="Times New Roman"/>
          <w:b/>
          <w:noProof/>
          <w:sz w:val="24"/>
        </w:rPr>
        <w:t xml:space="preserve"> (</w:t>
      </w:r>
      <w:r w:rsidR="00D13F6D" w:rsidRPr="00D13F6D">
        <w:rPr>
          <w:rFonts w:ascii="Times New Roman" w:hAnsi="Times New Roman"/>
          <w:noProof/>
          <w:sz w:val="24"/>
        </w:rPr>
        <w:t xml:space="preserve">or </w:t>
      </w:r>
      <w:r w:rsidR="00D13F6D">
        <w:rPr>
          <w:rFonts w:ascii="Times New Roman" w:hAnsi="Times New Roman"/>
          <w:b/>
          <w:noProof/>
          <w:sz w:val="24"/>
        </w:rPr>
        <w:t>EUR 0.5 – 0.8 million per year)</w:t>
      </w:r>
      <w:r w:rsidR="00DB1AC5" w:rsidRPr="009B5734">
        <w:rPr>
          <w:rFonts w:ascii="Times New Roman" w:hAnsi="Times New Roman"/>
          <w:noProof/>
          <w:sz w:val="24"/>
        </w:rPr>
        <w:t>.</w:t>
      </w:r>
      <w:r w:rsidR="00923C2E" w:rsidRPr="009B5734">
        <w:rPr>
          <w:rFonts w:ascii="Times New Roman" w:hAnsi="Times New Roman"/>
          <w:noProof/>
          <w:sz w:val="24"/>
        </w:rPr>
        <w:t xml:space="preserve"> </w:t>
      </w:r>
      <w:r w:rsidR="00227800" w:rsidRPr="009B5734">
        <w:rPr>
          <w:rFonts w:ascii="Times New Roman" w:hAnsi="Times New Roman" w:cs="Times New Roman"/>
          <w:noProof/>
          <w:sz w:val="24"/>
          <w:szCs w:val="24"/>
        </w:rPr>
        <w:t xml:space="preserve">The </w:t>
      </w:r>
      <w:r w:rsidR="00227800">
        <w:rPr>
          <w:rFonts w:ascii="Times New Roman" w:hAnsi="Times New Roman"/>
          <w:noProof/>
          <w:sz w:val="24"/>
        </w:rPr>
        <w:t xml:space="preserve">calculation of the </w:t>
      </w:r>
      <w:r w:rsidR="00227800" w:rsidRPr="009B5734">
        <w:rPr>
          <w:rFonts w:ascii="Times New Roman" w:hAnsi="Times New Roman" w:cs="Times New Roman"/>
          <w:noProof/>
          <w:sz w:val="24"/>
          <w:szCs w:val="24"/>
        </w:rPr>
        <w:t xml:space="preserve">enforcement costs followed the same approach and assumptions presented for the previous measure. </w:t>
      </w:r>
      <w:r w:rsidR="00923C2E" w:rsidRPr="009B5734">
        <w:rPr>
          <w:rFonts w:ascii="Times New Roman" w:hAnsi="Times New Roman"/>
          <w:b/>
          <w:noProof/>
          <w:sz w:val="24"/>
        </w:rPr>
        <w:t>Option 2.2.C</w:t>
      </w:r>
      <w:r w:rsidR="00923C2E" w:rsidRPr="009B5734">
        <w:rPr>
          <w:rFonts w:ascii="Times New Roman" w:hAnsi="Times New Roman"/>
          <w:noProof/>
          <w:sz w:val="24"/>
        </w:rPr>
        <w:t xml:space="preserve"> will entail a combination of the impacts described for option 2.2.A and option 2.2.B</w:t>
      </w:r>
      <w:r w:rsidR="00923C2E" w:rsidRPr="009B5734">
        <w:rPr>
          <w:i/>
          <w:noProof/>
        </w:rPr>
        <w:t xml:space="preserve">. </w:t>
      </w:r>
      <w:r w:rsidR="00923C2E" w:rsidRPr="009B5734">
        <w:rPr>
          <w:rFonts w:ascii="Times New Roman" w:hAnsi="Times New Roman"/>
          <w:noProof/>
          <w:sz w:val="24"/>
        </w:rPr>
        <w:t>There are</w:t>
      </w:r>
      <w:r w:rsidR="00923C2E" w:rsidRPr="009B5734">
        <w:rPr>
          <w:rFonts w:ascii="Times New Roman" w:hAnsi="Times New Roman"/>
          <w:b/>
          <w:noProof/>
          <w:sz w:val="24"/>
        </w:rPr>
        <w:t xml:space="preserve"> </w:t>
      </w:r>
      <w:r w:rsidR="00691DB9" w:rsidRPr="009B5734">
        <w:rPr>
          <w:rFonts w:ascii="Times New Roman" w:hAnsi="Times New Roman" w:cs="Times New Roman"/>
          <w:bCs/>
          <w:noProof/>
          <w:sz w:val="24"/>
        </w:rPr>
        <w:t>significant</w:t>
      </w:r>
      <w:r w:rsidR="00691DB9" w:rsidRPr="009B5734">
        <w:rPr>
          <w:rFonts w:ascii="Times New Roman" w:hAnsi="Times New Roman"/>
          <w:noProof/>
          <w:sz w:val="24"/>
        </w:rPr>
        <w:t xml:space="preserve"> </w:t>
      </w:r>
      <w:r w:rsidR="00923C2E" w:rsidRPr="009B5734">
        <w:rPr>
          <w:rFonts w:ascii="Times New Roman" w:hAnsi="Times New Roman"/>
          <w:noProof/>
          <w:sz w:val="24"/>
        </w:rPr>
        <w:t>economies of scales when the two options are combined</w:t>
      </w:r>
      <w:r w:rsidR="00691DB9" w:rsidRPr="009B5734">
        <w:rPr>
          <w:rFonts w:ascii="Times New Roman" w:hAnsi="Times New Roman" w:cs="Times New Roman"/>
          <w:bCs/>
          <w:noProof/>
          <w:sz w:val="24"/>
        </w:rPr>
        <w:t>, due to the fact that the expertise needed to investigate the two different types of claims at issue will be quite similar.</w:t>
      </w:r>
      <w:r w:rsidR="00923C2E" w:rsidRPr="009B5734">
        <w:rPr>
          <w:rFonts w:ascii="Times New Roman" w:hAnsi="Times New Roman"/>
          <w:noProof/>
          <w:sz w:val="24"/>
        </w:rPr>
        <w:t xml:space="preserve"> Overall, the enforcement costs are estimated at </w:t>
      </w:r>
      <w:r w:rsidR="00923C2E" w:rsidRPr="009B5734">
        <w:rPr>
          <w:rFonts w:ascii="Times New Roman" w:hAnsi="Times New Roman"/>
          <w:b/>
          <w:noProof/>
          <w:sz w:val="24"/>
        </w:rPr>
        <w:t xml:space="preserve">EUR </w:t>
      </w:r>
      <w:r w:rsidR="003E5639" w:rsidRPr="009B5734">
        <w:rPr>
          <w:rFonts w:ascii="Times New Roman" w:hAnsi="Times New Roman"/>
          <w:b/>
          <w:noProof/>
          <w:sz w:val="24"/>
        </w:rPr>
        <w:t>7</w:t>
      </w:r>
      <w:r w:rsidR="00923C2E" w:rsidRPr="009B5734">
        <w:rPr>
          <w:rFonts w:ascii="Times New Roman" w:hAnsi="Times New Roman"/>
          <w:b/>
          <w:noProof/>
          <w:sz w:val="24"/>
        </w:rPr>
        <w:t>-1</w:t>
      </w:r>
      <w:r w:rsidR="003E5639" w:rsidRPr="009B5734">
        <w:rPr>
          <w:rFonts w:ascii="Times New Roman" w:hAnsi="Times New Roman"/>
          <w:b/>
          <w:noProof/>
          <w:sz w:val="24"/>
        </w:rPr>
        <w:t>2</w:t>
      </w:r>
      <w:r w:rsidR="00923C2E" w:rsidRPr="009B5734">
        <w:rPr>
          <w:rFonts w:ascii="Times New Roman" w:hAnsi="Times New Roman"/>
          <w:b/>
          <w:noProof/>
          <w:sz w:val="24"/>
        </w:rPr>
        <w:t xml:space="preserve"> million for the period 2025-2040</w:t>
      </w:r>
      <w:r w:rsidR="00923C2E" w:rsidRPr="009B5734">
        <w:rPr>
          <w:rFonts w:ascii="Times New Roman" w:hAnsi="Times New Roman"/>
          <w:noProof/>
          <w:sz w:val="24"/>
        </w:rPr>
        <w:t xml:space="preserve"> </w:t>
      </w:r>
      <w:r w:rsidR="00D13F6D">
        <w:rPr>
          <w:rFonts w:ascii="Times New Roman" w:hAnsi="Times New Roman"/>
          <w:noProof/>
          <w:sz w:val="24"/>
        </w:rPr>
        <w:t xml:space="preserve"> (or </w:t>
      </w:r>
      <w:r w:rsidR="00D13F6D" w:rsidRPr="00D13F6D">
        <w:rPr>
          <w:rFonts w:ascii="Times New Roman" w:hAnsi="Times New Roman"/>
          <w:b/>
          <w:noProof/>
          <w:sz w:val="24"/>
        </w:rPr>
        <w:t>EUR 0.5 – 0.8 million per year</w:t>
      </w:r>
      <w:r w:rsidR="00D13F6D">
        <w:rPr>
          <w:rFonts w:ascii="Times New Roman" w:hAnsi="Times New Roman"/>
          <w:noProof/>
          <w:sz w:val="24"/>
        </w:rPr>
        <w:t>).</w:t>
      </w:r>
    </w:p>
    <w:p w:rsidR="00C1494F" w:rsidRPr="009B5734" w:rsidRDefault="00C1494F" w:rsidP="0020183C">
      <w:pPr>
        <w:ind w:left="0" w:firstLine="0"/>
        <w:rPr>
          <w:rFonts w:ascii="Times New Roman" w:hAnsi="Times New Roman"/>
          <w:i/>
          <w:noProof/>
          <w:sz w:val="24"/>
        </w:rPr>
      </w:pPr>
    </w:p>
    <w:p w:rsidR="0020183C" w:rsidRPr="009B5734" w:rsidRDefault="0020183C" w:rsidP="0020183C">
      <w:pPr>
        <w:ind w:left="0" w:firstLine="0"/>
        <w:rPr>
          <w:i/>
          <w:noProof/>
        </w:rPr>
      </w:pPr>
      <w:r w:rsidRPr="009B5734">
        <w:rPr>
          <w:rFonts w:ascii="Times New Roman" w:hAnsi="Times New Roman"/>
          <w:i/>
          <w:noProof/>
          <w:sz w:val="24"/>
        </w:rPr>
        <w:t>Impacts on the environment:</w:t>
      </w:r>
    </w:p>
    <w:p w:rsidR="0020183C" w:rsidRPr="009B5734" w:rsidRDefault="00C1494F" w:rsidP="00C1494F">
      <w:pPr>
        <w:ind w:left="0" w:firstLine="0"/>
        <w:rPr>
          <w:rFonts w:ascii="Times New Roman" w:hAnsi="Times New Roman"/>
          <w:noProof/>
          <w:sz w:val="24"/>
        </w:rPr>
      </w:pPr>
      <w:r w:rsidRPr="44230C38">
        <w:rPr>
          <w:rFonts w:ascii="Times New Roman" w:hAnsi="Times New Roman"/>
          <w:noProof/>
          <w:sz w:val="24"/>
          <w:szCs w:val="24"/>
        </w:rPr>
        <w:t xml:space="preserve">As a result of the implementation of </w:t>
      </w:r>
      <w:r w:rsidR="00E45ABD" w:rsidRPr="00703416">
        <w:rPr>
          <w:rFonts w:ascii="Times New Roman" w:hAnsi="Times New Roman"/>
          <w:b/>
          <w:bCs/>
          <w:noProof/>
          <w:sz w:val="24"/>
          <w:szCs w:val="24"/>
        </w:rPr>
        <w:t>option</w:t>
      </w:r>
      <w:r w:rsidR="00DB1AC5" w:rsidRPr="00703416">
        <w:rPr>
          <w:rFonts w:ascii="Times New Roman" w:hAnsi="Times New Roman"/>
          <w:b/>
          <w:bCs/>
          <w:noProof/>
          <w:sz w:val="24"/>
          <w:szCs w:val="24"/>
        </w:rPr>
        <w:t xml:space="preserve"> 2.2</w:t>
      </w:r>
      <w:r w:rsidR="00A36E66" w:rsidRPr="007E4C5D">
        <w:rPr>
          <w:rFonts w:ascii="Times New Roman" w:hAnsi="Times New Roman"/>
          <w:b/>
          <w:bCs/>
          <w:noProof/>
          <w:sz w:val="24"/>
          <w:szCs w:val="24"/>
        </w:rPr>
        <w:t>.</w:t>
      </w:r>
      <w:r w:rsidR="00DB1AC5" w:rsidRPr="007E4C5D">
        <w:rPr>
          <w:rFonts w:ascii="Times New Roman" w:hAnsi="Times New Roman"/>
          <w:b/>
          <w:bCs/>
          <w:noProof/>
          <w:sz w:val="24"/>
          <w:szCs w:val="24"/>
        </w:rPr>
        <w:t>A</w:t>
      </w:r>
      <w:r w:rsidRPr="007E4C5D">
        <w:rPr>
          <w:rFonts w:ascii="Times New Roman" w:hAnsi="Times New Roman"/>
          <w:noProof/>
          <w:sz w:val="24"/>
          <w:szCs w:val="24"/>
        </w:rPr>
        <w:t xml:space="preserve">, </w:t>
      </w:r>
      <w:r w:rsidR="005F1797" w:rsidRPr="44230C38">
        <w:rPr>
          <w:rFonts w:ascii="Times New Roman" w:hAnsi="Times New Roman"/>
          <w:noProof/>
          <w:sz w:val="24"/>
          <w:szCs w:val="24"/>
        </w:rPr>
        <w:t xml:space="preserve">certain </w:t>
      </w:r>
      <w:r w:rsidRPr="44230C38">
        <w:rPr>
          <w:rFonts w:ascii="Times New Roman" w:hAnsi="Times New Roman"/>
          <w:noProof/>
          <w:sz w:val="24"/>
          <w:szCs w:val="24"/>
        </w:rPr>
        <w:t xml:space="preserve">consumers will purchase products that will be truly </w:t>
      </w:r>
      <w:r w:rsidR="005F1797" w:rsidRPr="44230C38">
        <w:rPr>
          <w:rFonts w:ascii="Times New Roman" w:hAnsi="Times New Roman"/>
          <w:noProof/>
          <w:sz w:val="24"/>
          <w:szCs w:val="24"/>
        </w:rPr>
        <w:t>better for the environment</w:t>
      </w:r>
      <w:r w:rsidRPr="44230C38">
        <w:rPr>
          <w:rFonts w:ascii="Times New Roman" w:hAnsi="Times New Roman"/>
          <w:noProof/>
          <w:sz w:val="24"/>
          <w:szCs w:val="24"/>
        </w:rPr>
        <w:t xml:space="preserve">. </w:t>
      </w:r>
      <w:r w:rsidR="00BD3D0B" w:rsidRPr="44230C38">
        <w:rPr>
          <w:rFonts w:ascii="Times New Roman" w:hAnsi="Times New Roman"/>
          <w:noProof/>
          <w:sz w:val="24"/>
          <w:szCs w:val="24"/>
        </w:rPr>
        <w:t xml:space="preserve">Although </w:t>
      </w:r>
      <w:r w:rsidRPr="44230C38">
        <w:rPr>
          <w:rFonts w:ascii="Times New Roman" w:hAnsi="Times New Roman"/>
          <w:noProof/>
          <w:sz w:val="24"/>
          <w:szCs w:val="24"/>
        </w:rPr>
        <w:t xml:space="preserve">it is not possible to assess how much “greener” those products will be (compared to the alternative that would be purchased in the baseline), </w:t>
      </w:r>
      <w:r w:rsidR="00346365" w:rsidRPr="44230C38">
        <w:rPr>
          <w:rFonts w:ascii="Times New Roman" w:hAnsi="Times New Roman"/>
          <w:noProof/>
          <w:sz w:val="24"/>
          <w:szCs w:val="24"/>
        </w:rPr>
        <w:t xml:space="preserve">it is </w:t>
      </w:r>
      <w:r w:rsidRPr="44230C38">
        <w:rPr>
          <w:rFonts w:ascii="Times New Roman" w:hAnsi="Times New Roman"/>
          <w:noProof/>
          <w:sz w:val="24"/>
          <w:szCs w:val="24"/>
        </w:rPr>
        <w:t>estimate</w:t>
      </w:r>
      <w:r w:rsidR="00346365" w:rsidRPr="44230C38">
        <w:rPr>
          <w:rFonts w:ascii="Times New Roman" w:hAnsi="Times New Roman"/>
          <w:noProof/>
          <w:sz w:val="24"/>
          <w:szCs w:val="24"/>
        </w:rPr>
        <w:t>d</w:t>
      </w:r>
      <w:r w:rsidRPr="44230C38">
        <w:rPr>
          <w:rFonts w:ascii="Times New Roman" w:hAnsi="Times New Roman"/>
          <w:noProof/>
          <w:sz w:val="24"/>
          <w:szCs w:val="24"/>
        </w:rPr>
        <w:t xml:space="preserve"> that the </w:t>
      </w:r>
      <w:r w:rsidRPr="00C97149">
        <w:rPr>
          <w:rFonts w:ascii="Times New Roman" w:hAnsi="Times New Roman"/>
          <w:b/>
          <w:noProof/>
          <w:sz w:val="24"/>
          <w:szCs w:val="24"/>
        </w:rPr>
        <w:t xml:space="preserve">impacts on the environment will be </w:t>
      </w:r>
      <w:r w:rsidR="00BD3D0B" w:rsidRPr="004B3141">
        <w:rPr>
          <w:rFonts w:ascii="Times New Roman" w:hAnsi="Times New Roman"/>
          <w:b/>
          <w:noProof/>
          <w:sz w:val="24"/>
          <w:szCs w:val="24"/>
        </w:rPr>
        <w:t xml:space="preserve">highly </w:t>
      </w:r>
      <w:r w:rsidRPr="00946905">
        <w:rPr>
          <w:rFonts w:ascii="Times New Roman" w:hAnsi="Times New Roman"/>
          <w:b/>
          <w:bCs/>
          <w:noProof/>
          <w:sz w:val="24"/>
          <w:szCs w:val="24"/>
        </w:rPr>
        <w:t>positive.</w:t>
      </w:r>
      <w:r w:rsidRPr="44230C38">
        <w:rPr>
          <w:rFonts w:ascii="Times New Roman" w:hAnsi="Times New Roman"/>
          <w:noProof/>
          <w:sz w:val="24"/>
          <w:szCs w:val="24"/>
        </w:rPr>
        <w:t xml:space="preserve"> </w:t>
      </w:r>
      <w:r w:rsidR="00DB1AC5" w:rsidRPr="44230C38">
        <w:rPr>
          <w:rFonts w:ascii="Times New Roman" w:hAnsi="Times New Roman"/>
          <w:noProof/>
          <w:sz w:val="24"/>
          <w:szCs w:val="24"/>
        </w:rPr>
        <w:t>For the same reasons</w:t>
      </w:r>
      <w:r w:rsidR="004B2B62" w:rsidRPr="44230C38">
        <w:rPr>
          <w:rFonts w:ascii="Times New Roman" w:hAnsi="Times New Roman"/>
          <w:noProof/>
          <w:sz w:val="24"/>
          <w:szCs w:val="24"/>
        </w:rPr>
        <w:t>,</w:t>
      </w:r>
      <w:r w:rsidR="00DB1AC5" w:rsidRPr="44230C38">
        <w:rPr>
          <w:rFonts w:ascii="Times New Roman" w:hAnsi="Times New Roman"/>
          <w:noProof/>
          <w:sz w:val="24"/>
          <w:szCs w:val="24"/>
        </w:rPr>
        <w:t xml:space="preserve"> it is estimated that the impacts on the environment of </w:t>
      </w:r>
      <w:r w:rsidR="00DB1AC5" w:rsidRPr="00C97149">
        <w:rPr>
          <w:rFonts w:ascii="Times New Roman" w:hAnsi="Times New Roman"/>
          <w:b/>
          <w:noProof/>
          <w:sz w:val="24"/>
          <w:szCs w:val="24"/>
        </w:rPr>
        <w:t>option 2.2.B</w:t>
      </w:r>
      <w:r w:rsidR="00DB1AC5" w:rsidRPr="44230C38">
        <w:rPr>
          <w:rFonts w:ascii="Times New Roman" w:hAnsi="Times New Roman"/>
          <w:noProof/>
          <w:sz w:val="24"/>
          <w:szCs w:val="24"/>
        </w:rPr>
        <w:t xml:space="preserve"> will </w:t>
      </w:r>
      <w:r w:rsidR="00DB1AC5" w:rsidRPr="00C97149">
        <w:rPr>
          <w:rFonts w:ascii="Times New Roman" w:hAnsi="Times New Roman"/>
          <w:b/>
          <w:noProof/>
          <w:sz w:val="24"/>
          <w:szCs w:val="24"/>
        </w:rPr>
        <w:t xml:space="preserve">be </w:t>
      </w:r>
      <w:r w:rsidR="005F1797" w:rsidRPr="004B3141">
        <w:rPr>
          <w:rFonts w:ascii="Times New Roman" w:hAnsi="Times New Roman"/>
          <w:b/>
          <w:noProof/>
          <w:sz w:val="24"/>
          <w:szCs w:val="24"/>
        </w:rPr>
        <w:t xml:space="preserve">also </w:t>
      </w:r>
      <w:r w:rsidR="00DB1AC5" w:rsidRPr="00946905">
        <w:rPr>
          <w:rFonts w:ascii="Times New Roman" w:hAnsi="Times New Roman"/>
          <w:b/>
          <w:bCs/>
          <w:noProof/>
          <w:sz w:val="24"/>
          <w:szCs w:val="24"/>
        </w:rPr>
        <w:t>positive</w:t>
      </w:r>
      <w:r w:rsidR="00DB1AC5" w:rsidRPr="44230C38">
        <w:rPr>
          <w:rFonts w:ascii="Times New Roman" w:hAnsi="Times New Roman"/>
          <w:noProof/>
          <w:sz w:val="24"/>
          <w:szCs w:val="24"/>
        </w:rPr>
        <w:t xml:space="preserve">.. </w:t>
      </w:r>
      <w:r w:rsidR="00923C2E" w:rsidRPr="00703416">
        <w:rPr>
          <w:rFonts w:ascii="Times New Roman" w:hAnsi="Times New Roman" w:cs="Times New Roman"/>
          <w:noProof/>
          <w:sz w:val="24"/>
          <w:szCs w:val="24"/>
        </w:rPr>
        <w:t>The impact</w:t>
      </w:r>
      <w:r w:rsidR="004B2B62" w:rsidRPr="00703416">
        <w:rPr>
          <w:rFonts w:ascii="Times New Roman" w:hAnsi="Times New Roman" w:cs="Times New Roman"/>
          <w:noProof/>
          <w:sz w:val="24"/>
          <w:szCs w:val="24"/>
        </w:rPr>
        <w:t xml:space="preserve"> on the environment</w:t>
      </w:r>
      <w:r w:rsidR="00923C2E" w:rsidRPr="007E4C5D">
        <w:rPr>
          <w:rFonts w:ascii="Times New Roman" w:hAnsi="Times New Roman" w:cs="Times New Roman"/>
          <w:noProof/>
          <w:sz w:val="24"/>
          <w:szCs w:val="24"/>
        </w:rPr>
        <w:t xml:space="preserve"> of </w:t>
      </w:r>
      <w:r w:rsidR="00923C2E" w:rsidRPr="007E4C5D">
        <w:rPr>
          <w:rFonts w:ascii="Times New Roman" w:hAnsi="Times New Roman" w:cs="Times New Roman"/>
          <w:b/>
          <w:bCs/>
          <w:noProof/>
          <w:sz w:val="24"/>
          <w:szCs w:val="24"/>
        </w:rPr>
        <w:t xml:space="preserve">option 2.2.C </w:t>
      </w:r>
      <w:r w:rsidR="00923C2E" w:rsidRPr="007E4C5D">
        <w:rPr>
          <w:rFonts w:ascii="Times New Roman" w:hAnsi="Times New Roman" w:cs="Times New Roman"/>
          <w:noProof/>
          <w:sz w:val="24"/>
          <w:szCs w:val="24"/>
        </w:rPr>
        <w:t>will be highly positive (at least as hi</w:t>
      </w:r>
      <w:r w:rsidR="00923C2E" w:rsidRPr="44230C38">
        <w:rPr>
          <w:rFonts w:ascii="Times New Roman" w:hAnsi="Times New Roman" w:cs="Times New Roman"/>
          <w:noProof/>
          <w:sz w:val="24"/>
          <w:szCs w:val="24"/>
        </w:rPr>
        <w:t xml:space="preserve">gh as the impact of option 2.2.A), but an exact quantification of the impacts is not possible. </w:t>
      </w:r>
    </w:p>
    <w:p w:rsidR="0079671C" w:rsidRPr="009B5734" w:rsidRDefault="0079671C" w:rsidP="00C1494F">
      <w:pPr>
        <w:ind w:left="0" w:firstLine="0"/>
        <w:rPr>
          <w:rFonts w:ascii="Times New Roman" w:hAnsi="Times New Roman"/>
          <w:i/>
          <w:noProof/>
          <w:sz w:val="24"/>
        </w:rPr>
      </w:pPr>
    </w:p>
    <w:p w:rsidR="0020183C" w:rsidRPr="009B5734" w:rsidRDefault="0020183C" w:rsidP="0020183C">
      <w:pPr>
        <w:ind w:left="0" w:firstLine="0"/>
        <w:rPr>
          <w:i/>
          <w:noProof/>
        </w:rPr>
      </w:pPr>
      <w:r w:rsidRPr="009B5734">
        <w:rPr>
          <w:rFonts w:ascii="Times New Roman" w:hAnsi="Times New Roman"/>
          <w:i/>
          <w:noProof/>
          <w:sz w:val="24"/>
        </w:rPr>
        <w:t>Coherence and applicability of the legal framework:</w:t>
      </w:r>
    </w:p>
    <w:p w:rsidR="009141D5" w:rsidRPr="009B5734" w:rsidRDefault="00DB1AC5" w:rsidP="00B9711D">
      <w:pPr>
        <w:pStyle w:val="Text2"/>
        <w:spacing w:after="0"/>
        <w:ind w:left="0" w:firstLine="0"/>
        <w:rPr>
          <w:noProof/>
        </w:rPr>
      </w:pPr>
      <w:r w:rsidRPr="009B5734" w:rsidDel="00A5786A">
        <w:rPr>
          <w:b/>
          <w:noProof/>
        </w:rPr>
        <w:t>O</w:t>
      </w:r>
      <w:r w:rsidR="00E45ABD" w:rsidRPr="009B5734" w:rsidDel="00A5786A">
        <w:rPr>
          <w:b/>
          <w:noProof/>
        </w:rPr>
        <w:t>ption</w:t>
      </w:r>
      <w:r w:rsidRPr="009B5734" w:rsidDel="00A5786A">
        <w:rPr>
          <w:b/>
          <w:noProof/>
        </w:rPr>
        <w:t xml:space="preserve"> 2.2.A</w:t>
      </w:r>
      <w:r w:rsidR="00C1494F" w:rsidRPr="009B5734" w:rsidDel="00A5786A">
        <w:rPr>
          <w:noProof/>
        </w:rPr>
        <w:t xml:space="preserve"> will </w:t>
      </w:r>
      <w:r w:rsidR="00C1494F" w:rsidRPr="009B5734">
        <w:rPr>
          <w:noProof/>
        </w:rPr>
        <w:t>be coherent with</w:t>
      </w:r>
      <w:r w:rsidR="00DD00DE" w:rsidRPr="009B5734">
        <w:rPr>
          <w:noProof/>
        </w:rPr>
        <w:t xml:space="preserve"> other</w:t>
      </w:r>
      <w:r w:rsidR="00C1494F" w:rsidRPr="009B5734">
        <w:rPr>
          <w:noProof/>
        </w:rPr>
        <w:t xml:space="preserve"> </w:t>
      </w:r>
      <w:r w:rsidR="004B2B62" w:rsidRPr="009B5734">
        <w:rPr>
          <w:noProof/>
        </w:rPr>
        <w:t>legislation</w:t>
      </w:r>
      <w:r w:rsidR="00DD00DE" w:rsidRPr="009B5734">
        <w:rPr>
          <w:noProof/>
        </w:rPr>
        <w:t xml:space="preserve">, such as the EU Ecolabel </w:t>
      </w:r>
      <w:r w:rsidR="009B6A2D" w:rsidRPr="009B5734">
        <w:rPr>
          <w:noProof/>
        </w:rPr>
        <w:t>or</w:t>
      </w:r>
      <w:r w:rsidR="00DD00DE" w:rsidRPr="009B5734">
        <w:rPr>
          <w:noProof/>
        </w:rPr>
        <w:t xml:space="preserve"> the upcoming </w:t>
      </w:r>
      <w:r w:rsidR="005F1797" w:rsidRPr="009B5734">
        <w:rPr>
          <w:noProof/>
        </w:rPr>
        <w:t>G</w:t>
      </w:r>
      <w:r w:rsidR="00DD00DE" w:rsidRPr="009B5734">
        <w:rPr>
          <w:noProof/>
        </w:rPr>
        <w:t xml:space="preserve">reen </w:t>
      </w:r>
      <w:r w:rsidR="005F1797" w:rsidRPr="009B5734">
        <w:rPr>
          <w:noProof/>
        </w:rPr>
        <w:t>C</w:t>
      </w:r>
      <w:r w:rsidR="00DD00DE" w:rsidRPr="009B5734">
        <w:rPr>
          <w:noProof/>
        </w:rPr>
        <w:t xml:space="preserve">laims </w:t>
      </w:r>
      <w:r w:rsidR="0042406B" w:rsidRPr="009B5734">
        <w:rPr>
          <w:noProof/>
        </w:rPr>
        <w:t>I</w:t>
      </w:r>
      <w:r w:rsidR="00DD00DE" w:rsidRPr="009B5734">
        <w:rPr>
          <w:noProof/>
        </w:rPr>
        <w:t>nitiative,</w:t>
      </w:r>
      <w:r w:rsidR="00C1494F" w:rsidRPr="009B5734">
        <w:rPr>
          <w:noProof/>
        </w:rPr>
        <w:t xml:space="preserve"> as these will be used as the benchmark to assess the reliability of the claims.</w:t>
      </w:r>
      <w:r w:rsidRPr="009B5734">
        <w:rPr>
          <w:noProof/>
        </w:rPr>
        <w:t xml:space="preserve"> </w:t>
      </w:r>
      <w:r w:rsidR="00A5786A" w:rsidRPr="009B5734">
        <w:rPr>
          <w:noProof/>
        </w:rPr>
        <w:t>Similarly</w:t>
      </w:r>
      <w:r w:rsidR="00A5786A" w:rsidRPr="009B5734">
        <w:rPr>
          <w:b/>
          <w:noProof/>
        </w:rPr>
        <w:t xml:space="preserve"> </w:t>
      </w:r>
      <w:r w:rsidR="003261C5" w:rsidRPr="009B5734">
        <w:rPr>
          <w:b/>
          <w:noProof/>
        </w:rPr>
        <w:t>o</w:t>
      </w:r>
      <w:r w:rsidRPr="009B5734">
        <w:rPr>
          <w:b/>
          <w:noProof/>
        </w:rPr>
        <w:t>ption 2.2.B</w:t>
      </w:r>
      <w:r w:rsidRPr="009B5734">
        <w:rPr>
          <w:noProof/>
        </w:rPr>
        <w:t xml:space="preserve"> will </w:t>
      </w:r>
      <w:r w:rsidR="003261C5" w:rsidRPr="009B5734">
        <w:rPr>
          <w:noProof/>
        </w:rPr>
        <w:t>be</w:t>
      </w:r>
      <w:r w:rsidR="00A5786A" w:rsidRPr="009B5734">
        <w:rPr>
          <w:noProof/>
        </w:rPr>
        <w:t xml:space="preserve"> also </w:t>
      </w:r>
      <w:r w:rsidRPr="009B5734">
        <w:rPr>
          <w:noProof/>
        </w:rPr>
        <w:t>coherent with the other legislation</w:t>
      </w:r>
      <w:r w:rsidRPr="009B5734" w:rsidDel="00A5786A">
        <w:rPr>
          <w:noProof/>
        </w:rPr>
        <w:t xml:space="preserve"> </w:t>
      </w:r>
      <w:r w:rsidRPr="009B5734">
        <w:rPr>
          <w:noProof/>
        </w:rPr>
        <w:t xml:space="preserve">as this option will </w:t>
      </w:r>
      <w:r w:rsidR="00496EA4" w:rsidRPr="009B5734">
        <w:rPr>
          <w:noProof/>
        </w:rPr>
        <w:t xml:space="preserve">provide for general rules </w:t>
      </w:r>
      <w:r w:rsidRPr="009B5734">
        <w:rPr>
          <w:noProof/>
        </w:rPr>
        <w:t>to capture the claims not regulated by other</w:t>
      </w:r>
      <w:r w:rsidR="00A5786A" w:rsidRPr="009B5734">
        <w:rPr>
          <w:noProof/>
        </w:rPr>
        <w:t>s</w:t>
      </w:r>
      <w:r w:rsidRPr="009B5734">
        <w:rPr>
          <w:noProof/>
        </w:rPr>
        <w:t>.</w:t>
      </w:r>
      <w:r w:rsidR="00923C2E" w:rsidRPr="009B5734">
        <w:rPr>
          <w:noProof/>
        </w:rPr>
        <w:t xml:space="preserve"> </w:t>
      </w:r>
      <w:r w:rsidR="00923C2E" w:rsidRPr="009B5734">
        <w:rPr>
          <w:b/>
          <w:noProof/>
        </w:rPr>
        <w:t>Option 2.2.C</w:t>
      </w:r>
      <w:r w:rsidR="004B2B62" w:rsidRPr="009B5734">
        <w:rPr>
          <w:noProof/>
        </w:rPr>
        <w:t>, as a combination of options 2.2.A and 2.2.B,</w:t>
      </w:r>
      <w:r w:rsidR="00923C2E" w:rsidRPr="009B5734">
        <w:rPr>
          <w:noProof/>
        </w:rPr>
        <w:t xml:space="preserve"> will have a positive impact on ensuring a better and coherent application of the EU legal consumer framework, in particular of the UCPD</w:t>
      </w:r>
      <w:r w:rsidR="00A5786A" w:rsidRPr="009B5734">
        <w:rPr>
          <w:noProof/>
        </w:rPr>
        <w:t xml:space="preserve">, </w:t>
      </w:r>
      <w:r w:rsidR="00A21877" w:rsidRPr="009B5734">
        <w:rPr>
          <w:noProof/>
        </w:rPr>
        <w:t>through adding more specific and stronger consumer protection rules.</w:t>
      </w:r>
    </w:p>
    <w:p w:rsidR="000245FD" w:rsidRPr="009B5734" w:rsidRDefault="000245FD" w:rsidP="006B18B5">
      <w:pPr>
        <w:pStyle w:val="Heading5"/>
        <w:rPr>
          <w:rFonts w:ascii="Times New Roman" w:hAnsi="Times New Roman" w:cs="Times New Roman"/>
          <w:i w:val="0"/>
          <w:noProof/>
          <w:sz w:val="24"/>
        </w:rPr>
      </w:pPr>
      <w:bookmarkStart w:id="225" w:name="_Toc58149086"/>
      <w:bookmarkStart w:id="226" w:name="_Toc58222464"/>
      <w:bookmarkStart w:id="227" w:name="_Toc58603232"/>
      <w:bookmarkStart w:id="228" w:name="_Toc58604092"/>
      <w:bookmarkStart w:id="229" w:name="_Toc58605409"/>
      <w:bookmarkStart w:id="230" w:name="_Toc60734047"/>
      <w:r w:rsidRPr="009B5734">
        <w:rPr>
          <w:rFonts w:ascii="Times New Roman" w:hAnsi="Times New Roman" w:cs="Times New Roman"/>
          <w:i w:val="0"/>
          <w:noProof/>
          <w:sz w:val="24"/>
        </w:rPr>
        <w:t>How do the options compare?</w:t>
      </w:r>
      <w:bookmarkEnd w:id="225"/>
      <w:bookmarkEnd w:id="226"/>
      <w:bookmarkEnd w:id="227"/>
      <w:bookmarkEnd w:id="228"/>
      <w:bookmarkEnd w:id="229"/>
      <w:bookmarkEnd w:id="230"/>
      <w:r w:rsidRPr="009B5734">
        <w:rPr>
          <w:rFonts w:ascii="Times New Roman" w:hAnsi="Times New Roman" w:cs="Times New Roman"/>
          <w:i w:val="0"/>
          <w:noProof/>
          <w:sz w:val="24"/>
        </w:rPr>
        <w:t xml:space="preserve"> </w:t>
      </w:r>
    </w:p>
    <w:p w:rsidR="006571BE" w:rsidRPr="009B5734" w:rsidRDefault="006571BE" w:rsidP="000A7F90">
      <w:pPr>
        <w:pStyle w:val="Text2"/>
        <w:spacing w:after="120"/>
        <w:ind w:left="0" w:firstLine="0"/>
        <w:rPr>
          <w:noProof/>
          <w:szCs w:val="24"/>
        </w:rPr>
      </w:pPr>
      <w:r w:rsidRPr="009B5734">
        <w:rPr>
          <w:noProof/>
          <w:szCs w:val="24"/>
        </w:rPr>
        <w:t xml:space="preserve">The results of the MCA </w:t>
      </w:r>
      <w:r w:rsidR="00CA5D30" w:rsidRPr="009B5734">
        <w:rPr>
          <w:noProof/>
          <w:szCs w:val="24"/>
        </w:rPr>
        <w:t xml:space="preserve">and sensitivity </w:t>
      </w:r>
      <w:r w:rsidRPr="009B5734">
        <w:rPr>
          <w:noProof/>
          <w:szCs w:val="24"/>
        </w:rPr>
        <w:t>analysis</w:t>
      </w:r>
      <w:r w:rsidRPr="009B5734">
        <w:rPr>
          <w:rStyle w:val="FootnoteReference"/>
          <w:noProof/>
          <w:szCs w:val="24"/>
        </w:rPr>
        <w:footnoteReference w:id="115"/>
      </w:r>
      <w:r w:rsidRPr="009B5734">
        <w:rPr>
          <w:noProof/>
          <w:szCs w:val="24"/>
        </w:rPr>
        <w:t xml:space="preserve"> </w:t>
      </w:r>
      <w:r w:rsidR="00FF080F" w:rsidRPr="009B5734">
        <w:rPr>
          <w:noProof/>
          <w:szCs w:val="24"/>
        </w:rPr>
        <w:t>(</w:t>
      </w:r>
      <w:r w:rsidR="00FF080F" w:rsidRPr="009B5734">
        <w:rPr>
          <w:noProof/>
        </w:rPr>
        <w:t xml:space="preserve">presented in </w:t>
      </w:r>
      <w:hyperlink w:anchor="_Sub-problem_2.2:_Greenwashing" w:history="1">
        <w:r w:rsidR="00FF080F" w:rsidRPr="009B5734">
          <w:rPr>
            <w:rStyle w:val="Hyperlink"/>
            <w:noProof/>
          </w:rPr>
          <w:t xml:space="preserve">Annex </w:t>
        </w:r>
        <w:r w:rsidR="00CA5D30" w:rsidRPr="009B5734">
          <w:rPr>
            <w:rStyle w:val="Hyperlink"/>
            <w:noProof/>
          </w:rPr>
          <w:t>9</w:t>
        </w:r>
        <w:r w:rsidR="00FF080F" w:rsidRPr="009B5734">
          <w:rPr>
            <w:rStyle w:val="Hyperlink"/>
            <w:noProof/>
          </w:rPr>
          <w:t xml:space="preserve">, section </w:t>
        </w:r>
        <w:r w:rsidR="0074299A" w:rsidRPr="009B5734">
          <w:rPr>
            <w:rStyle w:val="Hyperlink"/>
            <w:noProof/>
          </w:rPr>
          <w:t>2.4</w:t>
        </w:r>
      </w:hyperlink>
      <w:r w:rsidR="00FF080F" w:rsidRPr="009B5734">
        <w:rPr>
          <w:noProof/>
        </w:rPr>
        <w:t xml:space="preserve">) </w:t>
      </w:r>
      <w:r w:rsidRPr="009B5734">
        <w:rPr>
          <w:noProof/>
          <w:szCs w:val="24"/>
        </w:rPr>
        <w:t xml:space="preserve">shows that all options rank higher than the baseline, with </w:t>
      </w:r>
      <w:r w:rsidR="00285CE2" w:rsidRPr="009B5734">
        <w:rPr>
          <w:b/>
          <w:noProof/>
          <w:szCs w:val="24"/>
        </w:rPr>
        <w:t>o</w:t>
      </w:r>
      <w:r w:rsidR="001D1815" w:rsidRPr="009B5734">
        <w:rPr>
          <w:b/>
          <w:noProof/>
          <w:szCs w:val="24"/>
        </w:rPr>
        <w:t xml:space="preserve">ption </w:t>
      </w:r>
      <w:r w:rsidR="00285CE2" w:rsidRPr="009B5734">
        <w:rPr>
          <w:b/>
          <w:noProof/>
          <w:szCs w:val="24"/>
        </w:rPr>
        <w:t>2.2.C</w:t>
      </w:r>
      <w:r w:rsidR="00285CE2" w:rsidRPr="009B5734">
        <w:rPr>
          <w:noProof/>
          <w:szCs w:val="24"/>
        </w:rPr>
        <w:t xml:space="preserve"> </w:t>
      </w:r>
      <w:r w:rsidR="00CA5D30" w:rsidRPr="009B5734">
        <w:rPr>
          <w:noProof/>
          <w:szCs w:val="24"/>
        </w:rPr>
        <w:t xml:space="preserve">(the combination of options 2.2A and 2.2B) </w:t>
      </w:r>
      <w:r w:rsidRPr="009B5734">
        <w:rPr>
          <w:noProof/>
          <w:szCs w:val="24"/>
        </w:rPr>
        <w:t xml:space="preserve">coming first, followed by </w:t>
      </w:r>
      <w:r w:rsidR="00285CE2" w:rsidRPr="009B5734">
        <w:rPr>
          <w:b/>
          <w:noProof/>
          <w:szCs w:val="24"/>
        </w:rPr>
        <w:t>option 2.2.A</w:t>
      </w:r>
      <w:r w:rsidR="00CA5D30" w:rsidRPr="009B5734">
        <w:rPr>
          <w:noProof/>
          <w:szCs w:val="24"/>
        </w:rPr>
        <w:t xml:space="preserve"> (Ban of general /vague environmental claims)</w:t>
      </w:r>
      <w:r w:rsidR="00285CE2" w:rsidRPr="009B5734">
        <w:rPr>
          <w:noProof/>
          <w:szCs w:val="24"/>
        </w:rPr>
        <w:t xml:space="preserve">, then </w:t>
      </w:r>
      <w:r w:rsidR="00285CE2" w:rsidRPr="009B5734">
        <w:rPr>
          <w:b/>
          <w:noProof/>
          <w:szCs w:val="24"/>
        </w:rPr>
        <w:t>option</w:t>
      </w:r>
      <w:r w:rsidRPr="009B5734">
        <w:rPr>
          <w:b/>
          <w:noProof/>
          <w:szCs w:val="24"/>
        </w:rPr>
        <w:t xml:space="preserve"> 2.2.B</w:t>
      </w:r>
      <w:r w:rsidR="00CA5D30" w:rsidRPr="009B5734">
        <w:rPr>
          <w:noProof/>
          <w:szCs w:val="24"/>
        </w:rPr>
        <w:t xml:space="preserve"> (Prohibition of environmental claims that do not fulfil a minimum set of criteria)</w:t>
      </w:r>
      <w:r w:rsidR="00285CE2" w:rsidRPr="009B5734">
        <w:rPr>
          <w:noProof/>
          <w:szCs w:val="24"/>
        </w:rPr>
        <w:t>,</w:t>
      </w:r>
      <w:r w:rsidR="001D1815" w:rsidRPr="009B5734">
        <w:rPr>
          <w:noProof/>
          <w:szCs w:val="24"/>
        </w:rPr>
        <w:t xml:space="preserve"> and the</w:t>
      </w:r>
      <w:r w:rsidR="00285CE2" w:rsidRPr="009B5734">
        <w:rPr>
          <w:noProof/>
          <w:szCs w:val="24"/>
        </w:rPr>
        <w:t>n the</w:t>
      </w:r>
      <w:r w:rsidR="001D1815" w:rsidRPr="009B5734">
        <w:rPr>
          <w:noProof/>
          <w:szCs w:val="24"/>
        </w:rPr>
        <w:t xml:space="preserve"> baseline</w:t>
      </w:r>
      <w:r w:rsidRPr="009B5734">
        <w:rPr>
          <w:noProof/>
          <w:szCs w:val="24"/>
        </w:rPr>
        <w:t xml:space="preserve">. </w:t>
      </w:r>
    </w:p>
    <w:p w:rsidR="00D042F3" w:rsidRPr="00F67503" w:rsidRDefault="00B96030" w:rsidP="004931D3">
      <w:pPr>
        <w:spacing w:after="120"/>
        <w:ind w:left="0" w:firstLine="0"/>
        <w:rPr>
          <w:rFonts w:ascii="Times New Roman" w:hAnsi="Times New Roman"/>
          <w:noProof/>
          <w:sz w:val="24"/>
          <w:szCs w:val="24"/>
        </w:rPr>
      </w:pPr>
      <w:r w:rsidRPr="005D24D2">
        <w:rPr>
          <w:rFonts w:ascii="Times New Roman" w:hAnsi="Times New Roman"/>
          <w:noProof/>
          <w:sz w:val="24"/>
          <w:szCs w:val="24"/>
        </w:rPr>
        <w:t>When looking at the proportionality of the 3 options, t</w:t>
      </w:r>
      <w:r w:rsidR="00D042F3" w:rsidRPr="005D24D2">
        <w:rPr>
          <w:rFonts w:ascii="Times New Roman" w:hAnsi="Times New Roman"/>
          <w:noProof/>
          <w:sz w:val="24"/>
          <w:szCs w:val="24"/>
        </w:rPr>
        <w:t>he MCA shows that the tangible and intangible costs of options 2.2.A, 2.2.B and 2.2.C</w:t>
      </w:r>
      <w:r w:rsidR="00A76154">
        <w:rPr>
          <w:rFonts w:ascii="Times New Roman" w:hAnsi="Times New Roman"/>
          <w:noProof/>
          <w:sz w:val="24"/>
          <w:szCs w:val="24"/>
        </w:rPr>
        <w:t>, including on businesses and public administrations,</w:t>
      </w:r>
      <w:r w:rsidR="00D042F3" w:rsidRPr="005D24D2">
        <w:rPr>
          <w:rFonts w:ascii="Times New Roman" w:hAnsi="Times New Roman"/>
          <w:noProof/>
          <w:sz w:val="24"/>
          <w:szCs w:val="24"/>
        </w:rPr>
        <w:t xml:space="preserve"> are outweighed by their expected benefits</w:t>
      </w:r>
      <w:r w:rsidR="00A76154">
        <w:rPr>
          <w:rFonts w:ascii="Times New Roman" w:hAnsi="Times New Roman"/>
          <w:noProof/>
          <w:sz w:val="24"/>
          <w:szCs w:val="24"/>
        </w:rPr>
        <w:t xml:space="preserve"> for consumers and the environment</w:t>
      </w:r>
      <w:r w:rsidR="00D042F3" w:rsidRPr="005D24D2">
        <w:rPr>
          <w:rFonts w:ascii="Times New Roman" w:hAnsi="Times New Roman"/>
          <w:noProof/>
          <w:sz w:val="24"/>
          <w:szCs w:val="24"/>
        </w:rPr>
        <w:t xml:space="preserve"> (even for the worst-case scenario). The results of the partial cost-benefit analysis (which only considers tangible and monetisable impacts) also suggest that the benefits of option 2.2.C are higher than their expected costs, although this is not necessarily the case for options 2.2.A and 2.2.B.</w:t>
      </w:r>
    </w:p>
    <w:p w:rsidR="000245FD" w:rsidRPr="0084232A" w:rsidRDefault="00A00208" w:rsidP="00A00208">
      <w:pPr>
        <w:pStyle w:val="Heading4"/>
        <w:rPr>
          <w:noProof/>
        </w:rPr>
      </w:pPr>
      <w:bookmarkStart w:id="231" w:name="_Toc58149087"/>
      <w:bookmarkStart w:id="232" w:name="_Toc58604093"/>
      <w:r w:rsidRPr="00A00208">
        <w:t>6.2.3.</w:t>
      </w:r>
      <w:r w:rsidRPr="00A00208">
        <w:tab/>
      </w:r>
      <w:r w:rsidR="000245FD" w:rsidRPr="005D24D2">
        <w:rPr>
          <w:noProof/>
        </w:rPr>
        <w:t xml:space="preserve">Sub-problem 2.3: Consumers are faced with </w:t>
      </w:r>
      <w:r w:rsidR="00F166B4" w:rsidRPr="005D24D2">
        <w:rPr>
          <w:noProof/>
        </w:rPr>
        <w:t>the use of</w:t>
      </w:r>
      <w:r w:rsidR="000245FD" w:rsidRPr="005D24D2">
        <w:rPr>
          <w:noProof/>
        </w:rPr>
        <w:t xml:space="preserve"> sustainability labels</w:t>
      </w:r>
      <w:r w:rsidR="00113C84" w:rsidRPr="005D24D2">
        <w:rPr>
          <w:noProof/>
        </w:rPr>
        <w:t xml:space="preserve"> and</w:t>
      </w:r>
      <w:r w:rsidR="00832DAC" w:rsidRPr="005D24D2">
        <w:rPr>
          <w:noProof/>
        </w:rPr>
        <w:t xml:space="preserve"> digital</w:t>
      </w:r>
      <w:r w:rsidR="00113C84" w:rsidRPr="005D24D2">
        <w:rPr>
          <w:noProof/>
        </w:rPr>
        <w:t xml:space="preserve"> information tools</w:t>
      </w:r>
      <w:r w:rsidR="000245FD" w:rsidRPr="005D24D2">
        <w:rPr>
          <w:noProof/>
        </w:rPr>
        <w:t xml:space="preserve"> that are not always </w:t>
      </w:r>
      <w:r w:rsidR="00F166B4" w:rsidRPr="005D24D2">
        <w:rPr>
          <w:noProof/>
        </w:rPr>
        <w:t xml:space="preserve">transparent </w:t>
      </w:r>
      <w:r w:rsidR="000245FD" w:rsidRPr="005D24D2">
        <w:rPr>
          <w:noProof/>
        </w:rPr>
        <w:t xml:space="preserve">and </w:t>
      </w:r>
      <w:r w:rsidR="00F166B4" w:rsidRPr="005D24D2">
        <w:rPr>
          <w:noProof/>
        </w:rPr>
        <w:t>credible</w:t>
      </w:r>
      <w:bookmarkEnd w:id="231"/>
      <w:bookmarkEnd w:id="232"/>
      <w:r w:rsidR="000245FD" w:rsidRPr="005D24D2">
        <w:rPr>
          <w:noProof/>
        </w:rPr>
        <w:t xml:space="preserve"> </w:t>
      </w:r>
    </w:p>
    <w:tbl>
      <w:tblPr>
        <w:tblStyle w:val="TableGrid"/>
        <w:tblW w:w="8864" w:type="dxa"/>
        <w:tblLook w:val="04A0" w:firstRow="1" w:lastRow="0" w:firstColumn="1" w:lastColumn="0" w:noHBand="0" w:noVBand="1"/>
      </w:tblPr>
      <w:tblGrid>
        <w:gridCol w:w="2939"/>
        <w:gridCol w:w="2985"/>
        <w:gridCol w:w="2940"/>
      </w:tblGrid>
      <w:tr w:rsidR="00463900" w:rsidRPr="009B5734" w:rsidTr="00463900">
        <w:trPr>
          <w:trHeight w:val="251"/>
        </w:trPr>
        <w:tc>
          <w:tcPr>
            <w:tcW w:w="2939" w:type="dxa"/>
          </w:tcPr>
          <w:p w:rsidR="00463900" w:rsidRPr="009B5734" w:rsidRDefault="00463900" w:rsidP="00463900">
            <w:pPr>
              <w:pStyle w:val="Text2"/>
              <w:ind w:left="0" w:firstLine="0"/>
              <w:rPr>
                <w:noProof/>
                <w:sz w:val="20"/>
              </w:rPr>
            </w:pPr>
            <w:r w:rsidRPr="009B5734">
              <w:rPr>
                <w:b/>
                <w:noProof/>
                <w:sz w:val="20"/>
              </w:rPr>
              <w:t xml:space="preserve">Option 2.3.A: </w:t>
            </w:r>
            <w:r w:rsidRPr="009B5734">
              <w:rPr>
                <w:noProof/>
                <w:sz w:val="20"/>
              </w:rPr>
              <w:t xml:space="preserve">Development of principles promoting the transparency and credibility of  sustainability labels </w:t>
            </w:r>
            <w:r w:rsidR="00832DAC" w:rsidRPr="009B5734">
              <w:rPr>
                <w:noProof/>
                <w:sz w:val="20"/>
              </w:rPr>
              <w:t xml:space="preserve">and digital information tools </w:t>
            </w:r>
            <w:r w:rsidRPr="009B5734">
              <w:rPr>
                <w:noProof/>
                <w:sz w:val="20"/>
              </w:rPr>
              <w:t>for voluntary uptake</w:t>
            </w:r>
          </w:p>
        </w:tc>
        <w:tc>
          <w:tcPr>
            <w:tcW w:w="2985" w:type="dxa"/>
          </w:tcPr>
          <w:p w:rsidR="00463900" w:rsidRPr="009B5734" w:rsidRDefault="00463900" w:rsidP="00463900">
            <w:pPr>
              <w:pStyle w:val="Text2"/>
              <w:ind w:left="0" w:firstLine="0"/>
              <w:rPr>
                <w:noProof/>
                <w:sz w:val="20"/>
              </w:rPr>
            </w:pPr>
            <w:r w:rsidRPr="009B5734">
              <w:rPr>
                <w:b/>
                <w:noProof/>
                <w:sz w:val="20"/>
              </w:rPr>
              <w:t xml:space="preserve">Option 2.3.B: </w:t>
            </w:r>
            <w:r w:rsidR="00B9711D" w:rsidRPr="009B5734">
              <w:rPr>
                <w:noProof/>
                <w:sz w:val="20"/>
              </w:rPr>
              <w:t xml:space="preserve">Prohibition of sustainability labels and digital information tools not meeting minimum transparency and credibility requirements  </w:t>
            </w:r>
          </w:p>
        </w:tc>
        <w:tc>
          <w:tcPr>
            <w:tcW w:w="2940" w:type="dxa"/>
          </w:tcPr>
          <w:p w:rsidR="00463900" w:rsidRPr="009B5734" w:rsidRDefault="00832DAC" w:rsidP="00463900">
            <w:pPr>
              <w:pStyle w:val="Text2"/>
              <w:ind w:left="0" w:firstLine="0"/>
              <w:rPr>
                <w:noProof/>
                <w:sz w:val="20"/>
              </w:rPr>
            </w:pPr>
            <w:r w:rsidRPr="009B5734">
              <w:rPr>
                <w:noProof/>
                <w:sz w:val="20"/>
              </w:rPr>
              <w:t xml:space="preserve"> </w:t>
            </w:r>
            <w:r w:rsidRPr="009B5734">
              <w:rPr>
                <w:b/>
                <w:noProof/>
                <w:sz w:val="20"/>
              </w:rPr>
              <w:t>Option 2.3.C:</w:t>
            </w:r>
            <w:r w:rsidRPr="009B5734">
              <w:rPr>
                <w:noProof/>
                <w:sz w:val="20"/>
              </w:rPr>
              <w:t xml:space="preserve"> Pre-approval of sustainability labels and digital information tools via an EU body</w:t>
            </w:r>
          </w:p>
        </w:tc>
      </w:tr>
    </w:tbl>
    <w:p w:rsidR="00764E91" w:rsidRPr="009B5734" w:rsidRDefault="000245FD" w:rsidP="006B18B5">
      <w:pPr>
        <w:pStyle w:val="Heading5"/>
        <w:rPr>
          <w:rFonts w:ascii="Times New Roman" w:hAnsi="Times New Roman" w:cs="Times New Roman"/>
          <w:i w:val="0"/>
          <w:noProof/>
          <w:sz w:val="24"/>
        </w:rPr>
      </w:pPr>
      <w:bookmarkStart w:id="233" w:name="_Impacts_of_the"/>
      <w:bookmarkStart w:id="234" w:name="_Toc58149088"/>
      <w:bookmarkStart w:id="235" w:name="_Toc58222466"/>
      <w:bookmarkStart w:id="236" w:name="_Toc58603234"/>
      <w:bookmarkStart w:id="237" w:name="_Toc58604094"/>
      <w:bookmarkStart w:id="238" w:name="_Toc58605411"/>
      <w:bookmarkStart w:id="239" w:name="_Toc60734049"/>
      <w:bookmarkEnd w:id="233"/>
      <w:r w:rsidRPr="009B5734">
        <w:rPr>
          <w:rFonts w:ascii="Times New Roman" w:hAnsi="Times New Roman" w:cs="Times New Roman"/>
          <w:i w:val="0"/>
          <w:noProof/>
          <w:sz w:val="24"/>
        </w:rPr>
        <w:t>Impacts of the policy options</w:t>
      </w:r>
      <w:bookmarkEnd w:id="234"/>
      <w:bookmarkEnd w:id="235"/>
      <w:bookmarkEnd w:id="236"/>
      <w:bookmarkEnd w:id="237"/>
      <w:bookmarkEnd w:id="238"/>
      <w:bookmarkEnd w:id="239"/>
    </w:p>
    <w:p w:rsidR="00E13C7E" w:rsidRPr="009B5734" w:rsidRDefault="00E13C7E" w:rsidP="00E13C7E">
      <w:pPr>
        <w:ind w:left="0" w:firstLine="0"/>
        <w:rPr>
          <w:rFonts w:ascii="Times New Roman" w:hAnsi="Times New Roman"/>
          <w:i/>
          <w:noProof/>
          <w:sz w:val="24"/>
        </w:rPr>
      </w:pPr>
      <w:r w:rsidRPr="009B5734">
        <w:rPr>
          <w:rFonts w:ascii="Times New Roman" w:hAnsi="Times New Roman"/>
          <w:i/>
          <w:noProof/>
          <w:sz w:val="24"/>
        </w:rPr>
        <w:t>Impacts on consumers:</w:t>
      </w:r>
    </w:p>
    <w:p w:rsidR="00E13C7E" w:rsidRPr="009B5734" w:rsidRDefault="00FB51B5" w:rsidP="00E13C7E">
      <w:pPr>
        <w:ind w:left="0" w:firstLine="0"/>
        <w:rPr>
          <w:rFonts w:ascii="Times New Roman" w:hAnsi="Times New Roman"/>
          <w:noProof/>
          <w:sz w:val="24"/>
        </w:rPr>
      </w:pPr>
      <w:r w:rsidRPr="009B5734">
        <w:rPr>
          <w:rFonts w:ascii="Times New Roman" w:hAnsi="Times New Roman" w:cs="Times New Roman"/>
          <w:noProof/>
          <w:sz w:val="24"/>
          <w:szCs w:val="24"/>
        </w:rPr>
        <w:t xml:space="preserve">The introduction of </w:t>
      </w:r>
      <w:r w:rsidRPr="009B5734">
        <w:rPr>
          <w:rFonts w:ascii="Times New Roman" w:hAnsi="Times New Roman" w:cs="Times New Roman"/>
          <w:b/>
          <w:noProof/>
          <w:sz w:val="24"/>
          <w:szCs w:val="24"/>
        </w:rPr>
        <w:t>minimum criteria for sustainability labels</w:t>
      </w:r>
      <w:r w:rsidR="00832DAC" w:rsidRPr="009B5734">
        <w:rPr>
          <w:rFonts w:ascii="Times New Roman" w:hAnsi="Times New Roman"/>
          <w:b/>
          <w:noProof/>
          <w:sz w:val="24"/>
        </w:rPr>
        <w:t xml:space="preserve"> </w:t>
      </w:r>
      <w:r w:rsidR="00832DAC" w:rsidRPr="009B5734">
        <w:rPr>
          <w:rFonts w:ascii="Times New Roman" w:hAnsi="Times New Roman" w:cs="Times New Roman"/>
          <w:b/>
          <w:noProof/>
          <w:sz w:val="24"/>
          <w:szCs w:val="24"/>
        </w:rPr>
        <w:t>and digital information tools</w:t>
      </w:r>
      <w:r w:rsidRPr="009B5734">
        <w:rPr>
          <w:rFonts w:ascii="Times New Roman" w:hAnsi="Times New Roman" w:cs="Times New Roman"/>
          <w:noProof/>
          <w:sz w:val="24"/>
          <w:szCs w:val="24"/>
        </w:rPr>
        <w:t xml:space="preserve"> (thus increasing their transparency and </w:t>
      </w:r>
      <w:r w:rsidR="001E38B7" w:rsidRPr="009B5734">
        <w:rPr>
          <w:rFonts w:ascii="Times New Roman" w:hAnsi="Times New Roman" w:cs="Times New Roman"/>
          <w:noProof/>
          <w:sz w:val="24"/>
          <w:szCs w:val="24"/>
        </w:rPr>
        <w:t>credibility</w:t>
      </w:r>
      <w:r w:rsidR="005A490E" w:rsidRPr="009B5734">
        <w:rPr>
          <w:rFonts w:ascii="Times New Roman" w:hAnsi="Times New Roman" w:cs="Times New Roman"/>
          <w:noProof/>
          <w:sz w:val="24"/>
          <w:szCs w:val="24"/>
        </w:rPr>
        <w:t>)</w:t>
      </w:r>
      <w:r w:rsidR="00764468" w:rsidRPr="009B5734">
        <w:rPr>
          <w:rFonts w:ascii="Times New Roman" w:hAnsi="Times New Roman" w:cs="Times New Roman"/>
          <w:noProof/>
          <w:sz w:val="24"/>
          <w:szCs w:val="24"/>
        </w:rPr>
        <w:t xml:space="preserve">, as envisaged under </w:t>
      </w:r>
      <w:r w:rsidR="00764468" w:rsidRPr="009B5734">
        <w:rPr>
          <w:rFonts w:ascii="Times New Roman" w:hAnsi="Times New Roman" w:cs="Times New Roman"/>
          <w:b/>
          <w:noProof/>
          <w:sz w:val="24"/>
          <w:szCs w:val="24"/>
        </w:rPr>
        <w:t>option 2.3.A</w:t>
      </w:r>
      <w:r w:rsidR="00764468" w:rsidRPr="009B5734">
        <w:rPr>
          <w:rFonts w:ascii="Times New Roman" w:hAnsi="Times New Roman" w:cs="Times New Roman"/>
          <w:noProof/>
          <w:sz w:val="24"/>
          <w:szCs w:val="24"/>
        </w:rPr>
        <w:t xml:space="preserve">, </w:t>
      </w:r>
      <w:r w:rsidR="001E38B7" w:rsidRPr="009B5734">
        <w:rPr>
          <w:rFonts w:ascii="Times New Roman" w:hAnsi="Times New Roman" w:cs="Times New Roman"/>
          <w:noProof/>
          <w:sz w:val="24"/>
          <w:szCs w:val="24"/>
        </w:rPr>
        <w:t xml:space="preserve">could </w:t>
      </w:r>
      <w:r w:rsidRPr="009B5734">
        <w:rPr>
          <w:rFonts w:ascii="Times New Roman" w:hAnsi="Times New Roman" w:cs="Times New Roman"/>
          <w:noProof/>
          <w:sz w:val="24"/>
          <w:szCs w:val="24"/>
        </w:rPr>
        <w:t>enhance the quality of consumer decision-making. However, this</w:t>
      </w:r>
      <w:r w:rsidRPr="009B5734" w:rsidDel="00E45ABD">
        <w:rPr>
          <w:rFonts w:ascii="Times New Roman" w:hAnsi="Times New Roman" w:cs="Times New Roman"/>
          <w:noProof/>
          <w:sz w:val="24"/>
          <w:szCs w:val="24"/>
        </w:rPr>
        <w:t xml:space="preserve"> </w:t>
      </w:r>
      <w:r w:rsidR="00E45ABD" w:rsidRPr="009B5734">
        <w:rPr>
          <w:rFonts w:ascii="Times New Roman" w:hAnsi="Times New Roman" w:cs="Times New Roman"/>
          <w:noProof/>
          <w:sz w:val="24"/>
          <w:szCs w:val="24"/>
        </w:rPr>
        <w:t>option</w:t>
      </w:r>
      <w:r w:rsidRPr="009B5734">
        <w:rPr>
          <w:rFonts w:ascii="Times New Roman" w:hAnsi="Times New Roman" w:cs="Times New Roman"/>
          <w:noProof/>
          <w:sz w:val="24"/>
          <w:szCs w:val="24"/>
        </w:rPr>
        <w:t xml:space="preserve"> would rely on </w:t>
      </w:r>
      <w:r w:rsidRPr="009B5734">
        <w:rPr>
          <w:rFonts w:ascii="Times New Roman" w:hAnsi="Times New Roman" w:cs="Times New Roman"/>
          <w:b/>
          <w:noProof/>
          <w:sz w:val="24"/>
          <w:szCs w:val="24"/>
        </w:rPr>
        <w:t>voluntary uptake</w:t>
      </w:r>
      <w:r w:rsidR="00E45ABD" w:rsidRPr="009B5734">
        <w:rPr>
          <w:rFonts w:ascii="Times New Roman" w:hAnsi="Times New Roman" w:cs="Times New Roman"/>
          <w:noProof/>
          <w:sz w:val="24"/>
          <w:szCs w:val="24"/>
        </w:rPr>
        <w:t>, which</w:t>
      </w:r>
      <w:r w:rsidRPr="009B5734">
        <w:rPr>
          <w:rFonts w:ascii="Times New Roman" w:hAnsi="Times New Roman" w:cs="Times New Roman"/>
          <w:noProof/>
          <w:sz w:val="24"/>
          <w:szCs w:val="24"/>
        </w:rPr>
        <w:t xml:space="preserve"> would mean that there would be no harmonisation across labels</w:t>
      </w:r>
      <w:r w:rsidR="00832DAC" w:rsidRPr="009B5734">
        <w:rPr>
          <w:rFonts w:ascii="Times New Roman" w:hAnsi="Times New Roman" w:cs="Times New Roman"/>
          <w:noProof/>
          <w:sz w:val="24"/>
          <w:szCs w:val="24"/>
        </w:rPr>
        <w:t xml:space="preserve"> or information tools</w:t>
      </w:r>
      <w:r w:rsidRPr="009B5734">
        <w:rPr>
          <w:rFonts w:ascii="Times New Roman" w:hAnsi="Times New Roman" w:cs="Times New Roman"/>
          <w:noProof/>
          <w:sz w:val="24"/>
          <w:szCs w:val="24"/>
        </w:rPr>
        <w:t xml:space="preserve">. </w:t>
      </w:r>
      <w:r w:rsidR="00764468" w:rsidRPr="009B5734">
        <w:rPr>
          <w:rFonts w:ascii="Times New Roman" w:hAnsi="Times New Roman" w:cs="Times New Roman"/>
          <w:noProof/>
          <w:sz w:val="24"/>
          <w:szCs w:val="24"/>
        </w:rPr>
        <w:t xml:space="preserve">The introduction of </w:t>
      </w:r>
      <w:r w:rsidR="00764468" w:rsidRPr="009B5734">
        <w:rPr>
          <w:rFonts w:ascii="Times New Roman" w:hAnsi="Times New Roman" w:cs="Times New Roman"/>
          <w:b/>
          <w:noProof/>
          <w:sz w:val="24"/>
          <w:szCs w:val="24"/>
        </w:rPr>
        <w:t xml:space="preserve">minimum criteria </w:t>
      </w:r>
      <w:r w:rsidR="00A21877" w:rsidRPr="009B5734">
        <w:rPr>
          <w:rFonts w:ascii="Times New Roman" w:hAnsi="Times New Roman" w:cs="Times New Roman"/>
          <w:b/>
          <w:noProof/>
          <w:sz w:val="24"/>
          <w:szCs w:val="24"/>
        </w:rPr>
        <w:t>for assessing the fairness of</w:t>
      </w:r>
      <w:r w:rsidR="00764468" w:rsidRPr="009B5734">
        <w:rPr>
          <w:rFonts w:ascii="Times New Roman" w:hAnsi="Times New Roman" w:cs="Times New Roman"/>
          <w:b/>
          <w:noProof/>
          <w:sz w:val="24"/>
          <w:szCs w:val="24"/>
        </w:rPr>
        <w:t xml:space="preserve"> sustainability labels</w:t>
      </w:r>
      <w:r w:rsidR="00832DAC" w:rsidRPr="009B5734">
        <w:rPr>
          <w:rFonts w:ascii="Times New Roman" w:hAnsi="Times New Roman" w:cs="Times New Roman"/>
          <w:b/>
          <w:noProof/>
          <w:sz w:val="24"/>
          <w:szCs w:val="24"/>
        </w:rPr>
        <w:t xml:space="preserve"> and digital information tools</w:t>
      </w:r>
      <w:r w:rsidR="00764468" w:rsidRPr="009B5734">
        <w:rPr>
          <w:rFonts w:ascii="Times New Roman" w:hAnsi="Times New Roman" w:cs="Times New Roman"/>
          <w:noProof/>
          <w:sz w:val="24"/>
          <w:szCs w:val="24"/>
        </w:rPr>
        <w:t xml:space="preserve">, as envisaged </w:t>
      </w:r>
      <w:r w:rsidR="00764468" w:rsidRPr="009B5734">
        <w:rPr>
          <w:rFonts w:ascii="Times New Roman" w:hAnsi="Times New Roman" w:cs="Times New Roman"/>
          <w:b/>
          <w:noProof/>
          <w:sz w:val="24"/>
          <w:szCs w:val="24"/>
        </w:rPr>
        <w:t>under option 2.3.B</w:t>
      </w:r>
      <w:r w:rsidR="00764468" w:rsidRPr="009B5734">
        <w:rPr>
          <w:rFonts w:ascii="Times New Roman" w:hAnsi="Times New Roman" w:cs="Times New Roman"/>
          <w:noProof/>
          <w:sz w:val="24"/>
          <w:szCs w:val="24"/>
        </w:rPr>
        <w:t xml:space="preserve">, would </w:t>
      </w:r>
      <w:r w:rsidR="00806969" w:rsidRPr="009B5734">
        <w:rPr>
          <w:rFonts w:ascii="Times New Roman" w:hAnsi="Times New Roman" w:cs="Times New Roman"/>
          <w:noProof/>
          <w:sz w:val="24"/>
          <w:szCs w:val="24"/>
        </w:rPr>
        <w:t xml:space="preserve">also </w:t>
      </w:r>
      <w:r w:rsidR="00764468" w:rsidRPr="009B5734">
        <w:rPr>
          <w:rFonts w:ascii="Times New Roman" w:hAnsi="Times New Roman" w:cs="Times New Roman"/>
          <w:noProof/>
          <w:sz w:val="24"/>
          <w:szCs w:val="24"/>
        </w:rPr>
        <w:t xml:space="preserve">increase the transparency and </w:t>
      </w:r>
      <w:r w:rsidR="001E38B7" w:rsidRPr="009B5734">
        <w:rPr>
          <w:rFonts w:ascii="Times New Roman" w:hAnsi="Times New Roman" w:cs="Times New Roman"/>
          <w:noProof/>
          <w:sz w:val="24"/>
          <w:szCs w:val="24"/>
        </w:rPr>
        <w:t xml:space="preserve">credibility </w:t>
      </w:r>
      <w:r w:rsidR="00764468" w:rsidRPr="009B5734">
        <w:rPr>
          <w:rFonts w:ascii="Times New Roman" w:hAnsi="Times New Roman" w:cs="Times New Roman"/>
          <w:noProof/>
          <w:sz w:val="24"/>
          <w:szCs w:val="24"/>
        </w:rPr>
        <w:t xml:space="preserve">of </w:t>
      </w:r>
      <w:r w:rsidR="00832DAC" w:rsidRPr="009B5734">
        <w:rPr>
          <w:rFonts w:ascii="Times New Roman" w:hAnsi="Times New Roman" w:cs="Times New Roman"/>
          <w:noProof/>
          <w:sz w:val="24"/>
          <w:szCs w:val="24"/>
        </w:rPr>
        <w:t xml:space="preserve">these </w:t>
      </w:r>
      <w:r w:rsidR="00764468" w:rsidRPr="009B5734">
        <w:rPr>
          <w:rFonts w:ascii="Times New Roman" w:hAnsi="Times New Roman" w:cs="Times New Roman"/>
          <w:noProof/>
          <w:sz w:val="24"/>
          <w:szCs w:val="24"/>
        </w:rPr>
        <w:t xml:space="preserve">labels </w:t>
      </w:r>
      <w:r w:rsidR="00832DAC" w:rsidRPr="009B5734">
        <w:rPr>
          <w:rFonts w:ascii="Times New Roman" w:hAnsi="Times New Roman" w:cs="Times New Roman"/>
          <w:noProof/>
          <w:sz w:val="24"/>
          <w:szCs w:val="24"/>
        </w:rPr>
        <w:t>and tools</w:t>
      </w:r>
      <w:r w:rsidR="00764468" w:rsidRPr="009B5734">
        <w:rPr>
          <w:rFonts w:ascii="Times New Roman" w:hAnsi="Times New Roman" w:cs="Times New Roman"/>
          <w:noProof/>
          <w:sz w:val="24"/>
          <w:szCs w:val="24"/>
        </w:rPr>
        <w:t xml:space="preserve">. This will enhance the quality of consumer decision-making and the level of consumer protection. </w:t>
      </w:r>
      <w:r w:rsidR="00764468" w:rsidRPr="009B5734">
        <w:rPr>
          <w:rFonts w:ascii="Times New Roman" w:hAnsi="Times New Roman"/>
          <w:noProof/>
          <w:sz w:val="24"/>
        </w:rPr>
        <w:t xml:space="preserve">The impact on consumer welfare depends on the extent of the impact of the measure in increasing consumer trust in labels. When assuming a moderate impact on consumer trust, this option is estimated to increase consumer welfare by </w:t>
      </w:r>
      <w:r w:rsidR="00764468" w:rsidRPr="009B5734">
        <w:rPr>
          <w:rFonts w:ascii="Times New Roman" w:hAnsi="Times New Roman"/>
          <w:b/>
          <w:noProof/>
          <w:sz w:val="24"/>
        </w:rPr>
        <w:t xml:space="preserve">EUR </w:t>
      </w:r>
      <w:r w:rsidR="003E5639" w:rsidRPr="009B5734">
        <w:rPr>
          <w:rFonts w:ascii="Times New Roman" w:hAnsi="Times New Roman"/>
          <w:b/>
          <w:noProof/>
          <w:sz w:val="24"/>
        </w:rPr>
        <w:t xml:space="preserve">4 </w:t>
      </w:r>
      <w:r w:rsidR="002E5A5F" w:rsidRPr="009B5734">
        <w:rPr>
          <w:rFonts w:ascii="Times New Roman" w:hAnsi="Times New Roman"/>
          <w:b/>
          <w:noProof/>
          <w:sz w:val="24"/>
        </w:rPr>
        <w:t xml:space="preserve">500 </w:t>
      </w:r>
      <w:r w:rsidR="00764468" w:rsidRPr="009B5734">
        <w:rPr>
          <w:rFonts w:ascii="Times New Roman" w:hAnsi="Times New Roman"/>
          <w:b/>
          <w:noProof/>
          <w:sz w:val="24"/>
        </w:rPr>
        <w:t xml:space="preserve">– </w:t>
      </w:r>
      <w:r w:rsidR="003E5639" w:rsidRPr="009B5734">
        <w:rPr>
          <w:rFonts w:ascii="Times New Roman" w:hAnsi="Times New Roman"/>
          <w:b/>
          <w:noProof/>
          <w:sz w:val="24"/>
        </w:rPr>
        <w:t xml:space="preserve">6 </w:t>
      </w:r>
      <w:r w:rsidR="002E5A5F" w:rsidRPr="009B5734">
        <w:rPr>
          <w:rFonts w:ascii="Times New Roman" w:hAnsi="Times New Roman"/>
          <w:b/>
          <w:noProof/>
          <w:sz w:val="24"/>
        </w:rPr>
        <w:t xml:space="preserve">610 </w:t>
      </w:r>
      <w:r w:rsidR="00764468" w:rsidRPr="009B5734">
        <w:rPr>
          <w:rFonts w:ascii="Times New Roman" w:hAnsi="Times New Roman"/>
          <w:b/>
          <w:noProof/>
          <w:sz w:val="24"/>
        </w:rPr>
        <w:t>million for the period 2025-2040</w:t>
      </w:r>
      <w:r w:rsidR="00764468" w:rsidRPr="009B5734">
        <w:rPr>
          <w:rStyle w:val="FootnoteReference"/>
          <w:rFonts w:ascii="Times New Roman" w:hAnsi="Times New Roman"/>
          <w:noProof/>
          <w:sz w:val="24"/>
        </w:rPr>
        <w:footnoteReference w:id="116"/>
      </w:r>
      <w:r w:rsidR="001438E7">
        <w:rPr>
          <w:rFonts w:ascii="Times New Roman" w:hAnsi="Times New Roman"/>
          <w:b/>
          <w:noProof/>
          <w:sz w:val="24"/>
        </w:rPr>
        <w:t xml:space="preserve"> (</w:t>
      </w:r>
      <w:r w:rsidR="001438E7" w:rsidRPr="001438E7">
        <w:rPr>
          <w:rFonts w:ascii="Times New Roman" w:hAnsi="Times New Roman"/>
          <w:noProof/>
          <w:sz w:val="24"/>
        </w:rPr>
        <w:t>or</w:t>
      </w:r>
      <w:r w:rsidR="001438E7">
        <w:rPr>
          <w:rFonts w:ascii="Times New Roman" w:hAnsi="Times New Roman"/>
          <w:b/>
          <w:noProof/>
          <w:sz w:val="24"/>
        </w:rPr>
        <w:t xml:space="preserve"> EUR 300 – 441 million per year)</w:t>
      </w:r>
      <w:r w:rsidR="00764468" w:rsidRPr="009B5734">
        <w:rPr>
          <w:rFonts w:ascii="Times New Roman" w:hAnsi="Times New Roman"/>
          <w:noProof/>
          <w:sz w:val="24"/>
        </w:rPr>
        <w:t>.</w:t>
      </w:r>
      <w:r w:rsidR="003A1025" w:rsidRPr="009B5734">
        <w:rPr>
          <w:rFonts w:ascii="Times New Roman" w:hAnsi="Times New Roman"/>
          <w:noProof/>
          <w:sz w:val="24"/>
        </w:rPr>
        <w:t xml:space="preserve"> </w:t>
      </w:r>
      <w:r w:rsidR="0017771C" w:rsidRPr="009B5734">
        <w:rPr>
          <w:rFonts w:ascii="Times New Roman" w:hAnsi="Times New Roman" w:cs="Times New Roman"/>
          <w:noProof/>
          <w:sz w:val="24"/>
          <w:szCs w:val="24"/>
        </w:rPr>
        <w:t>The impact on consumer</w:t>
      </w:r>
      <w:r w:rsidR="001E7C1C" w:rsidRPr="009B5734">
        <w:rPr>
          <w:rFonts w:ascii="Times New Roman" w:hAnsi="Times New Roman" w:cs="Times New Roman"/>
          <w:noProof/>
          <w:sz w:val="24"/>
          <w:szCs w:val="24"/>
        </w:rPr>
        <w:t xml:space="preserve"> protection</w:t>
      </w:r>
      <w:r w:rsidR="0017771C" w:rsidRPr="009B5734">
        <w:rPr>
          <w:rFonts w:ascii="Times New Roman" w:hAnsi="Times New Roman" w:cs="Times New Roman"/>
          <w:noProof/>
          <w:sz w:val="24"/>
          <w:szCs w:val="24"/>
        </w:rPr>
        <w:t xml:space="preserve"> of</w:t>
      </w:r>
      <w:r w:rsidR="0017771C" w:rsidRPr="009B5734">
        <w:rPr>
          <w:rFonts w:ascii="Times New Roman" w:hAnsi="Times New Roman" w:cs="Times New Roman"/>
          <w:b/>
          <w:noProof/>
          <w:sz w:val="24"/>
          <w:szCs w:val="24"/>
        </w:rPr>
        <w:t xml:space="preserve"> </w:t>
      </w:r>
      <w:r w:rsidR="003A1025" w:rsidRPr="009B5734">
        <w:rPr>
          <w:rFonts w:ascii="Times New Roman" w:hAnsi="Times New Roman" w:cs="Times New Roman"/>
          <w:b/>
          <w:noProof/>
          <w:sz w:val="24"/>
          <w:szCs w:val="24"/>
        </w:rPr>
        <w:t>option 2.3.C</w:t>
      </w:r>
      <w:r w:rsidR="003A1025" w:rsidRPr="009B5734">
        <w:rPr>
          <w:rFonts w:ascii="Times New Roman" w:hAnsi="Times New Roman" w:cs="Times New Roman"/>
          <w:noProof/>
          <w:sz w:val="24"/>
          <w:szCs w:val="24"/>
        </w:rPr>
        <w:t xml:space="preserve">, </w:t>
      </w:r>
      <w:r w:rsidR="0017771C" w:rsidRPr="009B5734">
        <w:rPr>
          <w:rFonts w:ascii="Times New Roman" w:hAnsi="Times New Roman" w:cs="Times New Roman"/>
          <w:noProof/>
          <w:sz w:val="24"/>
          <w:szCs w:val="24"/>
        </w:rPr>
        <w:t xml:space="preserve">namely </w:t>
      </w:r>
      <w:r w:rsidR="00832DAC" w:rsidRPr="009B5734">
        <w:rPr>
          <w:rFonts w:ascii="Times New Roman" w:hAnsi="Times New Roman" w:cs="Times New Roman"/>
          <w:noProof/>
          <w:sz w:val="24"/>
          <w:szCs w:val="24"/>
        </w:rPr>
        <w:t>the requirement for pre-approval of sustainability labels and digital</w:t>
      </w:r>
      <w:r w:rsidR="00832DAC" w:rsidRPr="009B5734">
        <w:rPr>
          <w:rFonts w:ascii="Times New Roman" w:hAnsi="Times New Roman"/>
          <w:noProof/>
          <w:sz w:val="24"/>
        </w:rPr>
        <w:t xml:space="preserve"> information tools</w:t>
      </w:r>
      <w:r w:rsidR="00832DAC" w:rsidRPr="009B5734">
        <w:rPr>
          <w:rFonts w:ascii="Times New Roman" w:hAnsi="Times New Roman" w:cs="Times New Roman"/>
          <w:noProof/>
          <w:sz w:val="24"/>
          <w:szCs w:val="24"/>
        </w:rPr>
        <w:t xml:space="preserve"> via an EU body</w:t>
      </w:r>
      <w:r w:rsidR="0017771C" w:rsidRPr="009B5734">
        <w:rPr>
          <w:rFonts w:ascii="Times New Roman" w:hAnsi="Times New Roman" w:cs="Times New Roman"/>
          <w:noProof/>
          <w:sz w:val="24"/>
          <w:szCs w:val="24"/>
        </w:rPr>
        <w:t>,</w:t>
      </w:r>
      <w:r w:rsidR="003A1025" w:rsidRPr="009B5734">
        <w:rPr>
          <w:rFonts w:ascii="Times New Roman" w:hAnsi="Times New Roman" w:cs="Times New Roman"/>
          <w:noProof/>
          <w:sz w:val="24"/>
          <w:szCs w:val="24"/>
        </w:rPr>
        <w:t xml:space="preserve"> is expected to be </w:t>
      </w:r>
      <w:r w:rsidR="001E7C1C" w:rsidRPr="009B5734">
        <w:rPr>
          <w:rFonts w:ascii="Times New Roman" w:hAnsi="Times New Roman" w:cs="Times New Roman"/>
          <w:noProof/>
          <w:sz w:val="24"/>
          <w:szCs w:val="24"/>
        </w:rPr>
        <w:t>similar to those described for option 2.3.B but slightly higher, as the compliance level will be higher given that only pre-approved labels and digital information tools will be allowed</w:t>
      </w:r>
      <w:r w:rsidR="003A1025" w:rsidRPr="009B5734">
        <w:rPr>
          <w:rFonts w:ascii="Times New Roman" w:hAnsi="Times New Roman" w:cs="Times New Roman"/>
          <w:noProof/>
          <w:sz w:val="24"/>
          <w:szCs w:val="24"/>
        </w:rPr>
        <w:t xml:space="preserve">. </w:t>
      </w:r>
      <w:r w:rsidR="001E7C1C" w:rsidRPr="009B5734">
        <w:rPr>
          <w:rFonts w:ascii="Times New Roman" w:hAnsi="Times New Roman" w:cs="Times New Roman"/>
          <w:noProof/>
          <w:sz w:val="24"/>
          <w:szCs w:val="24"/>
        </w:rPr>
        <w:t xml:space="preserve">The consumer welfare is estimated to amount to </w:t>
      </w:r>
      <w:r w:rsidR="001E7C1C" w:rsidRPr="009B5734">
        <w:rPr>
          <w:rFonts w:ascii="Times New Roman" w:hAnsi="Times New Roman"/>
          <w:b/>
          <w:noProof/>
          <w:sz w:val="24"/>
        </w:rPr>
        <w:t>EUR 4 500 – 6 610 million for the period 2025-2040</w:t>
      </w:r>
      <w:r w:rsidR="001438E7">
        <w:rPr>
          <w:rFonts w:ascii="Times New Roman" w:hAnsi="Times New Roman"/>
          <w:b/>
          <w:noProof/>
          <w:sz w:val="24"/>
        </w:rPr>
        <w:t xml:space="preserve"> (</w:t>
      </w:r>
      <w:r w:rsidR="001438E7" w:rsidRPr="001438E7">
        <w:rPr>
          <w:rFonts w:ascii="Times New Roman" w:hAnsi="Times New Roman"/>
          <w:noProof/>
          <w:sz w:val="24"/>
        </w:rPr>
        <w:t>or</w:t>
      </w:r>
      <w:r w:rsidR="001438E7">
        <w:rPr>
          <w:rFonts w:ascii="Times New Roman" w:hAnsi="Times New Roman"/>
          <w:b/>
          <w:noProof/>
          <w:sz w:val="24"/>
        </w:rPr>
        <w:t xml:space="preserve"> EUR 300 – 441 million per year)</w:t>
      </w:r>
      <w:r w:rsidR="001E7C1C" w:rsidRPr="009B5734">
        <w:rPr>
          <w:rFonts w:ascii="Times New Roman" w:hAnsi="Times New Roman" w:cs="Times New Roman"/>
          <w:noProof/>
          <w:sz w:val="24"/>
          <w:szCs w:val="24"/>
        </w:rPr>
        <w:t>, similar to option 2.3.B.</w:t>
      </w:r>
      <w:r w:rsidR="001E7C1C" w:rsidRPr="009B5734" w:rsidDel="001E7C1C">
        <w:rPr>
          <w:rFonts w:ascii="Times New Roman" w:hAnsi="Times New Roman" w:cs="Times New Roman"/>
          <w:noProof/>
          <w:sz w:val="24"/>
          <w:szCs w:val="24"/>
        </w:rPr>
        <w:t xml:space="preserve"> </w:t>
      </w:r>
    </w:p>
    <w:p w:rsidR="008A41C0" w:rsidRPr="009B5734" w:rsidRDefault="008A41C0" w:rsidP="00E13C7E">
      <w:pPr>
        <w:ind w:left="0" w:firstLine="0"/>
        <w:rPr>
          <w:rFonts w:ascii="Times New Roman" w:hAnsi="Times New Roman"/>
          <w:i/>
          <w:noProof/>
          <w:sz w:val="24"/>
        </w:rPr>
      </w:pPr>
    </w:p>
    <w:p w:rsidR="00E13C7E" w:rsidRPr="009B5734" w:rsidRDefault="00E13C7E" w:rsidP="00E13C7E">
      <w:pPr>
        <w:ind w:left="0" w:firstLine="0"/>
        <w:rPr>
          <w:i/>
          <w:noProof/>
        </w:rPr>
      </w:pPr>
      <w:r w:rsidRPr="009B5734">
        <w:rPr>
          <w:rFonts w:ascii="Times New Roman" w:hAnsi="Times New Roman"/>
          <w:i/>
          <w:noProof/>
          <w:sz w:val="24"/>
        </w:rPr>
        <w:t>Impacts on businesses:</w:t>
      </w:r>
    </w:p>
    <w:p w:rsidR="003A1025" w:rsidRPr="009B5734" w:rsidRDefault="00FB51B5" w:rsidP="001E7C1C">
      <w:pPr>
        <w:ind w:left="0" w:firstLine="0"/>
        <w:rPr>
          <w:rFonts w:ascii="Times New Roman" w:hAnsi="Times New Roman"/>
          <w:noProof/>
          <w:sz w:val="24"/>
          <w:szCs w:val="20"/>
        </w:rPr>
      </w:pPr>
      <w:r w:rsidRPr="009B5734">
        <w:rPr>
          <w:rFonts w:ascii="Times New Roman" w:hAnsi="Times New Roman"/>
          <w:noProof/>
          <w:sz w:val="24"/>
          <w:szCs w:val="20"/>
        </w:rPr>
        <w:t>As</w:t>
      </w:r>
      <w:r w:rsidRPr="009B5734" w:rsidDel="00764468">
        <w:rPr>
          <w:rFonts w:ascii="Times New Roman" w:hAnsi="Times New Roman"/>
          <w:noProof/>
          <w:sz w:val="24"/>
          <w:szCs w:val="20"/>
        </w:rPr>
        <w:t xml:space="preserve"> </w:t>
      </w:r>
      <w:r w:rsidR="00E45ABD" w:rsidRPr="009B5734">
        <w:rPr>
          <w:rFonts w:ascii="Times New Roman" w:hAnsi="Times New Roman"/>
          <w:b/>
          <w:noProof/>
          <w:sz w:val="24"/>
          <w:szCs w:val="20"/>
        </w:rPr>
        <w:t xml:space="preserve">option </w:t>
      </w:r>
      <w:r w:rsidR="00764468" w:rsidRPr="009B5734">
        <w:rPr>
          <w:rFonts w:ascii="Times New Roman" w:hAnsi="Times New Roman"/>
          <w:b/>
          <w:noProof/>
          <w:sz w:val="24"/>
          <w:szCs w:val="20"/>
        </w:rPr>
        <w:t>2.3.A</w:t>
      </w:r>
      <w:r w:rsidR="00764468" w:rsidRPr="009B5734">
        <w:rPr>
          <w:rFonts w:ascii="Times New Roman" w:hAnsi="Times New Roman"/>
          <w:noProof/>
          <w:sz w:val="24"/>
          <w:szCs w:val="20"/>
        </w:rPr>
        <w:t xml:space="preserve"> </w:t>
      </w:r>
      <w:r w:rsidRPr="009B5734">
        <w:rPr>
          <w:rFonts w:ascii="Times New Roman" w:hAnsi="Times New Roman"/>
          <w:noProof/>
          <w:sz w:val="24"/>
          <w:szCs w:val="20"/>
        </w:rPr>
        <w:t xml:space="preserve">is voluntary, the impact of the </w:t>
      </w:r>
      <w:r w:rsidR="00C9566C" w:rsidRPr="009B5734">
        <w:rPr>
          <w:rFonts w:ascii="Times New Roman" w:hAnsi="Times New Roman"/>
          <w:noProof/>
          <w:sz w:val="24"/>
          <w:szCs w:val="20"/>
        </w:rPr>
        <w:t>option</w:t>
      </w:r>
      <w:r w:rsidRPr="009B5734">
        <w:rPr>
          <w:rFonts w:ascii="Times New Roman" w:hAnsi="Times New Roman"/>
          <w:noProof/>
          <w:sz w:val="24"/>
          <w:szCs w:val="20"/>
        </w:rPr>
        <w:t xml:space="preserve"> on businesses </w:t>
      </w:r>
      <w:r w:rsidR="006671FE" w:rsidRPr="009B5734">
        <w:rPr>
          <w:rFonts w:ascii="Times New Roman" w:hAnsi="Times New Roman"/>
          <w:noProof/>
          <w:sz w:val="24"/>
          <w:szCs w:val="20"/>
        </w:rPr>
        <w:t xml:space="preserve">is </w:t>
      </w:r>
      <w:r w:rsidRPr="009B5734">
        <w:rPr>
          <w:rFonts w:ascii="Times New Roman" w:hAnsi="Times New Roman"/>
          <w:b/>
          <w:noProof/>
          <w:sz w:val="24"/>
          <w:szCs w:val="20"/>
        </w:rPr>
        <w:t>negligible</w:t>
      </w:r>
      <w:r w:rsidRPr="009B5734">
        <w:rPr>
          <w:rFonts w:ascii="Times New Roman" w:hAnsi="Times New Roman"/>
          <w:noProof/>
          <w:sz w:val="24"/>
          <w:szCs w:val="20"/>
        </w:rPr>
        <w:t xml:space="preserve">. </w:t>
      </w:r>
      <w:r w:rsidR="00764468" w:rsidRPr="009B5734">
        <w:rPr>
          <w:rFonts w:ascii="Times New Roman" w:hAnsi="Times New Roman"/>
          <w:b/>
          <w:noProof/>
          <w:sz w:val="24"/>
          <w:szCs w:val="20"/>
        </w:rPr>
        <w:t>Option 2.3.B</w:t>
      </w:r>
      <w:r w:rsidR="00764468" w:rsidRPr="009B5734">
        <w:rPr>
          <w:rFonts w:ascii="Times New Roman" w:hAnsi="Times New Roman"/>
          <w:noProof/>
          <w:sz w:val="24"/>
          <w:szCs w:val="20"/>
        </w:rPr>
        <w:t xml:space="preserve"> is expected to contribute</w:t>
      </w:r>
      <w:r w:rsidR="00E3440D" w:rsidRPr="009B5734">
        <w:rPr>
          <w:rFonts w:ascii="Times New Roman" w:hAnsi="Times New Roman"/>
          <w:noProof/>
          <w:sz w:val="24"/>
          <w:szCs w:val="20"/>
        </w:rPr>
        <w:t xml:space="preserve"> more thoroughly</w:t>
      </w:r>
      <w:r w:rsidR="00764468" w:rsidRPr="009B5734">
        <w:rPr>
          <w:rFonts w:ascii="Times New Roman" w:hAnsi="Times New Roman"/>
          <w:noProof/>
          <w:sz w:val="24"/>
          <w:szCs w:val="20"/>
        </w:rPr>
        <w:t xml:space="preserve"> to </w:t>
      </w:r>
      <w:r w:rsidR="00764468" w:rsidRPr="009B5734">
        <w:rPr>
          <w:rFonts w:ascii="Times New Roman" w:hAnsi="Times New Roman"/>
          <w:b/>
          <w:noProof/>
          <w:sz w:val="24"/>
          <w:szCs w:val="20"/>
        </w:rPr>
        <w:t>a level playing-field</w:t>
      </w:r>
      <w:r w:rsidR="00764468" w:rsidRPr="009B5734">
        <w:rPr>
          <w:rFonts w:ascii="Times New Roman" w:hAnsi="Times New Roman"/>
          <w:noProof/>
          <w:sz w:val="24"/>
          <w:szCs w:val="20"/>
        </w:rPr>
        <w:t xml:space="preserve"> between products displaying sustainability labels but also between organisations running such labels</w:t>
      </w:r>
      <w:r w:rsidR="001E7C1C" w:rsidRPr="009B5734">
        <w:rPr>
          <w:rFonts w:ascii="Times New Roman" w:hAnsi="Times New Roman"/>
          <w:noProof/>
          <w:sz w:val="24"/>
          <w:szCs w:val="20"/>
        </w:rPr>
        <w:t xml:space="preserve">, as well as organisations running such </w:t>
      </w:r>
      <w:r w:rsidR="00E5670B" w:rsidRPr="009B5734">
        <w:rPr>
          <w:rFonts w:ascii="Times New Roman" w:hAnsi="Times New Roman"/>
          <w:noProof/>
          <w:sz w:val="24"/>
          <w:szCs w:val="20"/>
        </w:rPr>
        <w:t xml:space="preserve">digital </w:t>
      </w:r>
      <w:r w:rsidR="001E7C1C" w:rsidRPr="009B5734">
        <w:rPr>
          <w:rFonts w:ascii="Times New Roman" w:hAnsi="Times New Roman"/>
          <w:noProof/>
          <w:sz w:val="24"/>
          <w:szCs w:val="20"/>
        </w:rPr>
        <w:t>information tools</w:t>
      </w:r>
      <w:r w:rsidR="00764468" w:rsidRPr="009B5734">
        <w:rPr>
          <w:rFonts w:ascii="Times New Roman" w:hAnsi="Times New Roman"/>
          <w:noProof/>
          <w:sz w:val="24"/>
          <w:szCs w:val="20"/>
        </w:rPr>
        <w:t xml:space="preserve">. The entities running and managing the labels </w:t>
      </w:r>
      <w:r w:rsidR="001E7C1C" w:rsidRPr="009B5734">
        <w:rPr>
          <w:rFonts w:ascii="Times New Roman" w:hAnsi="Times New Roman"/>
          <w:noProof/>
          <w:sz w:val="24"/>
          <w:szCs w:val="20"/>
        </w:rPr>
        <w:t xml:space="preserve">and information tools </w:t>
      </w:r>
      <w:r w:rsidR="00764468" w:rsidRPr="009B5734">
        <w:rPr>
          <w:rFonts w:ascii="Times New Roman" w:hAnsi="Times New Roman"/>
          <w:noProof/>
          <w:sz w:val="24"/>
          <w:szCs w:val="20"/>
        </w:rPr>
        <w:t>will have administrative costs</w:t>
      </w:r>
      <w:r w:rsidR="001E7C1C" w:rsidRPr="009B5734">
        <w:rPr>
          <w:rFonts w:ascii="Times New Roman" w:hAnsi="Times New Roman"/>
          <w:noProof/>
          <w:sz w:val="24"/>
          <w:szCs w:val="20"/>
        </w:rPr>
        <w:t xml:space="preserve"> between</w:t>
      </w:r>
      <w:r w:rsidR="00764468" w:rsidRPr="009B5734">
        <w:rPr>
          <w:rFonts w:ascii="Times New Roman" w:hAnsi="Times New Roman"/>
          <w:noProof/>
          <w:sz w:val="24"/>
          <w:szCs w:val="20"/>
        </w:rPr>
        <w:t xml:space="preserve"> </w:t>
      </w:r>
      <w:r w:rsidR="00764468" w:rsidRPr="009B5734">
        <w:rPr>
          <w:rFonts w:ascii="Times New Roman" w:hAnsi="Times New Roman"/>
          <w:b/>
          <w:noProof/>
          <w:sz w:val="24"/>
          <w:szCs w:val="20"/>
        </w:rPr>
        <w:t xml:space="preserve">EUR </w:t>
      </w:r>
      <w:r w:rsidR="003E5639" w:rsidRPr="009B5734">
        <w:rPr>
          <w:rFonts w:ascii="Times New Roman" w:hAnsi="Times New Roman"/>
          <w:b/>
          <w:noProof/>
          <w:sz w:val="24"/>
          <w:szCs w:val="20"/>
        </w:rPr>
        <w:t>6</w:t>
      </w:r>
      <w:r w:rsidR="002E5A5F" w:rsidRPr="009B5734">
        <w:rPr>
          <w:rFonts w:ascii="Times New Roman" w:hAnsi="Times New Roman"/>
          <w:b/>
          <w:noProof/>
          <w:sz w:val="24"/>
          <w:szCs w:val="20"/>
        </w:rPr>
        <w:t>15</w:t>
      </w:r>
      <w:r w:rsidR="003E5639" w:rsidRPr="009B5734">
        <w:rPr>
          <w:rFonts w:ascii="Times New Roman" w:hAnsi="Times New Roman"/>
          <w:b/>
          <w:noProof/>
          <w:sz w:val="24"/>
          <w:szCs w:val="20"/>
        </w:rPr>
        <w:t xml:space="preserve"> </w:t>
      </w:r>
      <w:r w:rsidR="00764468" w:rsidRPr="009B5734">
        <w:rPr>
          <w:rFonts w:ascii="Times New Roman" w:hAnsi="Times New Roman"/>
          <w:b/>
          <w:noProof/>
          <w:sz w:val="24"/>
          <w:szCs w:val="20"/>
        </w:rPr>
        <w:t xml:space="preserve">– </w:t>
      </w:r>
      <w:r w:rsidR="003E5639" w:rsidRPr="009B5734">
        <w:rPr>
          <w:rFonts w:ascii="Times New Roman" w:hAnsi="Times New Roman"/>
          <w:b/>
          <w:noProof/>
          <w:sz w:val="24"/>
          <w:szCs w:val="20"/>
        </w:rPr>
        <w:t>62</w:t>
      </w:r>
      <w:r w:rsidR="002E5A5F" w:rsidRPr="009B5734">
        <w:rPr>
          <w:rFonts w:ascii="Times New Roman" w:hAnsi="Times New Roman"/>
          <w:b/>
          <w:noProof/>
          <w:sz w:val="24"/>
          <w:szCs w:val="20"/>
        </w:rPr>
        <w:t>0</w:t>
      </w:r>
      <w:r w:rsidR="003E5639" w:rsidRPr="009B5734">
        <w:rPr>
          <w:rFonts w:ascii="Times New Roman" w:hAnsi="Times New Roman"/>
          <w:b/>
          <w:noProof/>
          <w:sz w:val="24"/>
          <w:szCs w:val="20"/>
        </w:rPr>
        <w:t xml:space="preserve"> </w:t>
      </w:r>
      <w:r w:rsidR="00764468" w:rsidRPr="009B5734">
        <w:rPr>
          <w:rFonts w:ascii="Times New Roman" w:hAnsi="Times New Roman" w:cs="Times New Roman"/>
          <w:b/>
          <w:noProof/>
          <w:sz w:val="24"/>
          <w:szCs w:val="24"/>
        </w:rPr>
        <w:t>million for the period 2025-2040</w:t>
      </w:r>
      <w:r w:rsidR="001438E7">
        <w:rPr>
          <w:rFonts w:ascii="Times New Roman" w:hAnsi="Times New Roman" w:cs="Times New Roman"/>
          <w:b/>
          <w:noProof/>
          <w:sz w:val="24"/>
          <w:szCs w:val="24"/>
        </w:rPr>
        <w:t xml:space="preserve"> (</w:t>
      </w:r>
      <w:r w:rsidR="001438E7" w:rsidRPr="001438E7">
        <w:rPr>
          <w:rFonts w:ascii="Times New Roman" w:hAnsi="Times New Roman" w:cs="Times New Roman"/>
          <w:noProof/>
          <w:sz w:val="24"/>
          <w:szCs w:val="24"/>
        </w:rPr>
        <w:t>or</w:t>
      </w:r>
      <w:r w:rsidR="001438E7">
        <w:rPr>
          <w:rFonts w:ascii="Times New Roman" w:hAnsi="Times New Roman" w:cs="Times New Roman"/>
          <w:b/>
          <w:noProof/>
          <w:sz w:val="24"/>
          <w:szCs w:val="24"/>
        </w:rPr>
        <w:t xml:space="preserve"> EUR 41 – 41.3 million per year)</w:t>
      </w:r>
      <w:r w:rsidR="00764468" w:rsidRPr="009B5734">
        <w:rPr>
          <w:rFonts w:ascii="Times New Roman" w:hAnsi="Times New Roman"/>
          <w:noProof/>
          <w:sz w:val="24"/>
          <w:szCs w:val="20"/>
        </w:rPr>
        <w:t>. They will also incur substantive compliance costs resulting from implementing the necessary changes in their internal processes, including</w:t>
      </w:r>
      <w:r w:rsidR="001E77AB" w:rsidRPr="009B5734">
        <w:rPr>
          <w:rFonts w:ascii="Times New Roman" w:hAnsi="Times New Roman"/>
          <w:noProof/>
          <w:sz w:val="24"/>
          <w:szCs w:val="20"/>
        </w:rPr>
        <w:t>, for the organisations running the labels,</w:t>
      </w:r>
      <w:r w:rsidR="008A41C0" w:rsidRPr="009B5734">
        <w:rPr>
          <w:rFonts w:ascii="Times New Roman" w:hAnsi="Times New Roman"/>
          <w:noProof/>
          <w:sz w:val="24"/>
          <w:szCs w:val="20"/>
        </w:rPr>
        <w:t xml:space="preserve"> </w:t>
      </w:r>
      <w:r w:rsidR="00764468" w:rsidRPr="009B5734">
        <w:rPr>
          <w:rFonts w:ascii="Times New Roman" w:hAnsi="Times New Roman"/>
          <w:noProof/>
          <w:sz w:val="24"/>
          <w:szCs w:val="20"/>
        </w:rPr>
        <w:t xml:space="preserve">carrying out certifications of the applicants (if they are not doing it already at the baseline). These costs </w:t>
      </w:r>
      <w:r w:rsidR="00764468" w:rsidRPr="009B5734">
        <w:rPr>
          <w:rFonts w:ascii="Times New Roman" w:hAnsi="Times New Roman" w:cs="Times New Roman"/>
          <w:noProof/>
          <w:sz w:val="24"/>
        </w:rPr>
        <w:t xml:space="preserve">are estimated to amount to </w:t>
      </w:r>
      <w:r w:rsidR="00764468" w:rsidRPr="009B5734">
        <w:rPr>
          <w:rFonts w:ascii="Times New Roman" w:hAnsi="Times New Roman" w:cs="Times New Roman"/>
          <w:b/>
          <w:noProof/>
          <w:sz w:val="24"/>
        </w:rPr>
        <w:t xml:space="preserve">EUR </w:t>
      </w:r>
      <w:r w:rsidR="002E5A5F" w:rsidRPr="009B5734">
        <w:rPr>
          <w:rFonts w:ascii="Times New Roman" w:hAnsi="Times New Roman" w:cs="Times New Roman"/>
          <w:b/>
          <w:noProof/>
          <w:sz w:val="24"/>
        </w:rPr>
        <w:t>3</w:t>
      </w:r>
      <w:r w:rsidR="003E5639" w:rsidRPr="009B5734">
        <w:rPr>
          <w:rFonts w:ascii="Times New Roman" w:hAnsi="Times New Roman" w:cs="Times New Roman"/>
          <w:b/>
          <w:noProof/>
          <w:sz w:val="24"/>
        </w:rPr>
        <w:t xml:space="preserve"> </w:t>
      </w:r>
      <w:r w:rsidR="002E5A5F" w:rsidRPr="009B5734">
        <w:rPr>
          <w:rFonts w:ascii="Times New Roman" w:hAnsi="Times New Roman" w:cs="Times New Roman"/>
          <w:b/>
          <w:noProof/>
          <w:sz w:val="24"/>
        </w:rPr>
        <w:t>025</w:t>
      </w:r>
      <w:r w:rsidR="00764468" w:rsidRPr="009B5734">
        <w:rPr>
          <w:rFonts w:ascii="Times New Roman" w:hAnsi="Times New Roman" w:cs="Times New Roman"/>
          <w:b/>
          <w:noProof/>
          <w:sz w:val="24"/>
        </w:rPr>
        <w:t xml:space="preserve"> - </w:t>
      </w:r>
      <w:r w:rsidR="003E5639" w:rsidRPr="009B5734">
        <w:rPr>
          <w:rFonts w:ascii="Times New Roman" w:hAnsi="Times New Roman" w:cs="Times New Roman"/>
          <w:b/>
          <w:noProof/>
          <w:sz w:val="24"/>
        </w:rPr>
        <w:t xml:space="preserve">3 </w:t>
      </w:r>
      <w:r w:rsidR="002E5A5F" w:rsidRPr="009B5734">
        <w:rPr>
          <w:rFonts w:ascii="Times New Roman" w:hAnsi="Times New Roman" w:cs="Times New Roman"/>
          <w:b/>
          <w:noProof/>
          <w:sz w:val="24"/>
        </w:rPr>
        <w:t xml:space="preserve">500 </w:t>
      </w:r>
      <w:r w:rsidR="00764468" w:rsidRPr="009B5734">
        <w:rPr>
          <w:rFonts w:ascii="Times New Roman" w:hAnsi="Times New Roman" w:cs="Times New Roman"/>
          <w:b/>
          <w:noProof/>
          <w:sz w:val="24"/>
        </w:rPr>
        <w:t>million for the period 2025-2040</w:t>
      </w:r>
      <w:r w:rsidR="001438E7">
        <w:rPr>
          <w:rFonts w:ascii="Times New Roman" w:hAnsi="Times New Roman" w:cs="Times New Roman"/>
          <w:b/>
          <w:noProof/>
          <w:sz w:val="24"/>
        </w:rPr>
        <w:t xml:space="preserve"> (</w:t>
      </w:r>
      <w:r w:rsidR="001438E7" w:rsidRPr="001438E7">
        <w:rPr>
          <w:rFonts w:ascii="Times New Roman" w:hAnsi="Times New Roman" w:cs="Times New Roman"/>
          <w:noProof/>
          <w:sz w:val="24"/>
        </w:rPr>
        <w:t>or</w:t>
      </w:r>
      <w:r w:rsidR="001438E7">
        <w:rPr>
          <w:rFonts w:ascii="Times New Roman" w:hAnsi="Times New Roman" w:cs="Times New Roman"/>
          <w:b/>
          <w:noProof/>
          <w:sz w:val="24"/>
        </w:rPr>
        <w:t xml:space="preserve"> EUR 201 – 233 million per year)</w:t>
      </w:r>
      <w:r w:rsidR="00764468" w:rsidRPr="009B5734">
        <w:rPr>
          <w:rFonts w:ascii="Times New Roman" w:hAnsi="Times New Roman" w:cs="Times New Roman"/>
          <w:b/>
          <w:noProof/>
          <w:sz w:val="24"/>
        </w:rPr>
        <w:t xml:space="preserve"> </w:t>
      </w:r>
      <w:r w:rsidR="00764468" w:rsidRPr="009B5734">
        <w:rPr>
          <w:rFonts w:ascii="Times New Roman" w:hAnsi="Times New Roman" w:cs="Times New Roman"/>
          <w:noProof/>
          <w:sz w:val="24"/>
        </w:rPr>
        <w:t>and are likely to</w:t>
      </w:r>
      <w:r w:rsidR="00764468" w:rsidRPr="009B5734">
        <w:rPr>
          <w:rFonts w:ascii="Times New Roman" w:hAnsi="Times New Roman"/>
          <w:noProof/>
          <w:sz w:val="24"/>
          <w:szCs w:val="20"/>
        </w:rPr>
        <w:t xml:space="preserve"> be passed on to manufacturers and sellers applying for the label. </w:t>
      </w:r>
      <w:r w:rsidR="001E7C1C" w:rsidRPr="009B5734">
        <w:rPr>
          <w:rFonts w:ascii="Times New Roman" w:hAnsi="Times New Roman" w:cs="Times New Roman"/>
          <w:noProof/>
          <w:sz w:val="24"/>
        </w:rPr>
        <w:t>These do not include the costs for digital information tools as there is very limited data about the number of tools currently in use.</w:t>
      </w:r>
      <w:r w:rsidR="001E7C1C" w:rsidRPr="009B5734">
        <w:rPr>
          <w:rFonts w:ascii="Times New Roman" w:hAnsi="Times New Roman" w:cs="Times New Roman"/>
          <w:b/>
          <w:noProof/>
          <w:sz w:val="24"/>
        </w:rPr>
        <w:t xml:space="preserve"> </w:t>
      </w:r>
      <w:r w:rsidR="003A1025" w:rsidRPr="009B5734">
        <w:rPr>
          <w:rFonts w:ascii="Times New Roman" w:hAnsi="Times New Roman"/>
          <w:b/>
          <w:noProof/>
          <w:sz w:val="24"/>
          <w:szCs w:val="20"/>
        </w:rPr>
        <w:t>Option 2.3.C</w:t>
      </w:r>
      <w:r w:rsidR="003A1025" w:rsidRPr="009B5734">
        <w:rPr>
          <w:rFonts w:ascii="Times New Roman" w:hAnsi="Times New Roman"/>
          <w:noProof/>
          <w:sz w:val="24"/>
          <w:szCs w:val="20"/>
        </w:rPr>
        <w:t xml:space="preserve"> </w:t>
      </w:r>
      <w:r w:rsidR="001E7C1C" w:rsidRPr="009B5734">
        <w:rPr>
          <w:rFonts w:ascii="Times New Roman" w:hAnsi="Times New Roman"/>
          <w:noProof/>
          <w:sz w:val="24"/>
          <w:szCs w:val="20"/>
        </w:rPr>
        <w:t xml:space="preserve">is expected to bring administrative burdens similar to the ones described for the </w:t>
      </w:r>
      <w:r w:rsidR="00F84F9E" w:rsidRPr="009B5734">
        <w:rPr>
          <w:rFonts w:ascii="Times New Roman" w:hAnsi="Times New Roman"/>
          <w:noProof/>
          <w:sz w:val="24"/>
          <w:szCs w:val="20"/>
        </w:rPr>
        <w:t>entities running</w:t>
      </w:r>
      <w:r w:rsidR="00E5670B" w:rsidRPr="009B5734">
        <w:rPr>
          <w:rFonts w:ascii="Times New Roman" w:hAnsi="Times New Roman"/>
          <w:noProof/>
          <w:sz w:val="24"/>
          <w:szCs w:val="20"/>
        </w:rPr>
        <w:t xml:space="preserve"> and managing </w:t>
      </w:r>
      <w:r w:rsidR="00F84F9E" w:rsidRPr="009B5734">
        <w:rPr>
          <w:rFonts w:ascii="Times New Roman" w:hAnsi="Times New Roman"/>
          <w:noProof/>
          <w:sz w:val="24"/>
          <w:szCs w:val="20"/>
        </w:rPr>
        <w:t>the</w:t>
      </w:r>
      <w:r w:rsidR="001E7C1C" w:rsidRPr="009B5734">
        <w:rPr>
          <w:rFonts w:ascii="Times New Roman" w:hAnsi="Times New Roman"/>
          <w:noProof/>
          <w:sz w:val="24"/>
          <w:szCs w:val="20"/>
        </w:rPr>
        <w:t xml:space="preserve"> labels</w:t>
      </w:r>
      <w:r w:rsidR="00E5670B" w:rsidRPr="009B5734">
        <w:rPr>
          <w:rFonts w:ascii="Times New Roman" w:hAnsi="Times New Roman"/>
          <w:noProof/>
          <w:sz w:val="24"/>
          <w:szCs w:val="20"/>
        </w:rPr>
        <w:t xml:space="preserve"> and </w:t>
      </w:r>
      <w:r w:rsidR="0034794E" w:rsidRPr="009B5734">
        <w:rPr>
          <w:rFonts w:ascii="Times New Roman" w:hAnsi="Times New Roman"/>
          <w:noProof/>
          <w:sz w:val="24"/>
          <w:szCs w:val="20"/>
        </w:rPr>
        <w:t xml:space="preserve">digital </w:t>
      </w:r>
      <w:r w:rsidR="00E5670B" w:rsidRPr="009B5734">
        <w:rPr>
          <w:rFonts w:ascii="Times New Roman" w:hAnsi="Times New Roman"/>
          <w:noProof/>
          <w:sz w:val="24"/>
          <w:szCs w:val="20"/>
        </w:rPr>
        <w:t>information tools</w:t>
      </w:r>
      <w:r w:rsidR="001E7C1C" w:rsidRPr="009B5734">
        <w:rPr>
          <w:rFonts w:ascii="Times New Roman" w:hAnsi="Times New Roman"/>
          <w:noProof/>
          <w:sz w:val="24"/>
          <w:szCs w:val="20"/>
        </w:rPr>
        <w:t xml:space="preserve"> in the context of option 2.3.B. These costs are estimated to amount</w:t>
      </w:r>
      <w:r w:rsidR="001E7C1C" w:rsidRPr="009B5734">
        <w:rPr>
          <w:rFonts w:ascii="Times New Roman" w:hAnsi="Times New Roman"/>
          <w:noProof/>
          <w:sz w:val="24"/>
        </w:rPr>
        <w:t xml:space="preserve"> to </w:t>
      </w:r>
      <w:r w:rsidR="001E7C1C" w:rsidRPr="009B5734">
        <w:rPr>
          <w:rFonts w:ascii="Times New Roman" w:hAnsi="Times New Roman"/>
          <w:b/>
          <w:noProof/>
          <w:sz w:val="24"/>
          <w:szCs w:val="20"/>
        </w:rPr>
        <w:t>EUR 615 – 620 million for the period 2025-2040</w:t>
      </w:r>
      <w:r w:rsidR="001438E7">
        <w:rPr>
          <w:rFonts w:ascii="Times New Roman" w:hAnsi="Times New Roman"/>
          <w:b/>
          <w:noProof/>
          <w:sz w:val="24"/>
          <w:szCs w:val="20"/>
        </w:rPr>
        <w:t xml:space="preserve"> (</w:t>
      </w:r>
      <w:r w:rsidR="001438E7" w:rsidRPr="001438E7">
        <w:rPr>
          <w:rFonts w:ascii="Times New Roman" w:hAnsi="Times New Roman"/>
          <w:noProof/>
          <w:sz w:val="24"/>
          <w:szCs w:val="20"/>
        </w:rPr>
        <w:t>or</w:t>
      </w:r>
      <w:r w:rsidR="001438E7">
        <w:rPr>
          <w:rFonts w:ascii="Times New Roman" w:hAnsi="Times New Roman"/>
          <w:b/>
          <w:noProof/>
          <w:sz w:val="24"/>
          <w:szCs w:val="20"/>
        </w:rPr>
        <w:t xml:space="preserve"> EUR 41 – 41.3 million per year)</w:t>
      </w:r>
      <w:r w:rsidR="001E7C1C" w:rsidRPr="009B5734">
        <w:rPr>
          <w:rFonts w:ascii="Times New Roman" w:hAnsi="Times New Roman"/>
          <w:noProof/>
          <w:sz w:val="24"/>
          <w:szCs w:val="20"/>
        </w:rPr>
        <w:t xml:space="preserve">. The substantive compliance costs for this option are similar to those described for option 2.3.B plus an additional fee when applying for pre-approval (which we assume will be similar to the upper limit of the EU Ecolabel fee). This will amount to </w:t>
      </w:r>
      <w:r w:rsidR="001E7C1C" w:rsidRPr="009B5734">
        <w:rPr>
          <w:rFonts w:ascii="Times New Roman" w:hAnsi="Times New Roman"/>
          <w:b/>
          <w:noProof/>
          <w:sz w:val="24"/>
          <w:szCs w:val="20"/>
        </w:rPr>
        <w:t>EUR 3 120 - 3 580 million for the period 2025-2040</w:t>
      </w:r>
      <w:r w:rsidR="001438E7">
        <w:rPr>
          <w:rFonts w:ascii="Times New Roman" w:hAnsi="Times New Roman"/>
          <w:b/>
          <w:noProof/>
          <w:sz w:val="24"/>
          <w:szCs w:val="20"/>
        </w:rPr>
        <w:t xml:space="preserve"> (</w:t>
      </w:r>
      <w:r w:rsidR="001438E7" w:rsidRPr="001438E7">
        <w:rPr>
          <w:rFonts w:ascii="Times New Roman" w:hAnsi="Times New Roman"/>
          <w:noProof/>
          <w:sz w:val="24"/>
          <w:szCs w:val="20"/>
        </w:rPr>
        <w:t>or</w:t>
      </w:r>
      <w:r w:rsidR="001438E7">
        <w:rPr>
          <w:rFonts w:ascii="Times New Roman" w:hAnsi="Times New Roman"/>
          <w:b/>
          <w:noProof/>
          <w:sz w:val="24"/>
          <w:szCs w:val="20"/>
        </w:rPr>
        <w:t xml:space="preserve"> EUR 208 – 239 million per year)</w:t>
      </w:r>
      <w:r w:rsidR="001E7C1C" w:rsidRPr="009B5734">
        <w:rPr>
          <w:rFonts w:ascii="Times New Roman" w:hAnsi="Times New Roman"/>
          <w:noProof/>
          <w:sz w:val="24"/>
          <w:szCs w:val="20"/>
        </w:rPr>
        <w:t xml:space="preserve">. </w:t>
      </w:r>
      <w:r w:rsidR="003A1025" w:rsidRPr="009B5734">
        <w:rPr>
          <w:rFonts w:ascii="Times New Roman" w:hAnsi="Times New Roman"/>
          <w:b/>
          <w:noProof/>
          <w:sz w:val="24"/>
          <w:szCs w:val="20"/>
        </w:rPr>
        <w:t xml:space="preserve"> </w:t>
      </w:r>
      <w:r w:rsidR="00C2308E" w:rsidRPr="009B5734">
        <w:rPr>
          <w:rFonts w:ascii="Times New Roman" w:hAnsi="Times New Roman" w:cs="Times New Roman"/>
          <w:noProof/>
          <w:sz w:val="24"/>
        </w:rPr>
        <w:t xml:space="preserve">The costs of these options are significantly higher than that of the options related to </w:t>
      </w:r>
      <w:r w:rsidR="00756E8B" w:rsidRPr="009B5734">
        <w:rPr>
          <w:rFonts w:ascii="Times New Roman" w:hAnsi="Times New Roman" w:cs="Times New Roman"/>
          <w:noProof/>
          <w:sz w:val="24"/>
        </w:rPr>
        <w:t>P</w:t>
      </w:r>
      <w:r w:rsidR="00C2308E" w:rsidRPr="009B5734">
        <w:rPr>
          <w:rFonts w:ascii="Times New Roman" w:hAnsi="Times New Roman" w:cs="Times New Roman"/>
          <w:noProof/>
          <w:sz w:val="24"/>
        </w:rPr>
        <w:t>roblem 1</w:t>
      </w:r>
      <w:r w:rsidR="00756E8B" w:rsidRPr="009B5734">
        <w:rPr>
          <w:rFonts w:ascii="Times New Roman" w:hAnsi="Times New Roman" w:cs="Times New Roman"/>
          <w:noProof/>
          <w:sz w:val="24"/>
        </w:rPr>
        <w:t xml:space="preserve"> (Consumers lack reliable information at the point of sale to make environmentally sustainable </w:t>
      </w:r>
      <w:r w:rsidR="0080633B">
        <w:rPr>
          <w:rFonts w:ascii="Times New Roman" w:hAnsi="Times New Roman" w:cs="Times New Roman"/>
          <w:noProof/>
          <w:sz w:val="24"/>
        </w:rPr>
        <w:t>consumption choices</w:t>
      </w:r>
      <w:r w:rsidR="00756E8B" w:rsidRPr="009B5734">
        <w:rPr>
          <w:rFonts w:ascii="Times New Roman" w:hAnsi="Times New Roman" w:cs="Times New Roman"/>
          <w:noProof/>
          <w:sz w:val="24"/>
        </w:rPr>
        <w:t>)</w:t>
      </w:r>
      <w:r w:rsidR="00C2308E" w:rsidRPr="009B5734">
        <w:rPr>
          <w:rFonts w:ascii="Times New Roman" w:hAnsi="Times New Roman" w:cs="Times New Roman"/>
          <w:noProof/>
          <w:sz w:val="24"/>
        </w:rPr>
        <w:t xml:space="preserve"> </w:t>
      </w:r>
      <w:r w:rsidR="00797DF6" w:rsidRPr="009B5734">
        <w:rPr>
          <w:rFonts w:ascii="Times New Roman" w:hAnsi="Times New Roman" w:cs="Times New Roman"/>
          <w:noProof/>
          <w:sz w:val="24"/>
        </w:rPr>
        <w:t>and Sub-Problem 2.1</w:t>
      </w:r>
      <w:r w:rsidR="000D56AA" w:rsidRPr="009B5734">
        <w:rPr>
          <w:rFonts w:ascii="Times New Roman" w:hAnsi="Times New Roman" w:cs="Times New Roman"/>
          <w:noProof/>
          <w:sz w:val="24"/>
        </w:rPr>
        <w:t xml:space="preserve"> (Consumers are sold products that do not last as long as they should and consumers expect)</w:t>
      </w:r>
      <w:r w:rsidR="000D56AA" w:rsidRPr="009B5734">
        <w:rPr>
          <w:rFonts w:ascii="Times New Roman" w:hAnsi="Times New Roman"/>
          <w:noProof/>
          <w:sz w:val="24"/>
        </w:rPr>
        <w:t xml:space="preserve"> </w:t>
      </w:r>
      <w:r w:rsidR="00C2308E" w:rsidRPr="009B5734">
        <w:rPr>
          <w:rFonts w:ascii="Times New Roman" w:hAnsi="Times New Roman" w:cs="Times New Roman"/>
          <w:noProof/>
          <w:sz w:val="24"/>
        </w:rPr>
        <w:t>because they apply to a significantly higher number of businesses (about 40 times more).</w:t>
      </w:r>
    </w:p>
    <w:p w:rsidR="00E13C7E" w:rsidRPr="009B5734" w:rsidRDefault="00E13C7E" w:rsidP="00E13C7E">
      <w:pPr>
        <w:ind w:left="0" w:firstLine="0"/>
        <w:rPr>
          <w:rFonts w:ascii="Times New Roman" w:eastAsia="Times New Roman" w:hAnsi="Times New Roman" w:cs="Times New Roman"/>
          <w:noProof/>
          <w:sz w:val="24"/>
          <w:szCs w:val="20"/>
        </w:rPr>
      </w:pPr>
    </w:p>
    <w:p w:rsidR="00E13C7E" w:rsidRPr="009B5734" w:rsidRDefault="00E13C7E" w:rsidP="00E13C7E">
      <w:pPr>
        <w:ind w:left="0" w:firstLine="0"/>
        <w:rPr>
          <w:i/>
          <w:noProof/>
        </w:rPr>
      </w:pPr>
      <w:r w:rsidRPr="009B5734">
        <w:rPr>
          <w:rFonts w:ascii="Times New Roman" w:hAnsi="Times New Roman"/>
          <w:i/>
          <w:noProof/>
          <w:sz w:val="24"/>
        </w:rPr>
        <w:t>Impacts on public administrations:</w:t>
      </w:r>
    </w:p>
    <w:p w:rsidR="00BD6A46" w:rsidRPr="009B5734" w:rsidRDefault="00FB51B5" w:rsidP="008D65D2">
      <w:pPr>
        <w:pStyle w:val="BodyText"/>
        <w:ind w:left="0" w:firstLine="0"/>
        <w:rPr>
          <w:rFonts w:ascii="Times New Roman" w:hAnsi="Times New Roman"/>
          <w:noProof/>
          <w:sz w:val="24"/>
        </w:rPr>
      </w:pPr>
      <w:r w:rsidRPr="009B5734">
        <w:rPr>
          <w:rFonts w:ascii="Times New Roman" w:hAnsi="Times New Roman"/>
          <w:noProof/>
          <w:sz w:val="24"/>
        </w:rPr>
        <w:t xml:space="preserve">Given the voluntary nature of </w:t>
      </w:r>
      <w:r w:rsidR="00E45ABD" w:rsidRPr="009B5734">
        <w:rPr>
          <w:rFonts w:ascii="Times New Roman" w:hAnsi="Times New Roman"/>
          <w:b/>
          <w:noProof/>
          <w:sz w:val="24"/>
        </w:rPr>
        <w:t>option</w:t>
      </w:r>
      <w:r w:rsidR="00764468" w:rsidRPr="009B5734">
        <w:rPr>
          <w:rFonts w:ascii="Times New Roman" w:hAnsi="Times New Roman"/>
          <w:b/>
          <w:noProof/>
          <w:sz w:val="24"/>
        </w:rPr>
        <w:t xml:space="preserve"> 2.3.A</w:t>
      </w:r>
      <w:r w:rsidR="006671FE" w:rsidRPr="009B5734">
        <w:rPr>
          <w:rFonts w:ascii="Times New Roman" w:hAnsi="Times New Roman"/>
          <w:noProof/>
          <w:sz w:val="24"/>
        </w:rPr>
        <w:t>,</w:t>
      </w:r>
      <w:r w:rsidR="00E45ABD" w:rsidRPr="009B5734">
        <w:rPr>
          <w:rFonts w:ascii="Times New Roman" w:hAnsi="Times New Roman"/>
          <w:noProof/>
          <w:sz w:val="24"/>
        </w:rPr>
        <w:t xml:space="preserve"> </w:t>
      </w:r>
      <w:r w:rsidRPr="009B5734">
        <w:rPr>
          <w:rFonts w:ascii="Times New Roman" w:hAnsi="Times New Roman"/>
          <w:noProof/>
          <w:sz w:val="24"/>
        </w:rPr>
        <w:t xml:space="preserve">there will be no enforcement costs associated. Other costs to public bodies (including the Commission) will be related to the organisation of meetings and preparation of the minimum criteria. These are estimated to be around </w:t>
      </w:r>
      <w:r w:rsidR="002F03F8" w:rsidRPr="009B5734">
        <w:rPr>
          <w:rFonts w:ascii="Times New Roman" w:hAnsi="Times New Roman"/>
          <w:b/>
          <w:noProof/>
          <w:sz w:val="24"/>
        </w:rPr>
        <w:t>EUR</w:t>
      </w:r>
      <w:r w:rsidR="002F03F8" w:rsidRPr="009B5734">
        <w:rPr>
          <w:rFonts w:ascii="Times New Roman" w:hAnsi="Times New Roman"/>
          <w:noProof/>
          <w:sz w:val="24"/>
        </w:rPr>
        <w:t xml:space="preserve"> </w:t>
      </w:r>
      <w:r w:rsidRPr="009B5734">
        <w:rPr>
          <w:rFonts w:ascii="Times New Roman" w:hAnsi="Times New Roman"/>
          <w:b/>
          <w:noProof/>
          <w:sz w:val="24"/>
        </w:rPr>
        <w:t>94</w:t>
      </w:r>
      <w:r w:rsidR="001F0489" w:rsidRPr="009B5734">
        <w:rPr>
          <w:rFonts w:ascii="Times New Roman" w:hAnsi="Times New Roman"/>
          <w:b/>
          <w:noProof/>
          <w:sz w:val="24"/>
        </w:rPr>
        <w:t> </w:t>
      </w:r>
      <w:r w:rsidRPr="009B5734">
        <w:rPr>
          <w:rFonts w:ascii="Times New Roman" w:hAnsi="Times New Roman"/>
          <w:b/>
          <w:noProof/>
          <w:sz w:val="24"/>
        </w:rPr>
        <w:t>000</w:t>
      </w:r>
      <w:r w:rsidR="00F2124C" w:rsidRPr="009B5734">
        <w:rPr>
          <w:rFonts w:ascii="Times New Roman" w:hAnsi="Times New Roman"/>
          <w:b/>
          <w:noProof/>
          <w:sz w:val="24"/>
        </w:rPr>
        <w:t xml:space="preserve"> </w:t>
      </w:r>
      <w:r w:rsidRPr="009B5734">
        <w:rPr>
          <w:rFonts w:ascii="Times New Roman" w:hAnsi="Times New Roman"/>
          <w:noProof/>
          <w:sz w:val="24"/>
        </w:rPr>
        <w:t xml:space="preserve">in the first year and about </w:t>
      </w:r>
      <w:r w:rsidR="002F03F8" w:rsidRPr="009B5734">
        <w:rPr>
          <w:rFonts w:ascii="Times New Roman" w:hAnsi="Times New Roman"/>
          <w:b/>
          <w:noProof/>
          <w:sz w:val="24"/>
        </w:rPr>
        <w:t>EUR</w:t>
      </w:r>
      <w:r w:rsidRPr="009B5734">
        <w:rPr>
          <w:rFonts w:ascii="Times New Roman" w:hAnsi="Times New Roman"/>
          <w:b/>
          <w:noProof/>
          <w:sz w:val="24"/>
        </w:rPr>
        <w:t xml:space="preserve"> 16 000</w:t>
      </w:r>
      <w:r w:rsidRPr="009B5734">
        <w:rPr>
          <w:rFonts w:ascii="Times New Roman" w:hAnsi="Times New Roman"/>
          <w:noProof/>
          <w:sz w:val="24"/>
        </w:rPr>
        <w:t xml:space="preserve"> per year</w:t>
      </w:r>
      <w:r w:rsidRPr="009B5734">
        <w:rPr>
          <w:rStyle w:val="FootnoteReference"/>
          <w:rFonts w:ascii="Times New Roman" w:hAnsi="Times New Roman"/>
          <w:noProof/>
          <w:sz w:val="24"/>
        </w:rPr>
        <w:footnoteReference w:id="117"/>
      </w:r>
      <w:r w:rsidRPr="009B5734">
        <w:rPr>
          <w:rFonts w:ascii="Times New Roman" w:hAnsi="Times New Roman"/>
          <w:noProof/>
          <w:sz w:val="24"/>
        </w:rPr>
        <w:t xml:space="preserve"> .</w:t>
      </w:r>
      <w:r w:rsidR="00764468" w:rsidRPr="009B5734">
        <w:rPr>
          <w:rFonts w:ascii="Times New Roman" w:hAnsi="Times New Roman"/>
          <w:noProof/>
          <w:sz w:val="24"/>
        </w:rPr>
        <w:t xml:space="preserve"> Enforcement costs under </w:t>
      </w:r>
      <w:r w:rsidR="00764468" w:rsidRPr="009B5734">
        <w:rPr>
          <w:rFonts w:ascii="Times New Roman" w:hAnsi="Times New Roman"/>
          <w:b/>
          <w:noProof/>
          <w:sz w:val="24"/>
        </w:rPr>
        <w:t>option 2.3.B</w:t>
      </w:r>
      <w:r w:rsidR="00764468" w:rsidRPr="009B5734">
        <w:rPr>
          <w:rFonts w:ascii="Times New Roman" w:hAnsi="Times New Roman"/>
          <w:noProof/>
          <w:sz w:val="24"/>
        </w:rPr>
        <w:t xml:space="preserve"> were estimated at </w:t>
      </w:r>
      <w:r w:rsidR="00764468" w:rsidRPr="009B5734">
        <w:rPr>
          <w:rFonts w:ascii="Times New Roman" w:hAnsi="Times New Roman"/>
          <w:b/>
          <w:noProof/>
          <w:sz w:val="24"/>
        </w:rPr>
        <w:t>EUR 1</w:t>
      </w:r>
      <w:r w:rsidR="002E5A5F" w:rsidRPr="009B5734">
        <w:rPr>
          <w:rFonts w:ascii="Times New Roman" w:hAnsi="Times New Roman"/>
          <w:b/>
          <w:noProof/>
          <w:sz w:val="24"/>
        </w:rPr>
        <w:t xml:space="preserve">4 </w:t>
      </w:r>
      <w:r w:rsidR="00764468" w:rsidRPr="009B5734">
        <w:rPr>
          <w:rFonts w:ascii="Times New Roman" w:hAnsi="Times New Roman"/>
          <w:b/>
          <w:noProof/>
          <w:sz w:val="24"/>
        </w:rPr>
        <w:t>- 1</w:t>
      </w:r>
      <w:r w:rsidR="002E5A5F" w:rsidRPr="009B5734">
        <w:rPr>
          <w:rFonts w:ascii="Times New Roman" w:hAnsi="Times New Roman"/>
          <w:b/>
          <w:noProof/>
          <w:sz w:val="24"/>
        </w:rPr>
        <w:t>5</w:t>
      </w:r>
      <w:r w:rsidR="00764468" w:rsidRPr="009B5734">
        <w:rPr>
          <w:rFonts w:ascii="Times New Roman" w:hAnsi="Times New Roman"/>
          <w:b/>
          <w:noProof/>
          <w:sz w:val="24"/>
        </w:rPr>
        <w:t xml:space="preserve"> million for the period 2025-2040</w:t>
      </w:r>
      <w:r w:rsidR="001438E7">
        <w:rPr>
          <w:rFonts w:ascii="Times New Roman" w:hAnsi="Times New Roman"/>
          <w:b/>
          <w:noProof/>
          <w:sz w:val="24"/>
        </w:rPr>
        <w:t xml:space="preserve"> (</w:t>
      </w:r>
      <w:r w:rsidR="001438E7" w:rsidRPr="001438E7">
        <w:rPr>
          <w:rFonts w:ascii="Times New Roman" w:hAnsi="Times New Roman"/>
          <w:noProof/>
          <w:sz w:val="24"/>
        </w:rPr>
        <w:t>or</w:t>
      </w:r>
      <w:r w:rsidR="001438E7">
        <w:rPr>
          <w:rFonts w:ascii="Times New Roman" w:hAnsi="Times New Roman"/>
          <w:b/>
          <w:noProof/>
          <w:sz w:val="24"/>
        </w:rPr>
        <w:t xml:space="preserve"> EUR 0.9 – 1 million per year)</w:t>
      </w:r>
      <w:r w:rsidR="00A74580">
        <w:rPr>
          <w:rFonts w:ascii="Times New Roman" w:hAnsi="Times New Roman"/>
          <w:b/>
          <w:noProof/>
          <w:sz w:val="24"/>
        </w:rPr>
        <w:t>.</w:t>
      </w:r>
      <w:r w:rsidR="00BD6A46" w:rsidRPr="009B5734">
        <w:rPr>
          <w:rFonts w:ascii="Times New Roman" w:hAnsi="Times New Roman"/>
          <w:noProof/>
          <w:sz w:val="24"/>
        </w:rPr>
        <w:t xml:space="preserve">It is assumed that the measure would not require significant additional resources on top of the existing ones to enforce </w:t>
      </w:r>
      <w:r w:rsidR="00A74580">
        <w:rPr>
          <w:rFonts w:ascii="Times New Roman" w:hAnsi="Times New Roman"/>
          <w:noProof/>
          <w:sz w:val="24"/>
        </w:rPr>
        <w:t xml:space="preserve">the </w:t>
      </w:r>
      <w:r w:rsidR="00BD6A46" w:rsidRPr="009B5734">
        <w:rPr>
          <w:rFonts w:ascii="Times New Roman" w:hAnsi="Times New Roman"/>
          <w:noProof/>
          <w:sz w:val="24"/>
        </w:rPr>
        <w:t>U</w:t>
      </w:r>
      <w:r w:rsidR="00A74580">
        <w:rPr>
          <w:rFonts w:ascii="Times New Roman" w:hAnsi="Times New Roman"/>
          <w:noProof/>
          <w:sz w:val="24"/>
        </w:rPr>
        <w:t xml:space="preserve">nfair </w:t>
      </w:r>
      <w:r w:rsidR="00BD6A46" w:rsidRPr="009B5734">
        <w:rPr>
          <w:rFonts w:ascii="Times New Roman" w:hAnsi="Times New Roman"/>
          <w:noProof/>
          <w:sz w:val="24"/>
        </w:rPr>
        <w:t>C</w:t>
      </w:r>
      <w:r w:rsidR="00A74580">
        <w:rPr>
          <w:rFonts w:ascii="Times New Roman" w:hAnsi="Times New Roman"/>
          <w:noProof/>
          <w:sz w:val="24"/>
        </w:rPr>
        <w:t xml:space="preserve">ommercial </w:t>
      </w:r>
      <w:r w:rsidR="00BD6A46" w:rsidRPr="009B5734">
        <w:rPr>
          <w:rFonts w:ascii="Times New Roman" w:hAnsi="Times New Roman"/>
          <w:noProof/>
          <w:sz w:val="24"/>
        </w:rPr>
        <w:t>P</w:t>
      </w:r>
      <w:r w:rsidR="00A74580">
        <w:rPr>
          <w:rFonts w:ascii="Times New Roman" w:hAnsi="Times New Roman"/>
          <w:noProof/>
          <w:sz w:val="24"/>
        </w:rPr>
        <w:t xml:space="preserve">ractices </w:t>
      </w:r>
      <w:r w:rsidR="00BD6A46" w:rsidRPr="009B5734">
        <w:rPr>
          <w:rFonts w:ascii="Times New Roman" w:hAnsi="Times New Roman"/>
          <w:noProof/>
          <w:sz w:val="24"/>
        </w:rPr>
        <w:t>D</w:t>
      </w:r>
      <w:r w:rsidR="00A74580">
        <w:rPr>
          <w:rFonts w:ascii="Times New Roman" w:hAnsi="Times New Roman"/>
          <w:noProof/>
          <w:sz w:val="24"/>
        </w:rPr>
        <w:t>irective</w:t>
      </w:r>
      <w:r w:rsidR="00BD6A46" w:rsidRPr="009B5734">
        <w:rPr>
          <w:rFonts w:ascii="Times New Roman" w:hAnsi="Times New Roman"/>
          <w:noProof/>
          <w:sz w:val="24"/>
        </w:rPr>
        <w:t xml:space="preserve">. In fact, some of the interviewed </w:t>
      </w:r>
      <w:r w:rsidR="00A74580">
        <w:rPr>
          <w:rFonts w:ascii="Times New Roman" w:hAnsi="Times New Roman"/>
          <w:noProof/>
          <w:sz w:val="24"/>
        </w:rPr>
        <w:t>national enforcement</w:t>
      </w:r>
      <w:r w:rsidR="00BD6A46" w:rsidRPr="009B5734">
        <w:rPr>
          <w:rFonts w:ascii="Times New Roman" w:hAnsi="Times New Roman"/>
          <w:noProof/>
          <w:sz w:val="24"/>
        </w:rPr>
        <w:t xml:space="preserve"> authorities even indicated that the measure might lead to savings as it will help them tackle the issue of lack of transpa</w:t>
      </w:r>
      <w:r w:rsidR="00A74580">
        <w:rPr>
          <w:rFonts w:ascii="Times New Roman" w:hAnsi="Times New Roman"/>
          <w:noProof/>
          <w:sz w:val="24"/>
        </w:rPr>
        <w:t>rency and reliability of labels</w:t>
      </w:r>
      <w:r w:rsidR="00BD6A46" w:rsidRPr="009B5734">
        <w:rPr>
          <w:rFonts w:ascii="Times New Roman" w:hAnsi="Times New Roman"/>
          <w:noProof/>
          <w:sz w:val="24"/>
        </w:rPr>
        <w:t xml:space="preserve"> more easily (less resources are needed to substantiate their assessm</w:t>
      </w:r>
      <w:r w:rsidR="00A74580">
        <w:rPr>
          <w:rFonts w:ascii="Times New Roman" w:hAnsi="Times New Roman"/>
          <w:noProof/>
          <w:sz w:val="24"/>
        </w:rPr>
        <w:t>ent). For these Member States it is</w:t>
      </w:r>
      <w:r w:rsidR="00BD6A46" w:rsidRPr="009B5734">
        <w:rPr>
          <w:rFonts w:ascii="Times New Roman" w:hAnsi="Times New Roman"/>
          <w:noProof/>
          <w:sz w:val="24"/>
        </w:rPr>
        <w:t xml:space="preserve"> considered that the measure does not bring incre</w:t>
      </w:r>
      <w:r w:rsidR="00A74580">
        <w:rPr>
          <w:rFonts w:ascii="Times New Roman" w:hAnsi="Times New Roman"/>
          <w:noProof/>
          <w:sz w:val="24"/>
        </w:rPr>
        <w:t>mental costs. For the others, it is</w:t>
      </w:r>
      <w:r w:rsidR="00BD6A46" w:rsidRPr="009B5734">
        <w:rPr>
          <w:rFonts w:ascii="Times New Roman" w:hAnsi="Times New Roman"/>
          <w:noProof/>
          <w:sz w:val="24"/>
        </w:rPr>
        <w:t xml:space="preserve"> assume</w:t>
      </w:r>
      <w:r w:rsidR="00A74580">
        <w:rPr>
          <w:rFonts w:ascii="Times New Roman" w:hAnsi="Times New Roman"/>
          <w:noProof/>
          <w:sz w:val="24"/>
        </w:rPr>
        <w:t>d</w:t>
      </w:r>
      <w:r w:rsidR="00BD6A46" w:rsidRPr="009B5734">
        <w:rPr>
          <w:rFonts w:ascii="Times New Roman" w:hAnsi="Times New Roman"/>
          <w:noProof/>
          <w:sz w:val="24"/>
        </w:rPr>
        <w:t xml:space="preserve"> that one Full Time equivalent will work to monitor (50%), carry out inspections (40</w:t>
      </w:r>
      <w:r w:rsidR="00BD6A46">
        <w:rPr>
          <w:rFonts w:ascii="Times New Roman" w:hAnsi="Times New Roman"/>
          <w:noProof/>
          <w:sz w:val="24"/>
        </w:rPr>
        <w:t xml:space="preserve">%) and handle complaints (10%). </w:t>
      </w:r>
      <w:r w:rsidR="00A74580">
        <w:rPr>
          <w:rFonts w:ascii="Times New Roman" w:hAnsi="Times New Roman"/>
          <w:noProof/>
          <w:sz w:val="24"/>
        </w:rPr>
        <w:t>For all Member States,</w:t>
      </w:r>
      <w:r w:rsidR="00BD6A46" w:rsidRPr="009B5734">
        <w:rPr>
          <w:rFonts w:ascii="Times New Roman" w:hAnsi="Times New Roman"/>
          <w:noProof/>
          <w:sz w:val="24"/>
        </w:rPr>
        <w:t xml:space="preserve"> 35h </w:t>
      </w:r>
      <w:r w:rsidR="00A74580">
        <w:rPr>
          <w:rFonts w:ascii="Times New Roman" w:hAnsi="Times New Roman"/>
          <w:noProof/>
          <w:sz w:val="24"/>
        </w:rPr>
        <w:t xml:space="preserve">are assumed </w:t>
      </w:r>
      <w:r w:rsidR="00BD6A46" w:rsidRPr="009B5734">
        <w:rPr>
          <w:rFonts w:ascii="Times New Roman" w:hAnsi="Times New Roman"/>
          <w:noProof/>
          <w:sz w:val="24"/>
        </w:rPr>
        <w:t xml:space="preserve">for two people getting familiarized with the measure and </w:t>
      </w:r>
      <w:r w:rsidR="00A74580">
        <w:rPr>
          <w:rFonts w:ascii="Times New Roman" w:hAnsi="Times New Roman"/>
          <w:noProof/>
          <w:sz w:val="24"/>
        </w:rPr>
        <w:t xml:space="preserve">the adjustment of </w:t>
      </w:r>
      <w:r w:rsidR="00BD6A46" w:rsidRPr="009B5734">
        <w:rPr>
          <w:rFonts w:ascii="Times New Roman" w:hAnsi="Times New Roman"/>
          <w:noProof/>
          <w:sz w:val="24"/>
        </w:rPr>
        <w:t>internal procedures to start enforcin</w:t>
      </w:r>
      <w:r w:rsidR="00A74580">
        <w:rPr>
          <w:rFonts w:ascii="Times New Roman" w:hAnsi="Times New Roman"/>
          <w:noProof/>
          <w:sz w:val="24"/>
        </w:rPr>
        <w:t>g the measure. 16 employees would</w:t>
      </w:r>
      <w:r w:rsidR="00BD6A46" w:rsidRPr="009B5734">
        <w:rPr>
          <w:rFonts w:ascii="Times New Roman" w:hAnsi="Times New Roman"/>
          <w:noProof/>
          <w:sz w:val="24"/>
        </w:rPr>
        <w:t xml:space="preserve"> receive a 7h training.</w:t>
      </w:r>
      <w:r w:rsidR="00BD6A46">
        <w:rPr>
          <w:rFonts w:ascii="Times New Roman" w:hAnsi="Times New Roman"/>
          <w:noProof/>
          <w:sz w:val="24"/>
        </w:rPr>
        <w:t xml:space="preserve"> </w:t>
      </w:r>
      <w:r w:rsidR="00BD6A46" w:rsidRPr="009B5734">
        <w:rPr>
          <w:rFonts w:ascii="Times New Roman" w:hAnsi="Times New Roman"/>
          <w:noProof/>
          <w:sz w:val="24"/>
        </w:rPr>
        <w:t>The costs of an A</w:t>
      </w:r>
      <w:r w:rsidR="00A74580">
        <w:rPr>
          <w:rFonts w:ascii="Times New Roman" w:hAnsi="Times New Roman"/>
          <w:noProof/>
          <w:sz w:val="24"/>
        </w:rPr>
        <w:t xml:space="preserve">lternative </w:t>
      </w:r>
      <w:r w:rsidR="00BD6A46" w:rsidRPr="009B5734">
        <w:rPr>
          <w:rFonts w:ascii="Times New Roman" w:hAnsi="Times New Roman"/>
          <w:noProof/>
          <w:sz w:val="24"/>
        </w:rPr>
        <w:t>D</w:t>
      </w:r>
      <w:r w:rsidR="00A74580">
        <w:rPr>
          <w:rFonts w:ascii="Times New Roman" w:hAnsi="Times New Roman"/>
          <w:noProof/>
          <w:sz w:val="24"/>
        </w:rPr>
        <w:t xml:space="preserve">ispute </w:t>
      </w:r>
      <w:r w:rsidR="00BD6A46" w:rsidRPr="009B5734">
        <w:rPr>
          <w:rFonts w:ascii="Times New Roman" w:hAnsi="Times New Roman"/>
          <w:noProof/>
          <w:sz w:val="24"/>
        </w:rPr>
        <w:t>R</w:t>
      </w:r>
      <w:r w:rsidR="00A74580">
        <w:rPr>
          <w:rFonts w:ascii="Times New Roman" w:hAnsi="Times New Roman"/>
          <w:noProof/>
          <w:sz w:val="24"/>
        </w:rPr>
        <w:t>esolution</w:t>
      </w:r>
      <w:r w:rsidR="00BD6A46" w:rsidRPr="009B5734">
        <w:rPr>
          <w:rFonts w:ascii="Times New Roman" w:hAnsi="Times New Roman"/>
          <w:noProof/>
          <w:sz w:val="24"/>
        </w:rPr>
        <w:t xml:space="preserve"> body adjudication and of a court adjudication were obtained from the Impa</w:t>
      </w:r>
      <w:r w:rsidR="00A74580">
        <w:rPr>
          <w:rFonts w:ascii="Times New Roman" w:hAnsi="Times New Roman"/>
          <w:noProof/>
          <w:sz w:val="24"/>
        </w:rPr>
        <w:t>ct Assessment of the review of the Consumer Protection Cooperation Regulation</w:t>
      </w:r>
      <w:r w:rsidR="00BD6A46" w:rsidRPr="009B5734">
        <w:rPr>
          <w:rFonts w:ascii="Times New Roman" w:hAnsi="Times New Roman"/>
          <w:noProof/>
          <w:sz w:val="24"/>
        </w:rPr>
        <w:t xml:space="preserve"> and supporting study</w:t>
      </w:r>
      <w:r w:rsidR="00BD6A46" w:rsidRPr="009B5734">
        <w:rPr>
          <w:rStyle w:val="FootnoteReference"/>
          <w:rFonts w:ascii="Times New Roman" w:hAnsi="Times New Roman"/>
          <w:noProof/>
          <w:sz w:val="24"/>
        </w:rPr>
        <w:footnoteReference w:id="118"/>
      </w:r>
      <w:r w:rsidR="00BD6A46" w:rsidRPr="009B5734">
        <w:rPr>
          <w:rFonts w:ascii="Times New Roman" w:hAnsi="Times New Roman"/>
          <w:noProof/>
          <w:sz w:val="24"/>
        </w:rPr>
        <w:t>.</w:t>
      </w:r>
      <w:r w:rsidR="00BD6A46">
        <w:rPr>
          <w:rFonts w:ascii="Times New Roman" w:hAnsi="Times New Roman"/>
          <w:noProof/>
          <w:sz w:val="24"/>
        </w:rPr>
        <w:t xml:space="preserve"> </w:t>
      </w:r>
      <w:r w:rsidR="00764468" w:rsidRPr="009B5734">
        <w:rPr>
          <w:rFonts w:ascii="Times New Roman" w:hAnsi="Times New Roman"/>
          <w:noProof/>
          <w:sz w:val="24"/>
        </w:rPr>
        <w:t xml:space="preserve">Enforcement </w:t>
      </w:r>
      <w:r w:rsidR="003A1025" w:rsidRPr="009B5734">
        <w:rPr>
          <w:rFonts w:ascii="Times New Roman" w:hAnsi="Times New Roman"/>
          <w:noProof/>
          <w:sz w:val="24"/>
        </w:rPr>
        <w:t xml:space="preserve">of </w:t>
      </w:r>
      <w:r w:rsidR="003A1025" w:rsidRPr="009B5734">
        <w:rPr>
          <w:rFonts w:ascii="Times New Roman" w:hAnsi="Times New Roman"/>
          <w:b/>
          <w:noProof/>
          <w:sz w:val="24"/>
        </w:rPr>
        <w:t>option 2.3.C</w:t>
      </w:r>
      <w:r w:rsidR="0058763F" w:rsidRPr="009B5734">
        <w:rPr>
          <w:rFonts w:ascii="Times New Roman" w:hAnsi="Times New Roman"/>
          <w:noProof/>
          <w:sz w:val="24"/>
        </w:rPr>
        <w:t xml:space="preserve"> will be significantly higher than in option 2.3.B as all labels will need to be pre-approved by an EU body. The costs of sett</w:t>
      </w:r>
      <w:r w:rsidR="008A41C0" w:rsidRPr="009B5734">
        <w:rPr>
          <w:rFonts w:ascii="Times New Roman" w:hAnsi="Times New Roman"/>
          <w:noProof/>
          <w:sz w:val="24"/>
        </w:rPr>
        <w:t xml:space="preserve">ing up and running the EU body </w:t>
      </w:r>
      <w:r w:rsidR="0058763F" w:rsidRPr="009B5734">
        <w:rPr>
          <w:rFonts w:ascii="Times New Roman" w:hAnsi="Times New Roman"/>
          <w:noProof/>
          <w:sz w:val="24"/>
        </w:rPr>
        <w:t xml:space="preserve">were considered to be around </w:t>
      </w:r>
      <w:r w:rsidR="0058763F" w:rsidRPr="009B5734">
        <w:rPr>
          <w:rFonts w:ascii="Times New Roman" w:hAnsi="Times New Roman"/>
          <w:b/>
          <w:noProof/>
          <w:sz w:val="24"/>
        </w:rPr>
        <w:t>EUR 4.02 million per year</w:t>
      </w:r>
      <w:r w:rsidR="00A74580">
        <w:rPr>
          <w:rStyle w:val="FootnoteReference"/>
          <w:rFonts w:ascii="Times New Roman" w:hAnsi="Times New Roman"/>
          <w:b/>
          <w:noProof/>
          <w:sz w:val="24"/>
        </w:rPr>
        <w:footnoteReference w:id="119"/>
      </w:r>
      <w:r w:rsidR="0058763F" w:rsidRPr="009B5734">
        <w:rPr>
          <w:rFonts w:ascii="Times New Roman" w:hAnsi="Times New Roman"/>
          <w:noProof/>
          <w:sz w:val="24"/>
        </w:rPr>
        <w:t xml:space="preserve">, which corresponds to a net present value for the period 2025-2040 of about </w:t>
      </w:r>
      <w:r w:rsidR="0058763F" w:rsidRPr="009B5734">
        <w:rPr>
          <w:rFonts w:ascii="Times New Roman" w:hAnsi="Times New Roman"/>
          <w:b/>
          <w:noProof/>
          <w:sz w:val="24"/>
        </w:rPr>
        <w:t>EUR 42 million</w:t>
      </w:r>
      <w:r w:rsidR="0058763F" w:rsidRPr="009B5734">
        <w:rPr>
          <w:rFonts w:ascii="Times New Roman" w:hAnsi="Times New Roman"/>
          <w:noProof/>
          <w:sz w:val="24"/>
        </w:rPr>
        <w:t xml:space="preserve">. National enforcement costs are estimated to be similar to those under option 2.3.B and amount to </w:t>
      </w:r>
      <w:r w:rsidR="0058763F" w:rsidRPr="009B5734">
        <w:rPr>
          <w:rFonts w:ascii="Times New Roman" w:hAnsi="Times New Roman"/>
          <w:b/>
          <w:noProof/>
          <w:sz w:val="24"/>
        </w:rPr>
        <w:t>EUR 14 - 15 million for the period 2025-2040</w:t>
      </w:r>
      <w:r w:rsidR="001438E7">
        <w:rPr>
          <w:rFonts w:ascii="Times New Roman" w:hAnsi="Times New Roman"/>
          <w:b/>
          <w:noProof/>
          <w:sz w:val="24"/>
        </w:rPr>
        <w:t xml:space="preserve"> (</w:t>
      </w:r>
      <w:r w:rsidR="001438E7" w:rsidRPr="001438E7">
        <w:rPr>
          <w:rFonts w:ascii="Times New Roman" w:hAnsi="Times New Roman"/>
          <w:noProof/>
          <w:sz w:val="24"/>
        </w:rPr>
        <w:t>or</w:t>
      </w:r>
      <w:r w:rsidR="001438E7">
        <w:rPr>
          <w:rFonts w:ascii="Times New Roman" w:hAnsi="Times New Roman"/>
          <w:b/>
          <w:noProof/>
          <w:sz w:val="24"/>
        </w:rPr>
        <w:t xml:space="preserve"> EUR 0.9 – 1 million per year)</w:t>
      </w:r>
      <w:r w:rsidR="0058763F" w:rsidRPr="009B5734">
        <w:rPr>
          <w:rFonts w:ascii="Times New Roman" w:hAnsi="Times New Roman"/>
          <w:noProof/>
          <w:sz w:val="24"/>
        </w:rPr>
        <w:t>.</w:t>
      </w:r>
      <w:r w:rsidR="00BD6A46">
        <w:rPr>
          <w:rFonts w:ascii="Times New Roman" w:hAnsi="Times New Roman"/>
          <w:noProof/>
          <w:sz w:val="24"/>
        </w:rPr>
        <w:t xml:space="preserve"> </w:t>
      </w:r>
    </w:p>
    <w:p w:rsidR="00E13C7E" w:rsidRPr="009B5734" w:rsidRDefault="00E13C7E" w:rsidP="00FB51B5">
      <w:pPr>
        <w:ind w:left="0" w:firstLine="0"/>
        <w:rPr>
          <w:rFonts w:ascii="Times New Roman" w:hAnsi="Times New Roman" w:cs="Times New Roman"/>
          <w:noProof/>
          <w:sz w:val="24"/>
        </w:rPr>
      </w:pPr>
    </w:p>
    <w:p w:rsidR="008A41C0" w:rsidRPr="009B5734" w:rsidRDefault="008A41C0" w:rsidP="00E13C7E">
      <w:pPr>
        <w:ind w:left="0" w:firstLine="0"/>
        <w:rPr>
          <w:rFonts w:ascii="Times New Roman" w:hAnsi="Times New Roman"/>
          <w:i/>
          <w:noProof/>
          <w:sz w:val="24"/>
        </w:rPr>
      </w:pPr>
    </w:p>
    <w:p w:rsidR="00E13C7E" w:rsidRPr="009B5734" w:rsidRDefault="00E13C7E" w:rsidP="00E13C7E">
      <w:pPr>
        <w:ind w:left="0" w:firstLine="0"/>
        <w:rPr>
          <w:i/>
          <w:noProof/>
        </w:rPr>
      </w:pPr>
      <w:r w:rsidRPr="009B5734">
        <w:rPr>
          <w:rFonts w:ascii="Times New Roman" w:hAnsi="Times New Roman"/>
          <w:i/>
          <w:noProof/>
          <w:sz w:val="24"/>
        </w:rPr>
        <w:t>Impacts on the environment:</w:t>
      </w:r>
    </w:p>
    <w:p w:rsidR="003A1025" w:rsidRPr="009B5734" w:rsidRDefault="00FB51B5" w:rsidP="003A1025">
      <w:pPr>
        <w:ind w:left="0" w:firstLine="0"/>
        <w:rPr>
          <w:i/>
          <w:noProof/>
        </w:rPr>
      </w:pPr>
      <w:r w:rsidRPr="009B5734">
        <w:rPr>
          <w:rFonts w:ascii="Times New Roman" w:hAnsi="Times New Roman"/>
          <w:noProof/>
          <w:sz w:val="24"/>
        </w:rPr>
        <w:t xml:space="preserve">The impacts on the environment </w:t>
      </w:r>
      <w:r w:rsidR="00764468" w:rsidRPr="009B5734">
        <w:rPr>
          <w:rFonts w:ascii="Times New Roman" w:hAnsi="Times New Roman"/>
          <w:noProof/>
          <w:sz w:val="24"/>
        </w:rPr>
        <w:t xml:space="preserve">of </w:t>
      </w:r>
      <w:r w:rsidR="00764468" w:rsidRPr="009B5734">
        <w:rPr>
          <w:rFonts w:ascii="Times New Roman" w:hAnsi="Times New Roman"/>
          <w:b/>
          <w:noProof/>
          <w:sz w:val="24"/>
        </w:rPr>
        <w:t>option 2.3.A</w:t>
      </w:r>
      <w:r w:rsidRPr="009B5734">
        <w:rPr>
          <w:rFonts w:ascii="Times New Roman" w:hAnsi="Times New Roman"/>
          <w:noProof/>
          <w:sz w:val="24"/>
        </w:rPr>
        <w:t xml:space="preserve"> are estimated to be </w:t>
      </w:r>
      <w:r w:rsidRPr="009B5734">
        <w:rPr>
          <w:rFonts w:ascii="Times New Roman" w:hAnsi="Times New Roman"/>
          <w:b/>
          <w:noProof/>
          <w:sz w:val="24"/>
        </w:rPr>
        <w:t>negligible</w:t>
      </w:r>
      <w:r w:rsidRPr="009B5734">
        <w:rPr>
          <w:rFonts w:ascii="Times New Roman" w:hAnsi="Times New Roman"/>
          <w:noProof/>
          <w:sz w:val="24"/>
        </w:rPr>
        <w:t xml:space="preserve"> (around zero) for the reasons mentioned above.</w:t>
      </w:r>
      <w:r w:rsidR="00764468" w:rsidRPr="009B5734">
        <w:rPr>
          <w:rFonts w:ascii="Times New Roman" w:hAnsi="Times New Roman"/>
          <w:noProof/>
          <w:sz w:val="24"/>
        </w:rPr>
        <w:t xml:space="preserve"> Overall the impacts on the environment of </w:t>
      </w:r>
      <w:r w:rsidR="00764468" w:rsidRPr="009B5734">
        <w:rPr>
          <w:rFonts w:ascii="Times New Roman" w:hAnsi="Times New Roman"/>
          <w:b/>
          <w:noProof/>
          <w:sz w:val="24"/>
        </w:rPr>
        <w:t>option 2.3.B</w:t>
      </w:r>
      <w:r w:rsidR="00764468" w:rsidRPr="009B5734">
        <w:rPr>
          <w:rFonts w:ascii="Times New Roman" w:hAnsi="Times New Roman"/>
          <w:noProof/>
          <w:sz w:val="24"/>
        </w:rPr>
        <w:t xml:space="preserve"> are expected to be </w:t>
      </w:r>
      <w:r w:rsidR="00764468" w:rsidRPr="009B5734">
        <w:rPr>
          <w:rFonts w:ascii="Times New Roman" w:hAnsi="Times New Roman"/>
          <w:b/>
          <w:noProof/>
          <w:sz w:val="24"/>
        </w:rPr>
        <w:t>positive</w:t>
      </w:r>
      <w:r w:rsidR="00764468" w:rsidRPr="009B5734">
        <w:rPr>
          <w:rFonts w:ascii="Times New Roman" w:hAnsi="Times New Roman"/>
          <w:noProof/>
          <w:sz w:val="24"/>
        </w:rPr>
        <w:t xml:space="preserve">. However, due to a series of factors (e.g. sustainability labels are often covering impacts other than climate change, there are no data on the share of sales per label etc.), it </w:t>
      </w:r>
      <w:r w:rsidR="00764468" w:rsidRPr="009B5734">
        <w:rPr>
          <w:rFonts w:ascii="Times New Roman" w:hAnsi="Times New Roman"/>
          <w:b/>
          <w:noProof/>
          <w:sz w:val="24"/>
        </w:rPr>
        <w:t>is not possible to estimate quantitatively</w:t>
      </w:r>
      <w:r w:rsidR="00764468" w:rsidRPr="009B5734">
        <w:rPr>
          <w:rFonts w:ascii="Times New Roman" w:hAnsi="Times New Roman"/>
          <w:noProof/>
          <w:sz w:val="24"/>
        </w:rPr>
        <w:t xml:space="preserve"> the impact of the option. </w:t>
      </w:r>
      <w:r w:rsidR="0058763F" w:rsidRPr="009B5734">
        <w:rPr>
          <w:rFonts w:ascii="Times New Roman" w:hAnsi="Times New Roman"/>
          <w:noProof/>
          <w:sz w:val="24"/>
        </w:rPr>
        <w:t xml:space="preserve"> The impact of</w:t>
      </w:r>
      <w:r w:rsidR="003A1025" w:rsidRPr="009B5734">
        <w:rPr>
          <w:rFonts w:ascii="Times New Roman" w:hAnsi="Times New Roman"/>
          <w:noProof/>
          <w:sz w:val="24"/>
        </w:rPr>
        <w:t xml:space="preserve"> </w:t>
      </w:r>
      <w:r w:rsidR="003A1025" w:rsidRPr="009B5734">
        <w:rPr>
          <w:rFonts w:ascii="Times New Roman" w:hAnsi="Times New Roman"/>
          <w:b/>
          <w:noProof/>
          <w:sz w:val="24"/>
        </w:rPr>
        <w:t>option 2.3.C</w:t>
      </w:r>
      <w:r w:rsidR="003A1025" w:rsidRPr="009B5734">
        <w:rPr>
          <w:rFonts w:ascii="Times New Roman" w:hAnsi="Times New Roman"/>
          <w:noProof/>
          <w:sz w:val="24"/>
        </w:rPr>
        <w:t xml:space="preserve"> on the environment are </w:t>
      </w:r>
      <w:r w:rsidR="0058763F" w:rsidRPr="009B5734">
        <w:rPr>
          <w:rFonts w:ascii="Times New Roman" w:hAnsi="Times New Roman"/>
          <w:noProof/>
          <w:sz w:val="24"/>
        </w:rPr>
        <w:t>expected to be similar to option 2.3.B</w:t>
      </w:r>
      <w:r w:rsidR="00C6628B" w:rsidRPr="009B5734">
        <w:rPr>
          <w:rFonts w:ascii="Times New Roman" w:hAnsi="Times New Roman"/>
          <w:noProof/>
          <w:sz w:val="24"/>
        </w:rPr>
        <w:t>, but for the same reasons not possible to estimate quantitatively</w:t>
      </w:r>
      <w:r w:rsidR="003A1025" w:rsidRPr="009B5734">
        <w:rPr>
          <w:rFonts w:ascii="Times New Roman" w:hAnsi="Times New Roman"/>
          <w:noProof/>
          <w:sz w:val="24"/>
        </w:rPr>
        <w:t xml:space="preserve">. </w:t>
      </w:r>
    </w:p>
    <w:p w:rsidR="00FB51B5" w:rsidRPr="009B5734" w:rsidRDefault="00FB51B5" w:rsidP="00E13C7E">
      <w:pPr>
        <w:ind w:left="0" w:firstLine="0"/>
        <w:rPr>
          <w:rFonts w:ascii="Times New Roman" w:hAnsi="Times New Roman"/>
          <w:i/>
          <w:noProof/>
          <w:sz w:val="24"/>
        </w:rPr>
      </w:pPr>
    </w:p>
    <w:p w:rsidR="00E13C7E" w:rsidRPr="009B5734" w:rsidRDefault="00E13C7E" w:rsidP="00E13C7E">
      <w:pPr>
        <w:ind w:left="0" w:firstLine="0"/>
        <w:rPr>
          <w:i/>
          <w:noProof/>
        </w:rPr>
      </w:pPr>
      <w:r w:rsidRPr="009B5734">
        <w:rPr>
          <w:rFonts w:ascii="Times New Roman" w:hAnsi="Times New Roman"/>
          <w:i/>
          <w:noProof/>
          <w:sz w:val="24"/>
        </w:rPr>
        <w:t>Coherence and applicability of the legal framework:</w:t>
      </w:r>
    </w:p>
    <w:p w:rsidR="00035A1C" w:rsidRPr="009B5734" w:rsidRDefault="008E470C" w:rsidP="003A1025">
      <w:pPr>
        <w:ind w:left="0" w:firstLine="0"/>
        <w:rPr>
          <w:rFonts w:ascii="Times New Roman" w:eastAsia="Times New Roman" w:hAnsi="Times New Roman" w:cs="Times New Roman"/>
          <w:noProof/>
          <w:sz w:val="24"/>
          <w:szCs w:val="20"/>
        </w:rPr>
      </w:pPr>
      <w:r w:rsidRPr="009B5734">
        <w:rPr>
          <w:rFonts w:ascii="Times New Roman" w:eastAsia="Times New Roman" w:hAnsi="Times New Roman" w:cs="Times New Roman"/>
          <w:noProof/>
          <w:sz w:val="24"/>
          <w:szCs w:val="20"/>
        </w:rPr>
        <w:t>There was n</w:t>
      </w:r>
      <w:r w:rsidR="00FB51B5" w:rsidRPr="009B5734">
        <w:rPr>
          <w:rFonts w:ascii="Times New Roman" w:eastAsia="Times New Roman" w:hAnsi="Times New Roman" w:cs="Times New Roman"/>
          <w:noProof/>
          <w:sz w:val="24"/>
          <w:szCs w:val="20"/>
        </w:rPr>
        <w:t>o issue</w:t>
      </w:r>
      <w:r w:rsidRPr="009B5734">
        <w:rPr>
          <w:rFonts w:ascii="Times New Roman" w:eastAsia="Times New Roman" w:hAnsi="Times New Roman" w:cs="Times New Roman"/>
          <w:noProof/>
          <w:sz w:val="24"/>
          <w:szCs w:val="20"/>
        </w:rPr>
        <w:t xml:space="preserve"> of coherence</w:t>
      </w:r>
      <w:r w:rsidR="00FB51B5" w:rsidRPr="009B5734">
        <w:rPr>
          <w:rFonts w:ascii="Times New Roman" w:eastAsia="Times New Roman" w:hAnsi="Times New Roman" w:cs="Times New Roman"/>
          <w:noProof/>
          <w:sz w:val="24"/>
          <w:szCs w:val="20"/>
        </w:rPr>
        <w:t xml:space="preserve"> identified</w:t>
      </w:r>
      <w:r w:rsidR="00764468" w:rsidRPr="009B5734">
        <w:rPr>
          <w:rFonts w:ascii="Times New Roman" w:eastAsia="Times New Roman" w:hAnsi="Times New Roman" w:cs="Times New Roman"/>
          <w:noProof/>
          <w:sz w:val="24"/>
          <w:szCs w:val="20"/>
        </w:rPr>
        <w:t xml:space="preserve"> for </w:t>
      </w:r>
      <w:r w:rsidR="00764468" w:rsidRPr="009B5734">
        <w:rPr>
          <w:rFonts w:ascii="Times New Roman" w:eastAsia="Times New Roman" w:hAnsi="Times New Roman" w:cs="Times New Roman"/>
          <w:b/>
          <w:noProof/>
          <w:sz w:val="24"/>
          <w:szCs w:val="20"/>
        </w:rPr>
        <w:t>option 2.3.A</w:t>
      </w:r>
      <w:r w:rsidR="00FB51B5" w:rsidRPr="009B5734">
        <w:rPr>
          <w:rFonts w:ascii="Times New Roman" w:eastAsia="Times New Roman" w:hAnsi="Times New Roman" w:cs="Times New Roman"/>
          <w:noProof/>
          <w:sz w:val="24"/>
          <w:szCs w:val="20"/>
        </w:rPr>
        <w:t>.</w:t>
      </w:r>
      <w:r w:rsidR="00764468" w:rsidRPr="009B5734" w:rsidDel="00E45ABD">
        <w:rPr>
          <w:rFonts w:ascii="Times New Roman" w:eastAsia="Times New Roman" w:hAnsi="Times New Roman" w:cs="Times New Roman"/>
          <w:noProof/>
          <w:sz w:val="24"/>
          <w:szCs w:val="20"/>
        </w:rPr>
        <w:t xml:space="preserve"> </w:t>
      </w:r>
      <w:r w:rsidR="00764468" w:rsidRPr="009B5734">
        <w:rPr>
          <w:rFonts w:ascii="Times New Roman" w:eastAsia="Times New Roman" w:hAnsi="Times New Roman" w:cs="Times New Roman"/>
          <w:b/>
          <w:noProof/>
          <w:sz w:val="24"/>
          <w:szCs w:val="20"/>
        </w:rPr>
        <w:t>Option 2.3.B</w:t>
      </w:r>
      <w:r w:rsidR="00764468" w:rsidRPr="009B5734">
        <w:rPr>
          <w:rFonts w:ascii="Times New Roman" w:eastAsia="Times New Roman" w:hAnsi="Times New Roman" w:cs="Times New Roman"/>
          <w:noProof/>
          <w:sz w:val="24"/>
          <w:szCs w:val="20"/>
        </w:rPr>
        <w:t xml:space="preserve"> will have a positive impact on ensuring a better and coherent application of the EU consumer legal framework, in particular of the UCPD, as it will strengthen the protection of consumers against misleading labels, including by building on existing requirements for labels under the Public Procurement Directive, Article 43</w:t>
      </w:r>
      <w:r w:rsidR="00764468" w:rsidRPr="009B5734">
        <w:rPr>
          <w:rStyle w:val="FootnoteReference"/>
          <w:rFonts w:ascii="Times New Roman" w:eastAsia="Times New Roman" w:hAnsi="Times New Roman" w:cs="Times New Roman"/>
          <w:noProof/>
          <w:sz w:val="24"/>
          <w:szCs w:val="20"/>
        </w:rPr>
        <w:footnoteReference w:id="120"/>
      </w:r>
      <w:r w:rsidR="007D0F81" w:rsidRPr="009B5734">
        <w:rPr>
          <w:rFonts w:ascii="Times New Roman" w:eastAsia="Times New Roman" w:hAnsi="Times New Roman" w:cs="Times New Roman"/>
          <w:noProof/>
          <w:sz w:val="24"/>
          <w:szCs w:val="20"/>
        </w:rPr>
        <w:t>.</w:t>
      </w:r>
      <w:r w:rsidR="00B51557" w:rsidRPr="009B5734">
        <w:rPr>
          <w:rFonts w:ascii="Times New Roman" w:eastAsia="Times New Roman" w:hAnsi="Times New Roman" w:cs="Times New Roman"/>
          <w:noProof/>
          <w:sz w:val="24"/>
          <w:szCs w:val="20"/>
        </w:rPr>
        <w:t xml:space="preserve"> </w:t>
      </w:r>
      <w:r w:rsidR="003A1025" w:rsidRPr="009B5734">
        <w:rPr>
          <w:rFonts w:ascii="Times New Roman" w:eastAsia="Times New Roman" w:hAnsi="Times New Roman" w:cs="Times New Roman"/>
          <w:b/>
          <w:noProof/>
          <w:sz w:val="24"/>
          <w:szCs w:val="20"/>
        </w:rPr>
        <w:t>Option 2.3.C</w:t>
      </w:r>
      <w:r w:rsidR="003A1025" w:rsidRPr="009B5734">
        <w:rPr>
          <w:rFonts w:ascii="Times New Roman" w:eastAsia="Times New Roman" w:hAnsi="Times New Roman" w:cs="Times New Roman"/>
          <w:noProof/>
          <w:sz w:val="24"/>
          <w:szCs w:val="20"/>
        </w:rPr>
        <w:t xml:space="preserve"> </w:t>
      </w:r>
      <w:r w:rsidR="0058763F" w:rsidRPr="009B5734">
        <w:rPr>
          <w:rFonts w:ascii="Times New Roman" w:eastAsia="Times New Roman" w:hAnsi="Times New Roman" w:cs="Times New Roman"/>
          <w:noProof/>
          <w:sz w:val="24"/>
          <w:szCs w:val="20"/>
        </w:rPr>
        <w:t>will have a positive impact on ensuring a better and coherent application of the EU legal consumer framework, in particular of the UCPD.</w:t>
      </w:r>
    </w:p>
    <w:p w:rsidR="000245FD" w:rsidRPr="009B5734" w:rsidRDefault="000245FD" w:rsidP="006B18B5">
      <w:pPr>
        <w:pStyle w:val="Heading5"/>
        <w:rPr>
          <w:rFonts w:ascii="Times New Roman" w:hAnsi="Times New Roman" w:cs="Times New Roman"/>
          <w:i w:val="0"/>
          <w:noProof/>
          <w:sz w:val="24"/>
        </w:rPr>
      </w:pPr>
      <w:bookmarkStart w:id="240" w:name="_Toc58149089"/>
      <w:bookmarkStart w:id="241" w:name="_Toc58222467"/>
      <w:bookmarkStart w:id="242" w:name="_Toc58603235"/>
      <w:bookmarkStart w:id="243" w:name="_Toc58604095"/>
      <w:bookmarkStart w:id="244" w:name="_Toc58605412"/>
      <w:bookmarkStart w:id="245" w:name="_Toc60734050"/>
      <w:r w:rsidRPr="009B5734">
        <w:rPr>
          <w:rFonts w:ascii="Times New Roman" w:hAnsi="Times New Roman" w:cs="Times New Roman"/>
          <w:i w:val="0"/>
          <w:noProof/>
          <w:sz w:val="24"/>
        </w:rPr>
        <w:t>How do the options compare?</w:t>
      </w:r>
      <w:bookmarkEnd w:id="240"/>
      <w:bookmarkEnd w:id="241"/>
      <w:bookmarkEnd w:id="242"/>
      <w:bookmarkEnd w:id="243"/>
      <w:bookmarkEnd w:id="244"/>
      <w:bookmarkEnd w:id="245"/>
      <w:r w:rsidRPr="009B5734">
        <w:rPr>
          <w:rFonts w:ascii="Times New Roman" w:hAnsi="Times New Roman" w:cs="Times New Roman"/>
          <w:i w:val="0"/>
          <w:noProof/>
          <w:sz w:val="24"/>
        </w:rPr>
        <w:t xml:space="preserve"> </w:t>
      </w:r>
    </w:p>
    <w:p w:rsidR="006571BE" w:rsidRPr="009B5734" w:rsidRDefault="006571BE" w:rsidP="008B4375">
      <w:pPr>
        <w:pStyle w:val="Text2"/>
        <w:spacing w:before="240" w:after="120"/>
        <w:ind w:left="0" w:firstLine="0"/>
        <w:rPr>
          <w:noProof/>
        </w:rPr>
      </w:pPr>
      <w:r w:rsidRPr="009B5734">
        <w:rPr>
          <w:noProof/>
        </w:rPr>
        <w:t xml:space="preserve">The results of the MCA </w:t>
      </w:r>
      <w:r w:rsidR="00CA5D30" w:rsidRPr="009B5734">
        <w:rPr>
          <w:noProof/>
        </w:rPr>
        <w:t xml:space="preserve">and sensitivity </w:t>
      </w:r>
      <w:r w:rsidRPr="009B5734">
        <w:rPr>
          <w:noProof/>
        </w:rPr>
        <w:t>analysis</w:t>
      </w:r>
      <w:r w:rsidRPr="009B5734">
        <w:rPr>
          <w:rStyle w:val="FootnoteReference"/>
          <w:noProof/>
          <w:szCs w:val="24"/>
        </w:rPr>
        <w:footnoteReference w:id="121"/>
      </w:r>
      <w:r w:rsidRPr="009B5734">
        <w:rPr>
          <w:noProof/>
        </w:rPr>
        <w:t xml:space="preserve"> </w:t>
      </w:r>
      <w:r w:rsidR="00FF080F" w:rsidRPr="009B5734">
        <w:rPr>
          <w:noProof/>
        </w:rPr>
        <w:t xml:space="preserve">(presented in </w:t>
      </w:r>
      <w:hyperlink w:anchor="_Sub-problem_2.3:_Sustainability" w:history="1">
        <w:r w:rsidR="00FF080F" w:rsidRPr="009B5734">
          <w:rPr>
            <w:rStyle w:val="Hyperlink"/>
            <w:noProof/>
          </w:rPr>
          <w:t xml:space="preserve">Annex </w:t>
        </w:r>
        <w:r w:rsidR="00CA5D30" w:rsidRPr="009B5734">
          <w:rPr>
            <w:rStyle w:val="Hyperlink"/>
            <w:noProof/>
          </w:rPr>
          <w:t>9</w:t>
        </w:r>
        <w:r w:rsidR="00FF080F" w:rsidRPr="009B5734">
          <w:rPr>
            <w:rStyle w:val="Hyperlink"/>
            <w:noProof/>
          </w:rPr>
          <w:t xml:space="preserve">, section </w:t>
        </w:r>
        <w:r w:rsidR="00F70662" w:rsidRPr="009B5734">
          <w:rPr>
            <w:rStyle w:val="Hyperlink"/>
            <w:noProof/>
          </w:rPr>
          <w:t>2.</w:t>
        </w:r>
        <w:r w:rsidR="0023145E" w:rsidRPr="009B5734">
          <w:rPr>
            <w:rStyle w:val="Hyperlink"/>
            <w:noProof/>
          </w:rPr>
          <w:t>5</w:t>
        </w:r>
      </w:hyperlink>
      <w:r w:rsidR="00FF080F" w:rsidRPr="009B5734">
        <w:rPr>
          <w:noProof/>
        </w:rPr>
        <w:t xml:space="preserve">) show that </w:t>
      </w:r>
      <w:r w:rsidR="00C56778" w:rsidRPr="009B5734">
        <w:rPr>
          <w:b/>
          <w:noProof/>
        </w:rPr>
        <w:t>o</w:t>
      </w:r>
      <w:r w:rsidRPr="009B5734">
        <w:rPr>
          <w:b/>
          <w:noProof/>
        </w:rPr>
        <w:t>ption 2.3.B</w:t>
      </w:r>
      <w:r w:rsidR="00CA5D30" w:rsidRPr="009B5734">
        <w:rPr>
          <w:b/>
          <w:noProof/>
        </w:rPr>
        <w:t xml:space="preserve"> </w:t>
      </w:r>
      <w:r w:rsidR="00CA5D30" w:rsidRPr="009B5734">
        <w:rPr>
          <w:noProof/>
        </w:rPr>
        <w:t>(</w:t>
      </w:r>
      <w:r w:rsidR="00821C27" w:rsidRPr="009B5734">
        <w:rPr>
          <w:noProof/>
        </w:rPr>
        <w:t>Prohibition of sustainability labels and digital information tools not meeting minimum transparency and credibility requirements</w:t>
      </w:r>
      <w:r w:rsidR="00821C27" w:rsidRPr="009B5734">
        <w:rPr>
          <w:b/>
          <w:noProof/>
          <w:sz w:val="22"/>
          <w:szCs w:val="22"/>
        </w:rPr>
        <w:t xml:space="preserve">  </w:t>
      </w:r>
      <w:r w:rsidR="00CA5D30" w:rsidRPr="009B5734">
        <w:rPr>
          <w:noProof/>
        </w:rPr>
        <w:t>)</w:t>
      </w:r>
      <w:r w:rsidRPr="009B5734">
        <w:rPr>
          <w:b/>
          <w:noProof/>
        </w:rPr>
        <w:t xml:space="preserve"> </w:t>
      </w:r>
      <w:r w:rsidRPr="009B5734">
        <w:rPr>
          <w:noProof/>
        </w:rPr>
        <w:t>ranks</w:t>
      </w:r>
      <w:r w:rsidR="00CA5D30" w:rsidRPr="009B5734">
        <w:rPr>
          <w:noProof/>
        </w:rPr>
        <w:t xml:space="preserve"> highest followed in the ranking by </w:t>
      </w:r>
      <w:r w:rsidR="0058763F" w:rsidRPr="009B5734">
        <w:rPr>
          <w:noProof/>
        </w:rPr>
        <w:t xml:space="preserve">under the default scenario by </w:t>
      </w:r>
      <w:r w:rsidR="00CA5D30" w:rsidRPr="009B5734">
        <w:rPr>
          <w:b/>
          <w:noProof/>
        </w:rPr>
        <w:t>option 2.3.C</w:t>
      </w:r>
      <w:r w:rsidR="00CA5D30" w:rsidRPr="009B5734">
        <w:rPr>
          <w:noProof/>
        </w:rPr>
        <w:t xml:space="preserve"> (</w:t>
      </w:r>
      <w:r w:rsidR="0058763F" w:rsidRPr="009B5734">
        <w:rPr>
          <w:noProof/>
        </w:rPr>
        <w:t xml:space="preserve"> Pre-approval of sustainability labels and digital information tools via an EU body</w:t>
      </w:r>
      <w:r w:rsidR="00CA5D30" w:rsidRPr="009B5734">
        <w:rPr>
          <w:b/>
          <w:noProof/>
        </w:rPr>
        <w:t>)</w:t>
      </w:r>
      <w:r w:rsidR="00CA5D30" w:rsidRPr="009B5734">
        <w:rPr>
          <w:noProof/>
        </w:rPr>
        <w:t xml:space="preserve"> in second place, with no discernible difference between </w:t>
      </w:r>
      <w:r w:rsidR="00CA5D30" w:rsidRPr="009B5734">
        <w:rPr>
          <w:b/>
          <w:noProof/>
        </w:rPr>
        <w:t>option 2.3.A</w:t>
      </w:r>
      <w:r w:rsidR="00CA5D30" w:rsidRPr="009B5734">
        <w:rPr>
          <w:noProof/>
        </w:rPr>
        <w:t xml:space="preserve"> (EU-led voluntary initiative to develop minimum criteria on sustainability labels) and the baseline.</w:t>
      </w:r>
    </w:p>
    <w:p w:rsidR="005B1324" w:rsidRPr="00F67503" w:rsidRDefault="00B96030" w:rsidP="004931D3">
      <w:pPr>
        <w:spacing w:after="120"/>
        <w:ind w:left="0" w:firstLine="0"/>
        <w:rPr>
          <w:rFonts w:ascii="Times New Roman" w:hAnsi="Times New Roman"/>
          <w:noProof/>
          <w:sz w:val="24"/>
          <w:szCs w:val="24"/>
        </w:rPr>
      </w:pPr>
      <w:r w:rsidRPr="005D24D2">
        <w:rPr>
          <w:rFonts w:ascii="Times New Roman" w:hAnsi="Times New Roman"/>
          <w:noProof/>
          <w:sz w:val="24"/>
          <w:szCs w:val="24"/>
        </w:rPr>
        <w:t>When looking at the proportionality of the 3 options, t</w:t>
      </w:r>
      <w:r w:rsidR="00D042F3" w:rsidRPr="005D24D2">
        <w:rPr>
          <w:rFonts w:ascii="Times New Roman" w:hAnsi="Times New Roman"/>
          <w:noProof/>
          <w:sz w:val="24"/>
          <w:szCs w:val="24"/>
        </w:rPr>
        <w:t>he MCA shows that the tangible and intangible costs of option 2.3.B</w:t>
      </w:r>
      <w:r w:rsidR="00A76154">
        <w:rPr>
          <w:rFonts w:ascii="Times New Roman" w:hAnsi="Times New Roman"/>
          <w:noProof/>
          <w:sz w:val="24"/>
          <w:szCs w:val="24"/>
        </w:rPr>
        <w:t>, including for businesses and public administrations,</w:t>
      </w:r>
      <w:r w:rsidR="00D042F3" w:rsidRPr="005D24D2">
        <w:rPr>
          <w:rFonts w:ascii="Times New Roman" w:hAnsi="Times New Roman"/>
          <w:noProof/>
          <w:sz w:val="24"/>
          <w:szCs w:val="24"/>
        </w:rPr>
        <w:t xml:space="preserve"> are outweighed by </w:t>
      </w:r>
      <w:r w:rsidR="00993C5A" w:rsidRPr="005D24D2">
        <w:rPr>
          <w:rFonts w:ascii="Times New Roman" w:hAnsi="Times New Roman"/>
          <w:noProof/>
          <w:sz w:val="24"/>
          <w:szCs w:val="24"/>
        </w:rPr>
        <w:t xml:space="preserve">its </w:t>
      </w:r>
      <w:r w:rsidR="00D042F3" w:rsidRPr="005D24D2">
        <w:rPr>
          <w:rFonts w:ascii="Times New Roman" w:hAnsi="Times New Roman"/>
          <w:noProof/>
          <w:sz w:val="24"/>
          <w:szCs w:val="24"/>
        </w:rPr>
        <w:t xml:space="preserve">expected benefits </w:t>
      </w:r>
      <w:r w:rsidR="00A76154">
        <w:rPr>
          <w:rFonts w:ascii="Times New Roman" w:hAnsi="Times New Roman"/>
          <w:noProof/>
          <w:sz w:val="24"/>
          <w:szCs w:val="24"/>
        </w:rPr>
        <w:t xml:space="preserve">for consumers and the environment </w:t>
      </w:r>
      <w:r w:rsidR="00D042F3" w:rsidRPr="005D24D2">
        <w:rPr>
          <w:rFonts w:ascii="Times New Roman" w:hAnsi="Times New Roman"/>
          <w:noProof/>
          <w:sz w:val="24"/>
          <w:szCs w:val="24"/>
        </w:rPr>
        <w:t>(even for the worst-case scenario). The results of the partial cost-benefit analysis (which only considers tangible and monetisable impacts) also suggest that the benefits of option</w:t>
      </w:r>
      <w:r w:rsidR="00993C5A" w:rsidRPr="005D24D2">
        <w:rPr>
          <w:rFonts w:ascii="Times New Roman" w:hAnsi="Times New Roman"/>
          <w:noProof/>
          <w:sz w:val="24"/>
          <w:szCs w:val="24"/>
        </w:rPr>
        <w:t>s</w:t>
      </w:r>
      <w:r w:rsidR="00D042F3" w:rsidRPr="005D24D2">
        <w:rPr>
          <w:rFonts w:ascii="Times New Roman" w:hAnsi="Times New Roman"/>
          <w:noProof/>
          <w:sz w:val="24"/>
          <w:szCs w:val="24"/>
        </w:rPr>
        <w:t xml:space="preserve"> 2.2.B</w:t>
      </w:r>
      <w:r w:rsidR="00993C5A" w:rsidRPr="005D24D2">
        <w:rPr>
          <w:rFonts w:ascii="Times New Roman" w:hAnsi="Times New Roman"/>
          <w:noProof/>
          <w:sz w:val="24"/>
          <w:szCs w:val="24"/>
        </w:rPr>
        <w:t xml:space="preserve"> and 2.2.C</w:t>
      </w:r>
      <w:r w:rsidR="00D042F3" w:rsidRPr="005D24D2">
        <w:rPr>
          <w:rFonts w:ascii="Times New Roman" w:hAnsi="Times New Roman"/>
          <w:noProof/>
          <w:sz w:val="24"/>
          <w:szCs w:val="24"/>
        </w:rPr>
        <w:t xml:space="preserve"> are higher than </w:t>
      </w:r>
      <w:r w:rsidR="00993C5A" w:rsidRPr="005D24D2">
        <w:rPr>
          <w:rFonts w:ascii="Times New Roman" w:hAnsi="Times New Roman"/>
          <w:noProof/>
          <w:sz w:val="24"/>
          <w:szCs w:val="24"/>
        </w:rPr>
        <w:t>their</w:t>
      </w:r>
      <w:r w:rsidR="00D042F3" w:rsidRPr="005D24D2">
        <w:rPr>
          <w:rFonts w:ascii="Times New Roman" w:hAnsi="Times New Roman"/>
          <w:noProof/>
          <w:sz w:val="24"/>
          <w:szCs w:val="24"/>
        </w:rPr>
        <w:t xml:space="preserve"> expected costs</w:t>
      </w:r>
      <w:r w:rsidR="00993C5A" w:rsidRPr="005D24D2">
        <w:rPr>
          <w:rFonts w:ascii="Times New Roman" w:hAnsi="Times New Roman"/>
          <w:noProof/>
          <w:sz w:val="24"/>
          <w:szCs w:val="24"/>
        </w:rPr>
        <w:t>, with 2.3.B coming out (on average) as more beneficial</w:t>
      </w:r>
      <w:r w:rsidR="00BA2AFE" w:rsidRPr="005D24D2">
        <w:rPr>
          <w:rFonts w:ascii="Times New Roman" w:hAnsi="Times New Roman"/>
          <w:noProof/>
          <w:sz w:val="24"/>
          <w:szCs w:val="24"/>
        </w:rPr>
        <w:t>.</w:t>
      </w:r>
    </w:p>
    <w:p w:rsidR="006B087E" w:rsidRPr="009B5734" w:rsidRDefault="00A00208" w:rsidP="00A00208">
      <w:pPr>
        <w:pStyle w:val="Heading1"/>
        <w:rPr>
          <w:noProof/>
        </w:rPr>
      </w:pPr>
      <w:bookmarkStart w:id="246" w:name="_Toc75440976"/>
      <w:bookmarkStart w:id="247" w:name="_Toc75446975"/>
      <w:bookmarkStart w:id="248" w:name="_Toc75448848"/>
      <w:bookmarkStart w:id="249" w:name="_Toc77844240"/>
      <w:bookmarkStart w:id="250" w:name="_Toc86391743"/>
      <w:r w:rsidRPr="00A00208">
        <w:t>7.</w:t>
      </w:r>
      <w:r w:rsidRPr="00A00208">
        <w:tab/>
      </w:r>
      <w:r w:rsidR="0012543C" w:rsidRPr="009B5734">
        <w:rPr>
          <w:noProof/>
        </w:rPr>
        <w:t xml:space="preserve">Preferred </w:t>
      </w:r>
      <w:r w:rsidR="00427AC4" w:rsidRPr="009B5734">
        <w:rPr>
          <w:noProof/>
        </w:rPr>
        <w:t>policy</w:t>
      </w:r>
      <w:r w:rsidR="0012543C" w:rsidRPr="009B5734">
        <w:rPr>
          <w:noProof/>
        </w:rPr>
        <w:t xml:space="preserve"> </w:t>
      </w:r>
      <w:r w:rsidR="00427AC4" w:rsidRPr="009B5734">
        <w:rPr>
          <w:noProof/>
        </w:rPr>
        <w:t>o</w:t>
      </w:r>
      <w:r w:rsidR="004E0677" w:rsidRPr="009B5734">
        <w:rPr>
          <w:noProof/>
        </w:rPr>
        <w:t>ptions</w:t>
      </w:r>
      <w:bookmarkEnd w:id="246"/>
      <w:bookmarkEnd w:id="247"/>
      <w:bookmarkEnd w:id="248"/>
      <w:bookmarkEnd w:id="249"/>
      <w:bookmarkEnd w:id="250"/>
      <w:r w:rsidR="004E0677" w:rsidRPr="009B5734">
        <w:rPr>
          <w:noProof/>
        </w:rPr>
        <w:t xml:space="preserve"> </w:t>
      </w:r>
    </w:p>
    <w:p w:rsidR="00E61C42" w:rsidRDefault="0023281D" w:rsidP="009F72E4">
      <w:pPr>
        <w:pStyle w:val="Text1"/>
        <w:ind w:left="0" w:firstLine="0"/>
        <w:rPr>
          <w:noProof/>
        </w:rPr>
      </w:pPr>
      <w:r w:rsidRPr="009B5734">
        <w:rPr>
          <w:noProof/>
        </w:rPr>
        <w:t>T</w:t>
      </w:r>
      <w:r w:rsidR="00701149" w:rsidRPr="009B5734">
        <w:rPr>
          <w:noProof/>
        </w:rPr>
        <w:t xml:space="preserve">his </w:t>
      </w:r>
      <w:r w:rsidR="00C402F8">
        <w:rPr>
          <w:noProof/>
        </w:rPr>
        <w:t>I</w:t>
      </w:r>
      <w:r w:rsidR="00701149" w:rsidRPr="009B5734">
        <w:rPr>
          <w:noProof/>
        </w:rPr>
        <w:t xml:space="preserve">mpact </w:t>
      </w:r>
      <w:r w:rsidR="00C402F8">
        <w:rPr>
          <w:noProof/>
        </w:rPr>
        <w:t>A</w:t>
      </w:r>
      <w:r w:rsidR="00701149" w:rsidRPr="009B5734">
        <w:rPr>
          <w:noProof/>
        </w:rPr>
        <w:t xml:space="preserve">ssessment </w:t>
      </w:r>
      <w:r w:rsidR="00A961F5" w:rsidRPr="009B5734">
        <w:rPr>
          <w:noProof/>
        </w:rPr>
        <w:t xml:space="preserve">identifies a number of preferred </w:t>
      </w:r>
      <w:r w:rsidR="004A2F41" w:rsidRPr="009B5734">
        <w:rPr>
          <w:noProof/>
        </w:rPr>
        <w:t xml:space="preserve">policy </w:t>
      </w:r>
      <w:r w:rsidR="00701149" w:rsidRPr="009B5734">
        <w:rPr>
          <w:noProof/>
        </w:rPr>
        <w:t xml:space="preserve">options </w:t>
      </w:r>
      <w:r w:rsidR="00A961F5" w:rsidRPr="009B5734">
        <w:rPr>
          <w:noProof/>
        </w:rPr>
        <w:t xml:space="preserve">ensuring a </w:t>
      </w:r>
      <w:r w:rsidR="00701149" w:rsidRPr="009B5734">
        <w:rPr>
          <w:noProof/>
        </w:rPr>
        <w:t xml:space="preserve">coherent </w:t>
      </w:r>
      <w:r w:rsidR="006B0820" w:rsidRPr="009B5734">
        <w:rPr>
          <w:noProof/>
        </w:rPr>
        <w:t>policy approach</w:t>
      </w:r>
      <w:r w:rsidR="00A83F7C" w:rsidRPr="009B5734">
        <w:rPr>
          <w:noProof/>
        </w:rPr>
        <w:t xml:space="preserve"> together</w:t>
      </w:r>
      <w:r w:rsidR="006B0820" w:rsidRPr="009B5734">
        <w:rPr>
          <w:noProof/>
        </w:rPr>
        <w:t xml:space="preserve"> with</w:t>
      </w:r>
      <w:r w:rsidR="00701149" w:rsidRPr="009B5734">
        <w:rPr>
          <w:noProof/>
        </w:rPr>
        <w:t xml:space="preserve"> the </w:t>
      </w:r>
      <w:r w:rsidR="008E357B">
        <w:rPr>
          <w:noProof/>
        </w:rPr>
        <w:t xml:space="preserve">upcoming </w:t>
      </w:r>
      <w:r w:rsidR="00701149" w:rsidRPr="009B5734">
        <w:rPr>
          <w:noProof/>
        </w:rPr>
        <w:t xml:space="preserve">Green Claims </w:t>
      </w:r>
      <w:r w:rsidR="008E357B">
        <w:rPr>
          <w:noProof/>
        </w:rPr>
        <w:t xml:space="preserve">Initiative </w:t>
      </w:r>
      <w:r w:rsidR="00701149" w:rsidRPr="009B5734">
        <w:rPr>
          <w:noProof/>
        </w:rPr>
        <w:t>and Sustainable Products</w:t>
      </w:r>
      <w:r w:rsidR="008E357B">
        <w:rPr>
          <w:noProof/>
        </w:rPr>
        <w:t xml:space="preserve"> Initiative adopted together with this initiative</w:t>
      </w:r>
      <w:r w:rsidR="00701149" w:rsidRPr="009B5734">
        <w:rPr>
          <w:noProof/>
        </w:rPr>
        <w:t>.</w:t>
      </w:r>
      <w:r w:rsidR="0073269B" w:rsidRPr="009B5734">
        <w:rPr>
          <w:noProof/>
        </w:rPr>
        <w:t xml:space="preserve"> </w:t>
      </w:r>
      <w:r w:rsidR="00E61C42" w:rsidRPr="009B5734">
        <w:rPr>
          <w:noProof/>
        </w:rPr>
        <w:t xml:space="preserve">The </w:t>
      </w:r>
      <w:r w:rsidR="00CF5D0F" w:rsidRPr="009B5734">
        <w:rPr>
          <w:noProof/>
        </w:rPr>
        <w:t xml:space="preserve">presentation and </w:t>
      </w:r>
      <w:r w:rsidR="00E61C42" w:rsidRPr="009B5734">
        <w:rPr>
          <w:noProof/>
        </w:rPr>
        <w:t xml:space="preserve">assessment of the options has confirmed the synergies that exist between </w:t>
      </w:r>
      <w:r w:rsidR="00493812" w:rsidRPr="009B5734">
        <w:rPr>
          <w:noProof/>
        </w:rPr>
        <w:t>the three initiatives</w:t>
      </w:r>
      <w:r w:rsidR="00E61C42" w:rsidRPr="009B5734">
        <w:rPr>
          <w:noProof/>
        </w:rPr>
        <w:t xml:space="preserve">. The preferred options selected are fully coherent with </w:t>
      </w:r>
      <w:r w:rsidR="00493812" w:rsidRPr="009B5734">
        <w:rPr>
          <w:noProof/>
        </w:rPr>
        <w:t xml:space="preserve">the other </w:t>
      </w:r>
      <w:r w:rsidR="00E61C42" w:rsidRPr="009B5734">
        <w:rPr>
          <w:noProof/>
        </w:rPr>
        <w:t xml:space="preserve">two initiatives, and in several instances provide </w:t>
      </w:r>
      <w:r w:rsidR="00496EA4" w:rsidRPr="009B5734">
        <w:rPr>
          <w:noProof/>
        </w:rPr>
        <w:t xml:space="preserve">for general rules </w:t>
      </w:r>
      <w:r w:rsidR="00E61C42" w:rsidRPr="009B5734">
        <w:rPr>
          <w:noProof/>
        </w:rPr>
        <w:t>that the other</w:t>
      </w:r>
      <w:r w:rsidR="00493812" w:rsidRPr="009B5734">
        <w:rPr>
          <w:noProof/>
        </w:rPr>
        <w:t xml:space="preserve"> two</w:t>
      </w:r>
      <w:r w:rsidR="00E61C42" w:rsidRPr="009B5734">
        <w:rPr>
          <w:noProof/>
        </w:rPr>
        <w:t xml:space="preserve"> initiatives will usefully complement. </w:t>
      </w:r>
    </w:p>
    <w:p w:rsidR="00F11DA8" w:rsidRPr="009B5734" w:rsidRDefault="00F11DA8" w:rsidP="009F72E4">
      <w:pPr>
        <w:pStyle w:val="Text1"/>
        <w:ind w:left="0" w:firstLine="0"/>
        <w:rPr>
          <w:noProof/>
        </w:rPr>
      </w:pPr>
      <w:r>
        <w:rPr>
          <w:noProof/>
        </w:rPr>
        <w:t xml:space="preserve">For each of the sub-problems addressed by this Impact Assessment, </w:t>
      </w:r>
      <w:r w:rsidRPr="008D65D2">
        <w:rPr>
          <w:b/>
          <w:noProof/>
        </w:rPr>
        <w:t>the option which received the highest ranking overall in the Multi-Criteria and sensitivity analysis</w:t>
      </w:r>
      <w:r>
        <w:rPr>
          <w:noProof/>
        </w:rPr>
        <w:t xml:space="preserve"> </w:t>
      </w:r>
      <w:r w:rsidRPr="009B5734">
        <w:rPr>
          <w:noProof/>
        </w:rPr>
        <w:t xml:space="preserve">(presented in </w:t>
      </w:r>
      <w:hyperlink w:anchor="_Sub-problem_2.3:_Sustainability" w:history="1">
        <w:r w:rsidRPr="009B5734">
          <w:rPr>
            <w:rStyle w:val="Hyperlink"/>
            <w:noProof/>
          </w:rPr>
          <w:t>Annex 9, section 2.5</w:t>
        </w:r>
      </w:hyperlink>
      <w:r w:rsidRPr="009B5734">
        <w:rPr>
          <w:noProof/>
        </w:rPr>
        <w:t>)</w:t>
      </w:r>
      <w:r>
        <w:rPr>
          <w:noProof/>
        </w:rPr>
        <w:t xml:space="preserve">, as detailed per sub-problem in </w:t>
      </w:r>
      <w:hyperlink w:anchor="_What_are_the_2" w:history="1">
        <w:r w:rsidRPr="00F11DA8">
          <w:rPr>
            <w:rStyle w:val="Hyperlink"/>
            <w:noProof/>
          </w:rPr>
          <w:t>Section 6</w:t>
        </w:r>
      </w:hyperlink>
      <w:r>
        <w:rPr>
          <w:noProof/>
        </w:rPr>
        <w:t xml:space="preserve"> above, </w:t>
      </w:r>
      <w:r w:rsidRPr="008D65D2">
        <w:rPr>
          <w:b/>
          <w:noProof/>
        </w:rPr>
        <w:t>was always selected</w:t>
      </w:r>
      <w:r>
        <w:rPr>
          <w:b/>
          <w:noProof/>
        </w:rPr>
        <w:t xml:space="preserve"> as the preferred policy option</w:t>
      </w:r>
      <w:r>
        <w:rPr>
          <w:noProof/>
        </w:rPr>
        <w:t xml:space="preserve">. As well as this quantitative analysis, the proportionality and qualitative impact of each of the preferred policy options, as detailed per sub-problem in </w:t>
      </w:r>
      <w:hyperlink w:anchor="_What_are_the_2" w:history="1">
        <w:r w:rsidRPr="00F11DA8">
          <w:rPr>
            <w:rStyle w:val="Hyperlink"/>
            <w:noProof/>
          </w:rPr>
          <w:t>Section 6</w:t>
        </w:r>
      </w:hyperlink>
      <w:r>
        <w:rPr>
          <w:noProof/>
        </w:rPr>
        <w:t xml:space="preserve"> above, was always considered in the identification of the preferred policy options.</w:t>
      </w:r>
    </w:p>
    <w:p w:rsidR="00E26C47" w:rsidRPr="009B5734" w:rsidRDefault="00CF3234" w:rsidP="007E07F9">
      <w:pPr>
        <w:pStyle w:val="BTNumbList"/>
        <w:rPr>
          <w:rFonts w:ascii="Times New Roman" w:hAnsi="Times New Roman"/>
          <w:noProof/>
          <w:sz w:val="24"/>
          <w:highlight w:val="yellow"/>
        </w:rPr>
      </w:pPr>
      <w:r w:rsidRPr="009B5734">
        <w:rPr>
          <w:rFonts w:ascii="Times New Roman" w:hAnsi="Times New Roman"/>
          <w:noProof/>
          <w:sz w:val="24"/>
        </w:rPr>
        <w:t xml:space="preserve">In relation to </w:t>
      </w:r>
      <w:r w:rsidRPr="009B5734">
        <w:rPr>
          <w:rFonts w:ascii="Times New Roman" w:hAnsi="Times New Roman"/>
          <w:b/>
          <w:noProof/>
          <w:sz w:val="24"/>
        </w:rPr>
        <w:t>sub-problem 1.1</w:t>
      </w:r>
      <w:r w:rsidRPr="009B5734">
        <w:rPr>
          <w:rFonts w:ascii="Times New Roman" w:hAnsi="Times New Roman"/>
          <w:noProof/>
          <w:sz w:val="24"/>
        </w:rPr>
        <w:t xml:space="preserve"> (lack of </w:t>
      </w:r>
      <w:r w:rsidR="00D60C0B" w:rsidRPr="009B5734">
        <w:rPr>
          <w:rFonts w:ascii="Times New Roman" w:hAnsi="Times New Roman"/>
          <w:noProof/>
          <w:sz w:val="24"/>
        </w:rPr>
        <w:t xml:space="preserve">reliable </w:t>
      </w:r>
      <w:r w:rsidRPr="009B5734">
        <w:rPr>
          <w:rFonts w:ascii="Times New Roman" w:hAnsi="Times New Roman"/>
          <w:noProof/>
          <w:sz w:val="24"/>
        </w:rPr>
        <w:t>information on product’s environmental characteristics</w:t>
      </w:r>
      <w:r w:rsidR="00C12691" w:rsidRPr="009B5734">
        <w:rPr>
          <w:rFonts w:ascii="Times New Roman" w:hAnsi="Times New Roman"/>
          <w:noProof/>
          <w:sz w:val="24"/>
        </w:rPr>
        <w:t xml:space="preserve"> at the point of sale</w:t>
      </w:r>
      <w:r w:rsidRPr="009B5734">
        <w:rPr>
          <w:rFonts w:ascii="Times New Roman" w:hAnsi="Times New Roman"/>
          <w:noProof/>
          <w:sz w:val="24"/>
        </w:rPr>
        <w:t xml:space="preserve">), </w:t>
      </w:r>
      <w:r w:rsidR="00A961F5" w:rsidRPr="009B5734">
        <w:rPr>
          <w:rFonts w:ascii="Times New Roman" w:hAnsi="Times New Roman"/>
          <w:noProof/>
          <w:sz w:val="24"/>
        </w:rPr>
        <w:t>all options have been discarded at an early stage</w:t>
      </w:r>
      <w:r w:rsidR="00E26C47" w:rsidRPr="009B5734">
        <w:rPr>
          <w:rFonts w:ascii="Times New Roman" w:hAnsi="Times New Roman"/>
          <w:noProof/>
          <w:sz w:val="24"/>
        </w:rPr>
        <w:t xml:space="preserve"> as</w:t>
      </w:r>
      <w:r w:rsidR="00A961F5" w:rsidRPr="009B5734">
        <w:rPr>
          <w:rFonts w:ascii="Times New Roman" w:hAnsi="Times New Roman"/>
          <w:noProof/>
          <w:sz w:val="24"/>
        </w:rPr>
        <w:t xml:space="preserve"> </w:t>
      </w:r>
      <w:r w:rsidR="00E26C47" w:rsidRPr="009B5734">
        <w:rPr>
          <w:rFonts w:ascii="Times New Roman" w:hAnsi="Times New Roman"/>
          <w:noProof/>
          <w:sz w:val="24"/>
        </w:rPr>
        <w:t>their added value could not be demonstrated</w:t>
      </w:r>
      <w:r w:rsidR="00493812" w:rsidRPr="009B5734">
        <w:rPr>
          <w:rFonts w:ascii="Times New Roman" w:hAnsi="Times New Roman"/>
          <w:noProof/>
          <w:sz w:val="24"/>
        </w:rPr>
        <w:t>,</w:t>
      </w:r>
      <w:r w:rsidR="00195B50" w:rsidRPr="009B5734">
        <w:rPr>
          <w:rFonts w:ascii="Times New Roman" w:hAnsi="Times New Roman"/>
          <w:noProof/>
          <w:sz w:val="24"/>
        </w:rPr>
        <w:t xml:space="preserve"> and </w:t>
      </w:r>
      <w:r w:rsidR="00E26C47" w:rsidRPr="009B5734">
        <w:rPr>
          <w:rFonts w:ascii="Times New Roman" w:hAnsi="Times New Roman"/>
          <w:noProof/>
          <w:sz w:val="24"/>
        </w:rPr>
        <w:t>the measures taken under the Green Claims Initiative and the S</w:t>
      </w:r>
      <w:r w:rsidR="0034794E" w:rsidRPr="009B5734">
        <w:rPr>
          <w:rFonts w:ascii="Times New Roman" w:hAnsi="Times New Roman"/>
          <w:noProof/>
          <w:sz w:val="24"/>
        </w:rPr>
        <w:t xml:space="preserve">ustainable </w:t>
      </w:r>
      <w:r w:rsidR="00E26C47" w:rsidRPr="009B5734">
        <w:rPr>
          <w:rFonts w:ascii="Times New Roman" w:hAnsi="Times New Roman"/>
          <w:noProof/>
          <w:sz w:val="24"/>
        </w:rPr>
        <w:t>P</w:t>
      </w:r>
      <w:r w:rsidR="0034794E" w:rsidRPr="009B5734">
        <w:rPr>
          <w:rFonts w:ascii="Times New Roman" w:hAnsi="Times New Roman"/>
          <w:noProof/>
          <w:sz w:val="24"/>
        </w:rPr>
        <w:t>roducts</w:t>
      </w:r>
      <w:r w:rsidR="00E26C47" w:rsidRPr="009B5734">
        <w:rPr>
          <w:rFonts w:ascii="Times New Roman" w:hAnsi="Times New Roman"/>
          <w:noProof/>
          <w:sz w:val="24"/>
        </w:rPr>
        <w:t xml:space="preserve"> </w:t>
      </w:r>
      <w:r w:rsidR="00BA2AFE" w:rsidRPr="009B5734">
        <w:rPr>
          <w:rFonts w:ascii="Times New Roman" w:hAnsi="Times New Roman"/>
          <w:noProof/>
          <w:sz w:val="24"/>
        </w:rPr>
        <w:t>I</w:t>
      </w:r>
      <w:r w:rsidR="00E26C47" w:rsidRPr="009B5734">
        <w:rPr>
          <w:rFonts w:ascii="Times New Roman" w:hAnsi="Times New Roman"/>
          <w:noProof/>
          <w:sz w:val="24"/>
        </w:rPr>
        <w:t xml:space="preserve">nitiative </w:t>
      </w:r>
      <w:r w:rsidR="00493812" w:rsidRPr="009B5734">
        <w:rPr>
          <w:rFonts w:ascii="Times New Roman" w:hAnsi="Times New Roman"/>
          <w:noProof/>
          <w:sz w:val="24"/>
        </w:rPr>
        <w:t xml:space="preserve">are </w:t>
      </w:r>
      <w:r w:rsidR="00E26C47" w:rsidRPr="009B5734">
        <w:rPr>
          <w:rFonts w:ascii="Times New Roman" w:hAnsi="Times New Roman"/>
          <w:noProof/>
          <w:sz w:val="24"/>
        </w:rPr>
        <w:t>expected to reduce</w:t>
      </w:r>
      <w:r w:rsidR="00195B50" w:rsidRPr="009B5734" w:rsidDel="00493812">
        <w:rPr>
          <w:rFonts w:ascii="Times New Roman" w:hAnsi="Times New Roman"/>
          <w:noProof/>
          <w:sz w:val="24"/>
        </w:rPr>
        <w:t xml:space="preserve"> </w:t>
      </w:r>
      <w:r w:rsidR="00195B50" w:rsidRPr="009B5734">
        <w:rPr>
          <w:rFonts w:ascii="Times New Roman" w:hAnsi="Times New Roman"/>
          <w:noProof/>
          <w:sz w:val="24"/>
        </w:rPr>
        <w:t>this sub-problem</w:t>
      </w:r>
      <w:r w:rsidR="00493812" w:rsidRPr="009B5734">
        <w:rPr>
          <w:rFonts w:ascii="Times New Roman" w:hAnsi="Times New Roman"/>
          <w:noProof/>
          <w:sz w:val="24"/>
        </w:rPr>
        <w:t xml:space="preserve"> significantly</w:t>
      </w:r>
      <w:r w:rsidR="00E26C47" w:rsidRPr="009B5734">
        <w:rPr>
          <w:noProof/>
        </w:rPr>
        <w:t>.</w:t>
      </w:r>
      <w:r w:rsidR="00E26C47" w:rsidRPr="009B5734">
        <w:rPr>
          <w:rFonts w:ascii="Times New Roman" w:hAnsi="Times New Roman"/>
          <w:b/>
          <w:noProof/>
          <w:sz w:val="24"/>
        </w:rPr>
        <w:t xml:space="preserve"> </w:t>
      </w:r>
    </w:p>
    <w:p w:rsidR="00A961F5" w:rsidRPr="00946905" w:rsidRDefault="00061EF2" w:rsidP="000A7FB4">
      <w:pPr>
        <w:pStyle w:val="BTNumbList"/>
        <w:rPr>
          <w:rFonts w:ascii="Times New Roman" w:hAnsi="Times New Roman"/>
          <w:noProof/>
          <w:sz w:val="24"/>
        </w:rPr>
      </w:pPr>
      <w:r w:rsidRPr="009B5734">
        <w:rPr>
          <w:rFonts w:ascii="Times New Roman" w:hAnsi="Times New Roman"/>
          <w:noProof/>
          <w:sz w:val="24"/>
        </w:rPr>
        <w:t xml:space="preserve">In </w:t>
      </w:r>
      <w:r w:rsidR="00887300" w:rsidRPr="009B5734">
        <w:rPr>
          <w:rFonts w:ascii="Times New Roman" w:hAnsi="Times New Roman"/>
          <w:noProof/>
          <w:sz w:val="24"/>
        </w:rPr>
        <w:t xml:space="preserve">relation to </w:t>
      </w:r>
      <w:r w:rsidR="00887300" w:rsidRPr="00946905">
        <w:rPr>
          <w:rFonts w:ascii="Times New Roman" w:hAnsi="Times New Roman"/>
          <w:b/>
          <w:noProof/>
          <w:sz w:val="24"/>
        </w:rPr>
        <w:t>sub-problem 1.2</w:t>
      </w:r>
      <w:r w:rsidR="00887300" w:rsidRPr="009B5734">
        <w:rPr>
          <w:rFonts w:ascii="Times New Roman" w:hAnsi="Times New Roman"/>
          <w:noProof/>
          <w:sz w:val="24"/>
        </w:rPr>
        <w:t xml:space="preserve"> (</w:t>
      </w:r>
      <w:r w:rsidRPr="009B5734">
        <w:rPr>
          <w:rFonts w:ascii="Times New Roman" w:hAnsi="Times New Roman"/>
          <w:noProof/>
          <w:sz w:val="24"/>
        </w:rPr>
        <w:t xml:space="preserve">the lack of </w:t>
      </w:r>
      <w:r w:rsidR="00830EE1" w:rsidRPr="009B5734">
        <w:rPr>
          <w:rFonts w:ascii="Times New Roman" w:hAnsi="Times New Roman"/>
          <w:noProof/>
          <w:sz w:val="24"/>
        </w:rPr>
        <w:t xml:space="preserve">reliable </w:t>
      </w:r>
      <w:r w:rsidRPr="009B5734">
        <w:rPr>
          <w:rFonts w:ascii="Times New Roman" w:hAnsi="Times New Roman"/>
          <w:noProof/>
          <w:sz w:val="24"/>
        </w:rPr>
        <w:t>information on product</w:t>
      </w:r>
      <w:r w:rsidR="00A517AF" w:rsidRPr="009B5734">
        <w:rPr>
          <w:rFonts w:ascii="Times New Roman" w:hAnsi="Times New Roman"/>
          <w:noProof/>
          <w:sz w:val="24"/>
        </w:rPr>
        <w:t>s’</w:t>
      </w:r>
      <w:r w:rsidRPr="009B5734">
        <w:rPr>
          <w:rFonts w:ascii="Times New Roman" w:hAnsi="Times New Roman"/>
          <w:noProof/>
          <w:sz w:val="24"/>
        </w:rPr>
        <w:t xml:space="preserve"> lifespan</w:t>
      </w:r>
      <w:r w:rsidR="00C12691" w:rsidRPr="009B5734">
        <w:rPr>
          <w:rFonts w:ascii="Times New Roman" w:hAnsi="Times New Roman"/>
          <w:noProof/>
          <w:sz w:val="24"/>
        </w:rPr>
        <w:t xml:space="preserve"> at the point of sale</w:t>
      </w:r>
      <w:r w:rsidR="00887300" w:rsidRPr="009B5734">
        <w:rPr>
          <w:rFonts w:ascii="Times New Roman" w:hAnsi="Times New Roman"/>
          <w:noProof/>
          <w:sz w:val="24"/>
        </w:rPr>
        <w:t>)</w:t>
      </w:r>
      <w:r w:rsidRPr="009B5734">
        <w:rPr>
          <w:rFonts w:ascii="Times New Roman" w:hAnsi="Times New Roman"/>
          <w:noProof/>
          <w:sz w:val="24"/>
        </w:rPr>
        <w:t>,</w:t>
      </w:r>
      <w:r w:rsidR="00A517AF" w:rsidRPr="009B5734">
        <w:rPr>
          <w:rFonts w:ascii="Times New Roman" w:hAnsi="Times New Roman"/>
          <w:noProof/>
          <w:sz w:val="24"/>
        </w:rPr>
        <w:t xml:space="preserve"> </w:t>
      </w:r>
      <w:r w:rsidR="00A517AF" w:rsidRPr="00946905">
        <w:rPr>
          <w:rFonts w:ascii="Times New Roman" w:hAnsi="Times New Roman"/>
          <w:b/>
          <w:noProof/>
          <w:sz w:val="24"/>
        </w:rPr>
        <w:t xml:space="preserve">option 1.2.C </w:t>
      </w:r>
      <w:r w:rsidR="00A517AF" w:rsidRPr="009B5734">
        <w:rPr>
          <w:rFonts w:ascii="Times New Roman" w:hAnsi="Times New Roman"/>
          <w:noProof/>
          <w:sz w:val="24"/>
        </w:rPr>
        <w:t>will be selected as the preferred policy option, namely</w:t>
      </w:r>
      <w:r w:rsidRPr="009B5734">
        <w:rPr>
          <w:rFonts w:ascii="Times New Roman" w:hAnsi="Times New Roman"/>
          <w:noProof/>
          <w:sz w:val="24"/>
        </w:rPr>
        <w:t xml:space="preserve"> </w:t>
      </w:r>
      <w:r w:rsidRPr="00946905">
        <w:rPr>
          <w:rFonts w:ascii="Times New Roman" w:hAnsi="Times New Roman"/>
          <w:b/>
          <w:noProof/>
          <w:sz w:val="24"/>
        </w:rPr>
        <w:t xml:space="preserve">the </w:t>
      </w:r>
      <w:r w:rsidR="00887300" w:rsidRPr="004B3141">
        <w:rPr>
          <w:rFonts w:ascii="Times New Roman" w:hAnsi="Times New Roman"/>
          <w:b/>
          <w:noProof/>
          <w:sz w:val="24"/>
        </w:rPr>
        <w:t xml:space="preserve">provision of information on the existence </w:t>
      </w:r>
      <w:r w:rsidR="00195B50" w:rsidRPr="528A0238">
        <w:rPr>
          <w:rFonts w:ascii="Times New Roman" w:hAnsi="Times New Roman"/>
          <w:b/>
          <w:noProof/>
          <w:sz w:val="24"/>
        </w:rPr>
        <w:t>or absence</w:t>
      </w:r>
      <w:r w:rsidR="00887300" w:rsidRPr="528A0238">
        <w:rPr>
          <w:rFonts w:ascii="Times New Roman" w:hAnsi="Times New Roman"/>
          <w:b/>
          <w:noProof/>
          <w:sz w:val="24"/>
        </w:rPr>
        <w:t xml:space="preserve"> of a </w:t>
      </w:r>
      <w:r w:rsidR="00195B50" w:rsidRPr="528A0238">
        <w:rPr>
          <w:rFonts w:ascii="Times New Roman" w:hAnsi="Times New Roman"/>
          <w:b/>
          <w:noProof/>
          <w:sz w:val="24"/>
        </w:rPr>
        <w:t xml:space="preserve">producer’s </w:t>
      </w:r>
      <w:r w:rsidR="00887300" w:rsidRPr="528A0238">
        <w:rPr>
          <w:rFonts w:ascii="Times New Roman" w:hAnsi="Times New Roman"/>
          <w:b/>
          <w:noProof/>
          <w:sz w:val="24"/>
        </w:rPr>
        <w:t>commercial guarantee</w:t>
      </w:r>
      <w:r w:rsidR="00195B50" w:rsidRPr="528A0238">
        <w:rPr>
          <w:rFonts w:ascii="Times New Roman" w:hAnsi="Times New Roman"/>
          <w:b/>
          <w:noProof/>
          <w:sz w:val="24"/>
        </w:rPr>
        <w:t xml:space="preserve"> of durability and of the period of time during which free software updates are provided</w:t>
      </w:r>
      <w:r w:rsidR="00A517AF" w:rsidRPr="528A0238">
        <w:rPr>
          <w:rFonts w:ascii="Times New Roman" w:hAnsi="Times New Roman"/>
          <w:b/>
          <w:noProof/>
          <w:sz w:val="24"/>
        </w:rPr>
        <w:t>,</w:t>
      </w:r>
      <w:r w:rsidR="00A21FF5" w:rsidRPr="009B5734">
        <w:rPr>
          <w:rFonts w:ascii="Times New Roman" w:hAnsi="Times New Roman"/>
          <w:noProof/>
          <w:sz w:val="24"/>
        </w:rPr>
        <w:t xml:space="preserve"> </w:t>
      </w:r>
      <w:r w:rsidR="00BD2CF6" w:rsidRPr="009B5734">
        <w:rPr>
          <w:rFonts w:ascii="Times New Roman" w:hAnsi="Times New Roman"/>
          <w:noProof/>
          <w:sz w:val="24"/>
        </w:rPr>
        <w:t xml:space="preserve">for a medium product scope (i.e. all energy-using </w:t>
      </w:r>
      <w:r w:rsidR="00902485" w:rsidRPr="009B5734">
        <w:rPr>
          <w:rFonts w:ascii="Times New Roman" w:hAnsi="Times New Roman"/>
          <w:noProof/>
          <w:sz w:val="24"/>
        </w:rPr>
        <w:t>goods</w:t>
      </w:r>
      <w:r w:rsidR="00BD2CF6" w:rsidRPr="009B5734">
        <w:rPr>
          <w:rFonts w:ascii="Times New Roman" w:hAnsi="Times New Roman"/>
          <w:noProof/>
          <w:sz w:val="24"/>
        </w:rPr>
        <w:t>)</w:t>
      </w:r>
      <w:r w:rsidR="00EE020A" w:rsidRPr="009B5734">
        <w:rPr>
          <w:rFonts w:ascii="Times New Roman" w:hAnsi="Times New Roman"/>
          <w:noProof/>
          <w:sz w:val="24"/>
        </w:rPr>
        <w:t xml:space="preserve">, to be </w:t>
      </w:r>
      <w:r w:rsidR="00682BBC" w:rsidRPr="009B5734">
        <w:rPr>
          <w:rFonts w:ascii="Times New Roman" w:hAnsi="Times New Roman"/>
          <w:noProof/>
          <w:sz w:val="24"/>
        </w:rPr>
        <w:t>achieved</w:t>
      </w:r>
      <w:r w:rsidR="00EE020A" w:rsidRPr="009B5734">
        <w:rPr>
          <w:rFonts w:ascii="Times New Roman" w:hAnsi="Times New Roman"/>
          <w:noProof/>
          <w:sz w:val="24"/>
        </w:rPr>
        <w:t xml:space="preserve"> </w:t>
      </w:r>
      <w:r w:rsidR="00BA6D7D" w:rsidRPr="009B5734">
        <w:rPr>
          <w:rFonts w:ascii="Times New Roman" w:hAnsi="Times New Roman"/>
          <w:noProof/>
          <w:sz w:val="24"/>
        </w:rPr>
        <w:t>via targeted amendments of the Consumer Rights Directive</w:t>
      </w:r>
      <w:r w:rsidRPr="009B5734">
        <w:rPr>
          <w:rFonts w:ascii="Times New Roman" w:hAnsi="Times New Roman"/>
          <w:noProof/>
          <w:sz w:val="24"/>
        </w:rPr>
        <w:t xml:space="preserve">. The </w:t>
      </w:r>
      <w:r w:rsidR="00C9566C" w:rsidRPr="009B5734">
        <w:rPr>
          <w:rFonts w:ascii="Times New Roman" w:hAnsi="Times New Roman"/>
          <w:noProof/>
          <w:sz w:val="24"/>
        </w:rPr>
        <w:t>option</w:t>
      </w:r>
      <w:r w:rsidRPr="009B5734">
        <w:rPr>
          <w:rFonts w:ascii="Times New Roman" w:hAnsi="Times New Roman"/>
          <w:noProof/>
          <w:sz w:val="24"/>
        </w:rPr>
        <w:t xml:space="preserve"> will </w:t>
      </w:r>
      <w:r w:rsidR="007A1284" w:rsidRPr="009B5734">
        <w:rPr>
          <w:rFonts w:ascii="Times New Roman" w:hAnsi="Times New Roman"/>
          <w:noProof/>
          <w:sz w:val="24"/>
        </w:rPr>
        <w:t>guide</w:t>
      </w:r>
      <w:r w:rsidRPr="009B5734">
        <w:rPr>
          <w:rFonts w:ascii="Times New Roman" w:hAnsi="Times New Roman"/>
          <w:noProof/>
          <w:sz w:val="24"/>
        </w:rPr>
        <w:t xml:space="preserve"> consumers towards products that last longer, thereby having positive impacts on the environment. </w:t>
      </w:r>
      <w:r w:rsidR="00A7023E" w:rsidRPr="009B5734">
        <w:rPr>
          <w:rFonts w:ascii="Times New Roman" w:hAnsi="Times New Roman"/>
          <w:noProof/>
          <w:sz w:val="24"/>
        </w:rPr>
        <w:t>The impact on businesses of informing consumers on the commercial guarantees</w:t>
      </w:r>
      <w:r w:rsidR="00195B50" w:rsidRPr="009B5734">
        <w:rPr>
          <w:rFonts w:ascii="Times New Roman" w:hAnsi="Times New Roman"/>
          <w:noProof/>
          <w:sz w:val="24"/>
        </w:rPr>
        <w:t xml:space="preserve"> and on the period of software updates</w:t>
      </w:r>
      <w:r w:rsidR="00A7023E" w:rsidRPr="009B5734">
        <w:rPr>
          <w:rFonts w:ascii="Times New Roman" w:hAnsi="Times New Roman"/>
          <w:noProof/>
          <w:sz w:val="24"/>
        </w:rPr>
        <w:t xml:space="preserve"> </w:t>
      </w:r>
      <w:r w:rsidR="000A40D7" w:rsidRPr="009B5734">
        <w:rPr>
          <w:rFonts w:ascii="Times New Roman" w:hAnsi="Times New Roman"/>
          <w:noProof/>
          <w:sz w:val="24"/>
        </w:rPr>
        <w:t>will</w:t>
      </w:r>
      <w:r w:rsidR="004E0677" w:rsidRPr="009B5734">
        <w:rPr>
          <w:rFonts w:ascii="Times New Roman" w:hAnsi="Times New Roman"/>
          <w:noProof/>
          <w:sz w:val="24"/>
        </w:rPr>
        <w:t xml:space="preserve"> </w:t>
      </w:r>
      <w:r w:rsidR="00A7023E" w:rsidRPr="009B5734">
        <w:rPr>
          <w:rFonts w:ascii="Times New Roman" w:hAnsi="Times New Roman"/>
          <w:noProof/>
          <w:sz w:val="24"/>
        </w:rPr>
        <w:t xml:space="preserve">be limited as they will still be free </w:t>
      </w:r>
      <w:r w:rsidR="007A1284" w:rsidRPr="009B5734">
        <w:rPr>
          <w:rFonts w:ascii="Times New Roman" w:hAnsi="Times New Roman"/>
          <w:noProof/>
          <w:sz w:val="24"/>
        </w:rPr>
        <w:t xml:space="preserve">to decide </w:t>
      </w:r>
      <w:r w:rsidR="00A7023E" w:rsidRPr="009B5734">
        <w:rPr>
          <w:rFonts w:ascii="Times New Roman" w:hAnsi="Times New Roman"/>
          <w:noProof/>
          <w:sz w:val="24"/>
        </w:rPr>
        <w:t>whether or not to offer s</w:t>
      </w:r>
      <w:r w:rsidR="007A1284" w:rsidRPr="009B5734">
        <w:rPr>
          <w:rFonts w:ascii="Times New Roman" w:hAnsi="Times New Roman"/>
          <w:noProof/>
          <w:sz w:val="24"/>
        </w:rPr>
        <w:t>u</w:t>
      </w:r>
      <w:r w:rsidR="00A7023E" w:rsidRPr="009B5734">
        <w:rPr>
          <w:rFonts w:ascii="Times New Roman" w:hAnsi="Times New Roman"/>
          <w:noProof/>
          <w:sz w:val="24"/>
        </w:rPr>
        <w:t>ch guarantees</w:t>
      </w:r>
      <w:r w:rsidR="00C12691" w:rsidRPr="009B5734">
        <w:rPr>
          <w:rFonts w:ascii="Times New Roman" w:hAnsi="Times New Roman"/>
          <w:noProof/>
          <w:sz w:val="24"/>
        </w:rPr>
        <w:t xml:space="preserve"> or</w:t>
      </w:r>
      <w:r w:rsidR="00195B50" w:rsidRPr="009B5734">
        <w:rPr>
          <w:rFonts w:ascii="Times New Roman" w:hAnsi="Times New Roman"/>
          <w:noProof/>
          <w:sz w:val="24"/>
        </w:rPr>
        <w:t xml:space="preserve"> such </w:t>
      </w:r>
      <w:r w:rsidR="00EE020A" w:rsidRPr="009B5734">
        <w:rPr>
          <w:rFonts w:ascii="Times New Roman" w:hAnsi="Times New Roman"/>
          <w:noProof/>
          <w:sz w:val="24"/>
        </w:rPr>
        <w:t xml:space="preserve">a </w:t>
      </w:r>
      <w:r w:rsidR="00195B50" w:rsidRPr="009B5734">
        <w:rPr>
          <w:rFonts w:ascii="Times New Roman" w:hAnsi="Times New Roman"/>
          <w:noProof/>
          <w:sz w:val="24"/>
        </w:rPr>
        <w:t xml:space="preserve">period of </w:t>
      </w:r>
      <w:r w:rsidR="00C12691" w:rsidRPr="009B5734">
        <w:rPr>
          <w:rFonts w:ascii="Times New Roman" w:hAnsi="Times New Roman"/>
          <w:noProof/>
          <w:sz w:val="24"/>
        </w:rPr>
        <w:t xml:space="preserve">free </w:t>
      </w:r>
      <w:r w:rsidR="00195B50" w:rsidRPr="009B5734">
        <w:rPr>
          <w:rFonts w:ascii="Times New Roman" w:hAnsi="Times New Roman"/>
          <w:noProof/>
          <w:sz w:val="24"/>
        </w:rPr>
        <w:t>software updates</w:t>
      </w:r>
      <w:r w:rsidR="00A7023E" w:rsidRPr="009B5734">
        <w:rPr>
          <w:rFonts w:ascii="Times New Roman" w:hAnsi="Times New Roman"/>
          <w:noProof/>
          <w:sz w:val="24"/>
        </w:rPr>
        <w:t xml:space="preserve">. </w:t>
      </w:r>
      <w:r w:rsidR="00A961F5" w:rsidRPr="009B5734">
        <w:rPr>
          <w:rFonts w:ascii="Times New Roman" w:hAnsi="Times New Roman"/>
          <w:noProof/>
          <w:sz w:val="24"/>
        </w:rPr>
        <w:t>Th</w:t>
      </w:r>
      <w:r w:rsidR="00195B50" w:rsidRPr="009B5734">
        <w:rPr>
          <w:rFonts w:ascii="Times New Roman" w:hAnsi="Times New Roman"/>
          <w:noProof/>
          <w:sz w:val="24"/>
        </w:rPr>
        <w:t xml:space="preserve">e complementarity with the SPI </w:t>
      </w:r>
      <w:r w:rsidR="00B50EA9" w:rsidRPr="009B5734">
        <w:rPr>
          <w:rFonts w:ascii="Times New Roman" w:hAnsi="Times New Roman"/>
          <w:noProof/>
          <w:sz w:val="24"/>
        </w:rPr>
        <w:t xml:space="preserve">is </w:t>
      </w:r>
      <w:r w:rsidR="00195B50" w:rsidRPr="009B5734">
        <w:rPr>
          <w:rFonts w:ascii="Times New Roman" w:hAnsi="Times New Roman"/>
          <w:noProof/>
          <w:sz w:val="24"/>
        </w:rPr>
        <w:t xml:space="preserve">ensured, as the </w:t>
      </w:r>
      <w:r w:rsidR="00EE3068" w:rsidRPr="009B5734">
        <w:rPr>
          <w:rFonts w:ascii="Times New Roman" w:hAnsi="Times New Roman"/>
          <w:noProof/>
          <w:sz w:val="24"/>
        </w:rPr>
        <w:t xml:space="preserve">“guaranteed lifespan” </w:t>
      </w:r>
      <w:r w:rsidR="00195B50" w:rsidRPr="009B5734">
        <w:rPr>
          <w:rFonts w:ascii="Times New Roman" w:hAnsi="Times New Roman"/>
          <w:noProof/>
          <w:sz w:val="24"/>
        </w:rPr>
        <w:t xml:space="preserve">information under this option </w:t>
      </w:r>
      <w:r w:rsidR="00A961F5" w:rsidRPr="009B5734">
        <w:rPr>
          <w:rFonts w:ascii="Times New Roman" w:hAnsi="Times New Roman"/>
          <w:noProof/>
          <w:sz w:val="24"/>
        </w:rPr>
        <w:t xml:space="preserve">may be complemented in the future </w:t>
      </w:r>
      <w:r w:rsidR="00EE020A" w:rsidRPr="009B5734">
        <w:rPr>
          <w:rFonts w:ascii="Times New Roman" w:hAnsi="Times New Roman"/>
          <w:noProof/>
          <w:sz w:val="24"/>
        </w:rPr>
        <w:t xml:space="preserve">under the SPI </w:t>
      </w:r>
      <w:r w:rsidR="00A961F5" w:rsidRPr="009B5734">
        <w:rPr>
          <w:rFonts w:ascii="Times New Roman" w:hAnsi="Times New Roman"/>
          <w:noProof/>
          <w:sz w:val="24"/>
        </w:rPr>
        <w:t xml:space="preserve">with </w:t>
      </w:r>
      <w:r w:rsidR="00CD2461" w:rsidRPr="009B5734">
        <w:rPr>
          <w:rFonts w:ascii="Times New Roman" w:hAnsi="Times New Roman"/>
          <w:noProof/>
          <w:sz w:val="24"/>
        </w:rPr>
        <w:t xml:space="preserve">other </w:t>
      </w:r>
      <w:r w:rsidR="00A961F5" w:rsidRPr="009B5734">
        <w:rPr>
          <w:rFonts w:ascii="Times New Roman" w:hAnsi="Times New Roman"/>
          <w:noProof/>
          <w:sz w:val="24"/>
        </w:rPr>
        <w:t>information requirements</w:t>
      </w:r>
      <w:r w:rsidR="00EE3068" w:rsidRPr="009B5734">
        <w:rPr>
          <w:rFonts w:ascii="Times New Roman" w:hAnsi="Times New Roman"/>
          <w:noProof/>
          <w:sz w:val="24"/>
        </w:rPr>
        <w:t xml:space="preserve"> (e.g. “expected/estimated lifespan”, which may be longer than the “guaranteed lifetime</w:t>
      </w:r>
      <w:r w:rsidR="00EE020A" w:rsidRPr="009B5734">
        <w:rPr>
          <w:rFonts w:ascii="Times New Roman" w:hAnsi="Times New Roman"/>
          <w:noProof/>
          <w:sz w:val="24"/>
        </w:rPr>
        <w:t>”</w:t>
      </w:r>
      <w:r w:rsidR="00EE3068" w:rsidRPr="009B5734">
        <w:rPr>
          <w:rFonts w:ascii="Times New Roman" w:hAnsi="Times New Roman"/>
          <w:noProof/>
          <w:sz w:val="24"/>
        </w:rPr>
        <w:t>)</w:t>
      </w:r>
      <w:r w:rsidR="00A961F5" w:rsidRPr="009B5734">
        <w:rPr>
          <w:rFonts w:ascii="Times New Roman" w:hAnsi="Times New Roman"/>
          <w:noProof/>
          <w:sz w:val="24"/>
        </w:rPr>
        <w:t xml:space="preserve"> when consi</w:t>
      </w:r>
      <w:r w:rsidR="00902485" w:rsidRPr="009B5734">
        <w:rPr>
          <w:rFonts w:ascii="Times New Roman" w:hAnsi="Times New Roman"/>
          <w:noProof/>
          <w:sz w:val="24"/>
        </w:rPr>
        <w:t xml:space="preserve">dered feasible and appropriate </w:t>
      </w:r>
      <w:r w:rsidR="00A961F5" w:rsidRPr="009B5734">
        <w:rPr>
          <w:rFonts w:ascii="Times New Roman" w:hAnsi="Times New Roman"/>
          <w:noProof/>
          <w:sz w:val="24"/>
        </w:rPr>
        <w:t xml:space="preserve">subject to future </w:t>
      </w:r>
      <w:r w:rsidR="528A0238" w:rsidRPr="7F08E6B8">
        <w:rPr>
          <w:rFonts w:ascii="Times New Roman" w:hAnsi="Times New Roman"/>
          <w:noProof/>
          <w:sz w:val="24"/>
        </w:rPr>
        <w:t>I</w:t>
      </w:r>
      <w:r w:rsidR="00A961F5" w:rsidRPr="7F08E6B8">
        <w:rPr>
          <w:rFonts w:ascii="Times New Roman" w:hAnsi="Times New Roman"/>
          <w:noProof/>
          <w:sz w:val="24"/>
        </w:rPr>
        <w:t>mpa</w:t>
      </w:r>
      <w:r w:rsidR="00195B50" w:rsidRPr="7F08E6B8">
        <w:rPr>
          <w:rFonts w:ascii="Times New Roman" w:hAnsi="Times New Roman"/>
          <w:noProof/>
          <w:sz w:val="24"/>
        </w:rPr>
        <w:t xml:space="preserve">ct </w:t>
      </w:r>
      <w:r w:rsidR="528A0238" w:rsidRPr="7F08E6B8">
        <w:rPr>
          <w:rFonts w:ascii="Times New Roman" w:hAnsi="Times New Roman"/>
          <w:noProof/>
          <w:sz w:val="24"/>
        </w:rPr>
        <w:t>A</w:t>
      </w:r>
      <w:r w:rsidR="00195B50" w:rsidRPr="009B5734">
        <w:rPr>
          <w:rFonts w:ascii="Times New Roman" w:hAnsi="Times New Roman"/>
          <w:noProof/>
          <w:sz w:val="24"/>
        </w:rPr>
        <w:t xml:space="preserve">ssessments </w:t>
      </w:r>
      <w:r w:rsidR="00706B52">
        <w:rPr>
          <w:rFonts w:ascii="Times New Roman" w:hAnsi="Times New Roman"/>
          <w:noProof/>
          <w:sz w:val="24"/>
        </w:rPr>
        <w:t>related to SPI measures for specific products or groups of products</w:t>
      </w:r>
      <w:r w:rsidR="00A961F5" w:rsidRPr="009B5734">
        <w:rPr>
          <w:rFonts w:ascii="Times New Roman" w:hAnsi="Times New Roman"/>
          <w:noProof/>
          <w:sz w:val="24"/>
        </w:rPr>
        <w:t>.</w:t>
      </w:r>
      <w:r w:rsidR="000A7FB4">
        <w:rPr>
          <w:rFonts w:ascii="Times New Roman" w:hAnsi="Times New Roman"/>
          <w:noProof/>
          <w:sz w:val="24"/>
        </w:rPr>
        <w:t xml:space="preserve"> The p</w:t>
      </w:r>
      <w:r w:rsidR="000A7FB4" w:rsidRPr="000A7FB4">
        <w:rPr>
          <w:rFonts w:ascii="Times New Roman" w:hAnsi="Times New Roman"/>
          <w:noProof/>
          <w:sz w:val="24"/>
        </w:rPr>
        <w:t>roportionality</w:t>
      </w:r>
      <w:r w:rsidR="000A7FB4">
        <w:rPr>
          <w:rFonts w:ascii="Times New Roman" w:hAnsi="Times New Roman"/>
          <w:noProof/>
          <w:sz w:val="24"/>
        </w:rPr>
        <w:t xml:space="preserve"> of the measure as regards the producer’s commercial guarantee of durability</w:t>
      </w:r>
      <w:r w:rsidR="000A7FB4" w:rsidRPr="000A7FB4">
        <w:rPr>
          <w:rFonts w:ascii="Times New Roman" w:hAnsi="Times New Roman"/>
          <w:noProof/>
          <w:sz w:val="24"/>
        </w:rPr>
        <w:t xml:space="preserve"> is ensured by confining the scope of the measure to energy-using goods, thus ensuring that traders are only subject to this requirement in relation to goods for which durability can be reliably estimated and about which consumers are mostly interested to receive information. Moreover, proportionality is ensured by allowing flexibility for the producer to decide on whether or not to offer a commercial guarantee of durability, and for what duration, depending on the producer’s</w:t>
      </w:r>
      <w:r w:rsidR="000A7FB4">
        <w:rPr>
          <w:rFonts w:ascii="Times New Roman" w:hAnsi="Times New Roman"/>
          <w:noProof/>
          <w:sz w:val="24"/>
        </w:rPr>
        <w:t xml:space="preserve"> </w:t>
      </w:r>
      <w:r w:rsidR="000A7FB4" w:rsidRPr="000A7FB4">
        <w:rPr>
          <w:rFonts w:ascii="Times New Roman" w:hAnsi="Times New Roman"/>
          <w:noProof/>
          <w:sz w:val="24"/>
        </w:rPr>
        <w:t>business strategy, the interaction between the seller and the producer, and the needs of the consumers in a given market o</w:t>
      </w:r>
      <w:r w:rsidR="000A7FB4">
        <w:rPr>
          <w:rFonts w:ascii="Times New Roman" w:hAnsi="Times New Roman"/>
          <w:noProof/>
          <w:sz w:val="24"/>
        </w:rPr>
        <w:t>r for a given product category</w:t>
      </w:r>
      <w:r w:rsidR="000A7FB4" w:rsidRPr="000A7FB4">
        <w:rPr>
          <w:rFonts w:ascii="Times New Roman" w:hAnsi="Times New Roman"/>
          <w:noProof/>
          <w:sz w:val="24"/>
        </w:rPr>
        <w:t xml:space="preserve">. The costs of these information requirements are expected to be compensated by an increase in the price of the good (as consumers are willing to pay for longer commercial guarantees of durability) and possibly by an increase of demand of </w:t>
      </w:r>
      <w:r w:rsidR="000A7FB4">
        <w:rPr>
          <w:rFonts w:ascii="Times New Roman" w:hAnsi="Times New Roman"/>
          <w:noProof/>
          <w:sz w:val="24"/>
        </w:rPr>
        <w:t xml:space="preserve">those same goods. </w:t>
      </w:r>
      <w:r w:rsidR="000A7FB4" w:rsidRPr="000A7FB4">
        <w:rPr>
          <w:rFonts w:ascii="Times New Roman" w:hAnsi="Times New Roman"/>
          <w:noProof/>
          <w:sz w:val="24"/>
        </w:rPr>
        <w:t xml:space="preserve">On the provision of information on the availability of free software updates, proportionality </w:t>
      </w:r>
      <w:r w:rsidR="000A7FB4">
        <w:rPr>
          <w:rFonts w:ascii="Times New Roman" w:hAnsi="Times New Roman"/>
          <w:noProof/>
          <w:sz w:val="24"/>
        </w:rPr>
        <w:t>will be</w:t>
      </w:r>
      <w:r w:rsidR="000A7FB4" w:rsidRPr="000A7FB4">
        <w:rPr>
          <w:rFonts w:ascii="Times New Roman" w:hAnsi="Times New Roman"/>
          <w:noProof/>
          <w:sz w:val="24"/>
        </w:rPr>
        <w:t xml:space="preserve"> ensured by requiring the provision of information on the existence of such updates only in the cases in which they are provided for a period that is longer than the period for which the producer’s commercial guarantee of durability is provided, and by requiring the provision of information on the absence of such updates according to the provisions of this proposal only in case there is also no information on the producer’s commercial guarantee of durability provided. This ensures that consumers are not subject to an abundance of information, or ‘information overload’, which could lead to confusion and thus interfere with their transactional decision. It also ensures that traders are not subject to unnecessarily burdensome information requirements.</w:t>
      </w:r>
    </w:p>
    <w:p w:rsidR="00902485" w:rsidRPr="00111BFE" w:rsidRDefault="00061EF2">
      <w:pPr>
        <w:pStyle w:val="BTNumbList"/>
        <w:rPr>
          <w:rFonts w:ascii="Times New Roman" w:hAnsi="Times New Roman"/>
          <w:noProof/>
          <w:sz w:val="24"/>
        </w:rPr>
      </w:pPr>
      <w:r w:rsidRPr="7F52AB9A">
        <w:rPr>
          <w:rFonts w:ascii="Times New Roman" w:hAnsi="Times New Roman"/>
          <w:noProof/>
          <w:sz w:val="24"/>
        </w:rPr>
        <w:t>In relation t</w:t>
      </w:r>
      <w:r w:rsidR="00F958E6" w:rsidRPr="7F52AB9A">
        <w:rPr>
          <w:rFonts w:ascii="Times New Roman" w:hAnsi="Times New Roman"/>
          <w:noProof/>
          <w:sz w:val="24"/>
        </w:rPr>
        <w:t xml:space="preserve">o </w:t>
      </w:r>
      <w:r w:rsidR="00F958E6" w:rsidRPr="7F52AB9A">
        <w:rPr>
          <w:rFonts w:ascii="Times New Roman" w:hAnsi="Times New Roman"/>
          <w:b/>
          <w:bCs/>
          <w:noProof/>
          <w:sz w:val="24"/>
        </w:rPr>
        <w:t>sub-problem 1.3</w:t>
      </w:r>
      <w:r w:rsidR="00F958E6" w:rsidRPr="7F52AB9A">
        <w:rPr>
          <w:rFonts w:ascii="Times New Roman" w:hAnsi="Times New Roman"/>
          <w:noProof/>
          <w:sz w:val="24"/>
        </w:rPr>
        <w:t xml:space="preserve"> </w:t>
      </w:r>
      <w:r w:rsidR="00EE020A" w:rsidRPr="7F52AB9A">
        <w:rPr>
          <w:rFonts w:ascii="Times New Roman" w:hAnsi="Times New Roman"/>
          <w:noProof/>
          <w:sz w:val="24"/>
        </w:rPr>
        <w:t>(</w:t>
      </w:r>
      <w:r w:rsidR="00F958E6" w:rsidRPr="7F52AB9A">
        <w:rPr>
          <w:rFonts w:ascii="Times New Roman" w:hAnsi="Times New Roman"/>
          <w:noProof/>
          <w:sz w:val="24"/>
        </w:rPr>
        <w:t xml:space="preserve">lack </w:t>
      </w:r>
      <w:r w:rsidR="00F0190B" w:rsidRPr="7F52AB9A">
        <w:rPr>
          <w:rFonts w:ascii="Times New Roman" w:hAnsi="Times New Roman"/>
          <w:noProof/>
          <w:sz w:val="24"/>
        </w:rPr>
        <w:t xml:space="preserve">of </w:t>
      </w:r>
      <w:r w:rsidR="00830EE1" w:rsidRPr="7F52AB9A">
        <w:rPr>
          <w:rFonts w:ascii="Times New Roman" w:hAnsi="Times New Roman"/>
          <w:noProof/>
          <w:sz w:val="24"/>
        </w:rPr>
        <w:t xml:space="preserve">reliable </w:t>
      </w:r>
      <w:r w:rsidRPr="7F52AB9A">
        <w:rPr>
          <w:rFonts w:ascii="Times New Roman" w:hAnsi="Times New Roman"/>
          <w:noProof/>
          <w:sz w:val="24"/>
        </w:rPr>
        <w:t xml:space="preserve">information </w:t>
      </w:r>
      <w:r w:rsidR="00D04B61" w:rsidRPr="7F52AB9A">
        <w:rPr>
          <w:rFonts w:ascii="Times New Roman" w:hAnsi="Times New Roman"/>
          <w:noProof/>
          <w:sz w:val="24"/>
        </w:rPr>
        <w:t xml:space="preserve">at the point of sale </w:t>
      </w:r>
      <w:r w:rsidRPr="7F52AB9A">
        <w:rPr>
          <w:rFonts w:ascii="Times New Roman" w:hAnsi="Times New Roman"/>
          <w:noProof/>
          <w:sz w:val="24"/>
        </w:rPr>
        <w:t>on products</w:t>
      </w:r>
      <w:r w:rsidR="00D04B61" w:rsidRPr="7F52AB9A">
        <w:rPr>
          <w:rFonts w:ascii="Times New Roman" w:hAnsi="Times New Roman"/>
          <w:noProof/>
          <w:sz w:val="24"/>
        </w:rPr>
        <w:t>’</w:t>
      </w:r>
      <w:r w:rsidRPr="7F52AB9A">
        <w:rPr>
          <w:rFonts w:ascii="Times New Roman" w:hAnsi="Times New Roman"/>
          <w:noProof/>
          <w:sz w:val="24"/>
        </w:rPr>
        <w:t xml:space="preserve"> reparability</w:t>
      </w:r>
      <w:r w:rsidR="00EE020A" w:rsidRPr="7F52AB9A">
        <w:rPr>
          <w:rFonts w:ascii="Times New Roman" w:hAnsi="Times New Roman"/>
          <w:noProof/>
          <w:sz w:val="24"/>
        </w:rPr>
        <w:t>)</w:t>
      </w:r>
      <w:r w:rsidRPr="7F52AB9A">
        <w:rPr>
          <w:rFonts w:ascii="Times New Roman" w:hAnsi="Times New Roman"/>
          <w:noProof/>
          <w:sz w:val="24"/>
        </w:rPr>
        <w:t xml:space="preserve">, </w:t>
      </w:r>
      <w:r w:rsidRPr="7F52AB9A">
        <w:rPr>
          <w:rFonts w:ascii="Times New Roman" w:hAnsi="Times New Roman"/>
          <w:b/>
          <w:bCs/>
          <w:noProof/>
          <w:sz w:val="24"/>
        </w:rPr>
        <w:t>option</w:t>
      </w:r>
      <w:r w:rsidR="00D04B61" w:rsidRPr="7F52AB9A">
        <w:rPr>
          <w:rFonts w:ascii="Times New Roman" w:hAnsi="Times New Roman"/>
          <w:b/>
          <w:bCs/>
          <w:noProof/>
          <w:sz w:val="24"/>
        </w:rPr>
        <w:t xml:space="preserve"> </w:t>
      </w:r>
      <w:r w:rsidR="00902485" w:rsidRPr="7F52AB9A">
        <w:rPr>
          <w:rFonts w:ascii="Times New Roman" w:hAnsi="Times New Roman"/>
          <w:b/>
          <w:bCs/>
          <w:noProof/>
          <w:sz w:val="24"/>
        </w:rPr>
        <w:t>1.3.E</w:t>
      </w:r>
      <w:r w:rsidR="00EE020A" w:rsidRPr="7F52AB9A">
        <w:rPr>
          <w:rFonts w:ascii="Times New Roman" w:hAnsi="Times New Roman"/>
          <w:b/>
          <w:bCs/>
          <w:noProof/>
          <w:sz w:val="24"/>
        </w:rPr>
        <w:t xml:space="preserve"> </w:t>
      </w:r>
      <w:r w:rsidR="00EE020A" w:rsidRPr="7F52AB9A">
        <w:rPr>
          <w:rFonts w:ascii="Times New Roman" w:hAnsi="Times New Roman"/>
          <w:noProof/>
          <w:sz w:val="24"/>
        </w:rPr>
        <w:t>will be selected as the preferred policy option. This option entails the</w:t>
      </w:r>
      <w:r w:rsidRPr="7F52AB9A">
        <w:rPr>
          <w:rFonts w:ascii="Times New Roman" w:hAnsi="Times New Roman"/>
          <w:noProof/>
          <w:sz w:val="24"/>
        </w:rPr>
        <w:t xml:space="preserve"> </w:t>
      </w:r>
      <w:r w:rsidR="00EE020A" w:rsidRPr="7F52AB9A">
        <w:rPr>
          <w:rFonts w:ascii="Times New Roman" w:hAnsi="Times New Roman"/>
          <w:b/>
          <w:bCs/>
          <w:noProof/>
          <w:sz w:val="24"/>
        </w:rPr>
        <w:t>p</w:t>
      </w:r>
      <w:r w:rsidR="00902485" w:rsidRPr="7F52AB9A">
        <w:rPr>
          <w:rFonts w:ascii="Times New Roman" w:hAnsi="Times New Roman"/>
          <w:b/>
          <w:bCs/>
          <w:noProof/>
          <w:sz w:val="24"/>
        </w:rPr>
        <w:t xml:space="preserve">rovision of </w:t>
      </w:r>
      <w:r w:rsidR="00EE020A" w:rsidRPr="7F52AB9A">
        <w:rPr>
          <w:rFonts w:ascii="Times New Roman" w:hAnsi="Times New Roman"/>
          <w:b/>
          <w:bCs/>
          <w:noProof/>
          <w:sz w:val="24"/>
        </w:rPr>
        <w:t xml:space="preserve">a </w:t>
      </w:r>
      <w:r w:rsidR="00902485" w:rsidRPr="7F52AB9A">
        <w:rPr>
          <w:rFonts w:ascii="Times New Roman" w:hAnsi="Times New Roman"/>
          <w:b/>
          <w:bCs/>
          <w:noProof/>
          <w:sz w:val="24"/>
        </w:rPr>
        <w:t>Repair Scoring Index, or other relevant repair information on a where applicable/available basis</w:t>
      </w:r>
      <w:r w:rsidR="00682C83" w:rsidRPr="7F52AB9A">
        <w:rPr>
          <w:rFonts w:ascii="Times New Roman" w:hAnsi="Times New Roman"/>
          <w:b/>
          <w:bCs/>
          <w:noProof/>
          <w:sz w:val="24"/>
        </w:rPr>
        <w:t xml:space="preserve">, </w:t>
      </w:r>
      <w:r w:rsidR="00682C83" w:rsidRPr="7F52AB9A">
        <w:rPr>
          <w:rFonts w:ascii="Times New Roman" w:hAnsi="Times New Roman"/>
          <w:noProof/>
          <w:sz w:val="24"/>
        </w:rPr>
        <w:t>for an open product scope</w:t>
      </w:r>
      <w:r w:rsidR="00EE020A" w:rsidRPr="7F52AB9A">
        <w:rPr>
          <w:rFonts w:ascii="Times New Roman" w:hAnsi="Times New Roman"/>
          <w:noProof/>
          <w:sz w:val="24"/>
        </w:rPr>
        <w:t xml:space="preserve">, to be </w:t>
      </w:r>
      <w:r w:rsidR="00682BBC" w:rsidRPr="7F52AB9A">
        <w:rPr>
          <w:rFonts w:ascii="Times New Roman" w:hAnsi="Times New Roman"/>
          <w:noProof/>
          <w:sz w:val="24"/>
        </w:rPr>
        <w:t>achieved</w:t>
      </w:r>
      <w:r w:rsidR="00FE2FD9" w:rsidRPr="7F52AB9A">
        <w:rPr>
          <w:rFonts w:ascii="Times New Roman" w:hAnsi="Times New Roman"/>
          <w:noProof/>
          <w:sz w:val="24"/>
        </w:rPr>
        <w:t xml:space="preserve"> </w:t>
      </w:r>
      <w:r w:rsidR="00BA6D7D" w:rsidRPr="7F52AB9A">
        <w:rPr>
          <w:rFonts w:ascii="Times New Roman" w:hAnsi="Times New Roman"/>
          <w:noProof/>
          <w:sz w:val="24"/>
        </w:rPr>
        <w:t>via targeted amendments of the Consumer Rights Directive</w:t>
      </w:r>
      <w:r w:rsidR="004E0677" w:rsidRPr="7F52AB9A">
        <w:rPr>
          <w:rFonts w:ascii="Times New Roman" w:hAnsi="Times New Roman"/>
          <w:noProof/>
          <w:sz w:val="24"/>
        </w:rPr>
        <w:t xml:space="preserve">. </w:t>
      </w:r>
      <w:r w:rsidR="004C747A" w:rsidRPr="7F52AB9A">
        <w:rPr>
          <w:rFonts w:ascii="Times New Roman" w:hAnsi="Times New Roman"/>
          <w:noProof/>
          <w:sz w:val="24"/>
        </w:rPr>
        <w:t xml:space="preserve"> For a potentially very wide range of products, </w:t>
      </w:r>
      <w:r w:rsidR="00682C83" w:rsidRPr="7F52AB9A">
        <w:rPr>
          <w:rFonts w:ascii="Times New Roman" w:hAnsi="Times New Roman"/>
          <w:noProof/>
          <w:sz w:val="24"/>
        </w:rPr>
        <w:t>t</w:t>
      </w:r>
      <w:r w:rsidR="00902485" w:rsidRPr="7F52AB9A">
        <w:rPr>
          <w:rFonts w:ascii="Times New Roman" w:hAnsi="Times New Roman"/>
          <w:noProof/>
          <w:sz w:val="24"/>
        </w:rPr>
        <w:t>his</w:t>
      </w:r>
      <w:r w:rsidR="004C747A" w:rsidRPr="7F52AB9A">
        <w:rPr>
          <w:rFonts w:ascii="Times New Roman" w:hAnsi="Times New Roman"/>
          <w:noProof/>
          <w:sz w:val="24"/>
        </w:rPr>
        <w:t xml:space="preserve"> option</w:t>
      </w:r>
      <w:r w:rsidR="00902485" w:rsidRPr="7F52AB9A">
        <w:rPr>
          <w:rFonts w:ascii="Times New Roman" w:hAnsi="Times New Roman"/>
          <w:noProof/>
          <w:sz w:val="24"/>
        </w:rPr>
        <w:t xml:space="preserve"> </w:t>
      </w:r>
      <w:r w:rsidR="00910978" w:rsidRPr="7F52AB9A">
        <w:rPr>
          <w:rFonts w:ascii="Times New Roman" w:hAnsi="Times New Roman"/>
          <w:noProof/>
          <w:sz w:val="24"/>
        </w:rPr>
        <w:t>will</w:t>
      </w:r>
      <w:r w:rsidRPr="7F52AB9A">
        <w:rPr>
          <w:rFonts w:ascii="Times New Roman" w:hAnsi="Times New Roman"/>
          <w:noProof/>
          <w:sz w:val="24"/>
        </w:rPr>
        <w:t xml:space="preserve"> </w:t>
      </w:r>
      <w:r w:rsidR="004C747A" w:rsidRPr="7F52AB9A">
        <w:rPr>
          <w:rFonts w:ascii="Times New Roman" w:hAnsi="Times New Roman"/>
          <w:noProof/>
          <w:sz w:val="24"/>
        </w:rPr>
        <w:t xml:space="preserve">provide consumers with information at the point of sale that will </w:t>
      </w:r>
      <w:r w:rsidRPr="7F52AB9A">
        <w:rPr>
          <w:rFonts w:ascii="Times New Roman" w:hAnsi="Times New Roman"/>
          <w:noProof/>
          <w:sz w:val="24"/>
        </w:rPr>
        <w:t xml:space="preserve">help </w:t>
      </w:r>
      <w:r w:rsidR="004C747A" w:rsidRPr="7F52AB9A">
        <w:rPr>
          <w:rFonts w:ascii="Times New Roman" w:hAnsi="Times New Roman"/>
          <w:noProof/>
          <w:sz w:val="24"/>
        </w:rPr>
        <w:t xml:space="preserve">them choose </w:t>
      </w:r>
      <w:r w:rsidRPr="7F52AB9A">
        <w:rPr>
          <w:rFonts w:ascii="Times New Roman" w:hAnsi="Times New Roman"/>
          <w:noProof/>
          <w:sz w:val="24"/>
        </w:rPr>
        <w:t>products that are more easily reparable</w:t>
      </w:r>
      <w:r w:rsidR="004C747A" w:rsidRPr="7F52AB9A">
        <w:rPr>
          <w:rFonts w:ascii="Times New Roman" w:hAnsi="Times New Roman"/>
          <w:noProof/>
          <w:sz w:val="24"/>
        </w:rPr>
        <w:t>,</w:t>
      </w:r>
      <w:r w:rsidRPr="7F52AB9A">
        <w:rPr>
          <w:rFonts w:ascii="Times New Roman" w:hAnsi="Times New Roman"/>
          <w:noProof/>
          <w:sz w:val="24"/>
        </w:rPr>
        <w:t xml:space="preserve"> </w:t>
      </w:r>
      <w:r w:rsidR="00682C83" w:rsidRPr="7F52AB9A">
        <w:rPr>
          <w:rFonts w:ascii="Times New Roman" w:hAnsi="Times New Roman"/>
          <w:noProof/>
          <w:sz w:val="24"/>
        </w:rPr>
        <w:t>whenever manufacturers have made this information available or when such information exist</w:t>
      </w:r>
      <w:r w:rsidR="004C747A" w:rsidRPr="7F52AB9A">
        <w:rPr>
          <w:rFonts w:ascii="Times New Roman" w:hAnsi="Times New Roman"/>
          <w:noProof/>
          <w:sz w:val="24"/>
        </w:rPr>
        <w:t>s</w:t>
      </w:r>
      <w:r w:rsidR="00682C83" w:rsidRPr="7F52AB9A">
        <w:rPr>
          <w:rFonts w:ascii="Times New Roman" w:hAnsi="Times New Roman"/>
          <w:noProof/>
          <w:sz w:val="24"/>
        </w:rPr>
        <w:t xml:space="preserve"> in accordance with EU or national applicable laws. This </w:t>
      </w:r>
      <w:r w:rsidR="00910978" w:rsidRPr="7F52AB9A">
        <w:rPr>
          <w:rFonts w:ascii="Times New Roman" w:hAnsi="Times New Roman"/>
          <w:noProof/>
          <w:sz w:val="24"/>
        </w:rPr>
        <w:t>will</w:t>
      </w:r>
      <w:r w:rsidR="00682C83" w:rsidRPr="7F52AB9A">
        <w:rPr>
          <w:rFonts w:ascii="Times New Roman" w:hAnsi="Times New Roman"/>
          <w:noProof/>
          <w:sz w:val="24"/>
        </w:rPr>
        <w:t xml:space="preserve"> also</w:t>
      </w:r>
      <w:r w:rsidR="00060659" w:rsidRPr="7F52AB9A">
        <w:rPr>
          <w:rFonts w:ascii="Times New Roman" w:hAnsi="Times New Roman"/>
          <w:noProof/>
          <w:sz w:val="24"/>
        </w:rPr>
        <w:t xml:space="preserve"> </w:t>
      </w:r>
      <w:r w:rsidR="00FE2FD9" w:rsidRPr="7F52AB9A">
        <w:rPr>
          <w:rFonts w:ascii="Times New Roman" w:hAnsi="Times New Roman"/>
          <w:noProof/>
          <w:sz w:val="24"/>
        </w:rPr>
        <w:t xml:space="preserve">improve </w:t>
      </w:r>
      <w:r w:rsidR="00682C83" w:rsidRPr="7F52AB9A">
        <w:rPr>
          <w:rFonts w:ascii="Times New Roman" w:hAnsi="Times New Roman"/>
          <w:noProof/>
          <w:sz w:val="24"/>
        </w:rPr>
        <w:t>consumers</w:t>
      </w:r>
      <w:r w:rsidR="000A7FB4">
        <w:rPr>
          <w:rFonts w:ascii="Times New Roman" w:hAnsi="Times New Roman"/>
          <w:noProof/>
          <w:sz w:val="24"/>
        </w:rPr>
        <w:t>’</w:t>
      </w:r>
      <w:r w:rsidR="00682C83" w:rsidRPr="7F52AB9A">
        <w:rPr>
          <w:rFonts w:ascii="Times New Roman" w:hAnsi="Times New Roman"/>
          <w:noProof/>
          <w:sz w:val="24"/>
        </w:rPr>
        <w:t xml:space="preserve"> </w:t>
      </w:r>
      <w:r w:rsidR="00FE2FD9" w:rsidRPr="7F52AB9A">
        <w:rPr>
          <w:rFonts w:ascii="Times New Roman" w:hAnsi="Times New Roman"/>
          <w:noProof/>
          <w:sz w:val="24"/>
        </w:rPr>
        <w:t>ability to</w:t>
      </w:r>
      <w:r w:rsidRPr="7F52AB9A">
        <w:rPr>
          <w:rFonts w:ascii="Times New Roman" w:hAnsi="Times New Roman"/>
          <w:noProof/>
          <w:sz w:val="24"/>
        </w:rPr>
        <w:t xml:space="preserve"> repair products</w:t>
      </w:r>
      <w:r w:rsidR="00682C83" w:rsidRPr="7F52AB9A">
        <w:rPr>
          <w:rFonts w:ascii="Times New Roman" w:hAnsi="Times New Roman"/>
          <w:noProof/>
          <w:sz w:val="24"/>
        </w:rPr>
        <w:t xml:space="preserve"> or </w:t>
      </w:r>
      <w:r w:rsidR="004C747A" w:rsidRPr="7F52AB9A">
        <w:rPr>
          <w:rFonts w:ascii="Times New Roman" w:hAnsi="Times New Roman"/>
          <w:noProof/>
          <w:sz w:val="24"/>
        </w:rPr>
        <w:t xml:space="preserve">have </w:t>
      </w:r>
      <w:r w:rsidR="00682C83" w:rsidRPr="7F52AB9A">
        <w:rPr>
          <w:rFonts w:ascii="Times New Roman" w:hAnsi="Times New Roman"/>
          <w:noProof/>
          <w:sz w:val="24"/>
        </w:rPr>
        <w:t>them repaired</w:t>
      </w:r>
      <w:r w:rsidR="004C747A" w:rsidRPr="7F52AB9A">
        <w:rPr>
          <w:rFonts w:ascii="Times New Roman" w:hAnsi="Times New Roman"/>
          <w:noProof/>
          <w:sz w:val="24"/>
        </w:rPr>
        <w:t>,</w:t>
      </w:r>
      <w:r w:rsidR="00C62F0C" w:rsidRPr="7F52AB9A">
        <w:rPr>
          <w:rFonts w:ascii="Times New Roman" w:hAnsi="Times New Roman"/>
          <w:noProof/>
          <w:sz w:val="24"/>
        </w:rPr>
        <w:t xml:space="preserve"> and </w:t>
      </w:r>
      <w:r w:rsidR="00910978" w:rsidRPr="7F52AB9A">
        <w:rPr>
          <w:rFonts w:ascii="Times New Roman" w:hAnsi="Times New Roman"/>
          <w:noProof/>
          <w:sz w:val="24"/>
        </w:rPr>
        <w:t>will</w:t>
      </w:r>
      <w:r w:rsidRPr="7F52AB9A">
        <w:rPr>
          <w:rFonts w:ascii="Times New Roman" w:hAnsi="Times New Roman"/>
          <w:noProof/>
          <w:sz w:val="24"/>
        </w:rPr>
        <w:t xml:space="preserve"> thus have a positive impact on the environment as it will positively </w:t>
      </w:r>
      <w:r w:rsidR="00FE2FD9" w:rsidRPr="7F52AB9A">
        <w:rPr>
          <w:rFonts w:ascii="Times New Roman" w:hAnsi="Times New Roman"/>
          <w:noProof/>
          <w:sz w:val="24"/>
        </w:rPr>
        <w:t>affect</w:t>
      </w:r>
      <w:r w:rsidRPr="7F52AB9A">
        <w:rPr>
          <w:rFonts w:ascii="Times New Roman" w:hAnsi="Times New Roman"/>
          <w:noProof/>
          <w:sz w:val="24"/>
        </w:rPr>
        <w:t xml:space="preserve"> the </w:t>
      </w:r>
      <w:r w:rsidR="00C23521" w:rsidRPr="7F52AB9A">
        <w:rPr>
          <w:rFonts w:ascii="Times New Roman" w:hAnsi="Times New Roman"/>
          <w:noProof/>
          <w:sz w:val="24"/>
        </w:rPr>
        <w:t xml:space="preserve">useful </w:t>
      </w:r>
      <w:r w:rsidRPr="7F52AB9A">
        <w:rPr>
          <w:rFonts w:ascii="Times New Roman" w:hAnsi="Times New Roman"/>
          <w:noProof/>
          <w:sz w:val="24"/>
        </w:rPr>
        <w:t xml:space="preserve">lifespan of products. </w:t>
      </w:r>
      <w:r w:rsidR="00FE2FD9" w:rsidRPr="7F52AB9A">
        <w:rPr>
          <w:rFonts w:ascii="Times New Roman" w:hAnsi="Times New Roman"/>
          <w:noProof/>
          <w:sz w:val="24"/>
        </w:rPr>
        <w:t xml:space="preserve">Costs incurred by businesses </w:t>
      </w:r>
      <w:r w:rsidR="00910978" w:rsidRPr="7F52AB9A">
        <w:rPr>
          <w:rFonts w:ascii="Times New Roman" w:hAnsi="Times New Roman"/>
          <w:noProof/>
          <w:sz w:val="24"/>
        </w:rPr>
        <w:t>will</w:t>
      </w:r>
      <w:r w:rsidR="00060659" w:rsidRPr="7F52AB9A">
        <w:rPr>
          <w:rFonts w:ascii="Times New Roman" w:hAnsi="Times New Roman"/>
          <w:noProof/>
          <w:sz w:val="24"/>
        </w:rPr>
        <w:t xml:space="preserve"> </w:t>
      </w:r>
      <w:r w:rsidR="00FE2FD9" w:rsidRPr="7F52AB9A">
        <w:rPr>
          <w:rFonts w:ascii="Times New Roman" w:hAnsi="Times New Roman"/>
          <w:noProof/>
          <w:sz w:val="24"/>
        </w:rPr>
        <w:t xml:space="preserve">be </w:t>
      </w:r>
      <w:r w:rsidR="00197654" w:rsidRPr="7F52AB9A">
        <w:rPr>
          <w:rFonts w:ascii="Times New Roman" w:hAnsi="Times New Roman"/>
          <w:noProof/>
          <w:sz w:val="24"/>
        </w:rPr>
        <w:t xml:space="preserve">very </w:t>
      </w:r>
      <w:r w:rsidR="00FE2FD9" w:rsidRPr="7F52AB9A">
        <w:rPr>
          <w:rFonts w:ascii="Times New Roman" w:hAnsi="Times New Roman"/>
          <w:noProof/>
          <w:sz w:val="24"/>
        </w:rPr>
        <w:t>limited</w:t>
      </w:r>
      <w:r w:rsidR="00C62F0C" w:rsidRPr="7F52AB9A">
        <w:rPr>
          <w:rFonts w:ascii="Times New Roman" w:hAnsi="Times New Roman"/>
          <w:noProof/>
          <w:sz w:val="24"/>
        </w:rPr>
        <w:t xml:space="preserve"> as sellers will have to provide only such information as manufacturers make available</w:t>
      </w:r>
      <w:r w:rsidR="006E21C2" w:rsidRPr="7F52AB9A">
        <w:rPr>
          <w:rFonts w:ascii="Times New Roman" w:hAnsi="Times New Roman"/>
          <w:noProof/>
          <w:sz w:val="24"/>
        </w:rPr>
        <w:t>,</w:t>
      </w:r>
      <w:r w:rsidR="00D75BE9" w:rsidRPr="7F52AB9A">
        <w:rPr>
          <w:rFonts w:ascii="Times New Roman" w:hAnsi="Times New Roman"/>
          <w:noProof/>
          <w:sz w:val="24"/>
        </w:rPr>
        <w:t xml:space="preserve"> or whenever applicable </w:t>
      </w:r>
      <w:r w:rsidR="006E21C2" w:rsidRPr="7F52AB9A">
        <w:rPr>
          <w:rFonts w:ascii="Times New Roman" w:hAnsi="Times New Roman"/>
          <w:noProof/>
          <w:sz w:val="24"/>
        </w:rPr>
        <w:t xml:space="preserve">under </w:t>
      </w:r>
      <w:r w:rsidR="00D75BE9" w:rsidRPr="7F52AB9A">
        <w:rPr>
          <w:rFonts w:ascii="Times New Roman" w:hAnsi="Times New Roman"/>
          <w:noProof/>
          <w:sz w:val="24"/>
        </w:rPr>
        <w:t>national or EU product rules</w:t>
      </w:r>
      <w:r w:rsidR="00C62F0C" w:rsidRPr="7F52AB9A">
        <w:rPr>
          <w:rFonts w:ascii="Times New Roman" w:hAnsi="Times New Roman"/>
          <w:noProof/>
          <w:sz w:val="24"/>
        </w:rPr>
        <w:t xml:space="preserve">. </w:t>
      </w:r>
      <w:r w:rsidR="00650380" w:rsidRPr="7F52AB9A">
        <w:rPr>
          <w:rFonts w:ascii="Times New Roman" w:hAnsi="Times New Roman"/>
          <w:noProof/>
          <w:sz w:val="24"/>
        </w:rPr>
        <w:t xml:space="preserve">Under </w:t>
      </w:r>
      <w:r w:rsidR="006E21C2" w:rsidRPr="7F52AB9A">
        <w:rPr>
          <w:rFonts w:ascii="Times New Roman" w:hAnsi="Times New Roman"/>
          <w:noProof/>
          <w:sz w:val="24"/>
        </w:rPr>
        <w:t>this option</w:t>
      </w:r>
      <w:r w:rsidR="00650380" w:rsidRPr="7F52AB9A">
        <w:rPr>
          <w:rFonts w:ascii="Times New Roman" w:hAnsi="Times New Roman"/>
          <w:noProof/>
          <w:sz w:val="24"/>
        </w:rPr>
        <w:t>, there will be no</w:t>
      </w:r>
      <w:r w:rsidR="00650380" w:rsidRPr="7F52AB9A" w:rsidDel="005D55C4">
        <w:rPr>
          <w:rFonts w:ascii="Times New Roman" w:hAnsi="Times New Roman"/>
          <w:noProof/>
          <w:sz w:val="24"/>
        </w:rPr>
        <w:t xml:space="preserve"> </w:t>
      </w:r>
      <w:r w:rsidR="00650380" w:rsidRPr="7F52AB9A">
        <w:rPr>
          <w:rFonts w:ascii="Times New Roman" w:hAnsi="Times New Roman"/>
          <w:noProof/>
          <w:sz w:val="24"/>
        </w:rPr>
        <w:t>specific obligation for manufacturers to provide such information but they will be incentivised to compete to provide the best repair conditions on their products</w:t>
      </w:r>
      <w:r w:rsidR="00C62F0C" w:rsidRPr="7F52AB9A">
        <w:rPr>
          <w:rFonts w:ascii="Times New Roman" w:hAnsi="Times New Roman"/>
          <w:noProof/>
          <w:sz w:val="24"/>
        </w:rPr>
        <w:t xml:space="preserve">. </w:t>
      </w:r>
      <w:r w:rsidR="00B50EA9" w:rsidRPr="7F52AB9A">
        <w:rPr>
          <w:rFonts w:ascii="Times New Roman" w:hAnsi="Times New Roman"/>
          <w:noProof/>
          <w:sz w:val="24"/>
        </w:rPr>
        <w:t xml:space="preserve">The complementarity with </w:t>
      </w:r>
      <w:r w:rsidR="00BA2AFE" w:rsidRPr="7F52AB9A">
        <w:rPr>
          <w:rFonts w:ascii="Times New Roman" w:hAnsi="Times New Roman"/>
          <w:noProof/>
          <w:sz w:val="24"/>
        </w:rPr>
        <w:t>the</w:t>
      </w:r>
      <w:r w:rsidR="00B50EA9" w:rsidRPr="7F52AB9A">
        <w:rPr>
          <w:rFonts w:ascii="Times New Roman" w:hAnsi="Times New Roman"/>
          <w:noProof/>
          <w:sz w:val="24"/>
        </w:rPr>
        <w:t xml:space="preserve"> SPI is ensured, as </w:t>
      </w:r>
      <w:r w:rsidR="00CD2461" w:rsidRPr="7F52AB9A">
        <w:rPr>
          <w:rFonts w:ascii="Times New Roman" w:hAnsi="Times New Roman"/>
          <w:noProof/>
          <w:sz w:val="24"/>
        </w:rPr>
        <w:t xml:space="preserve">the repair </w:t>
      </w:r>
      <w:r w:rsidR="00B50EA9" w:rsidRPr="7F52AB9A">
        <w:rPr>
          <w:rFonts w:ascii="Times New Roman" w:hAnsi="Times New Roman"/>
          <w:noProof/>
          <w:sz w:val="24"/>
        </w:rPr>
        <w:t>information</w:t>
      </w:r>
      <w:r w:rsidR="00CD2461" w:rsidRPr="7F52AB9A">
        <w:rPr>
          <w:rFonts w:ascii="Times New Roman" w:hAnsi="Times New Roman"/>
          <w:noProof/>
          <w:sz w:val="24"/>
        </w:rPr>
        <w:t xml:space="preserve"> that will be provided at the point of sale under this option </w:t>
      </w:r>
      <w:r w:rsidR="00396CDB" w:rsidRPr="7F52AB9A">
        <w:rPr>
          <w:rFonts w:ascii="Times New Roman" w:hAnsi="Times New Roman"/>
          <w:noProof/>
          <w:sz w:val="24"/>
        </w:rPr>
        <w:t>can</w:t>
      </w:r>
      <w:r w:rsidR="00CD2461" w:rsidRPr="7F52AB9A">
        <w:rPr>
          <w:rFonts w:ascii="Times New Roman" w:hAnsi="Times New Roman"/>
          <w:noProof/>
          <w:sz w:val="24"/>
        </w:rPr>
        <w:t xml:space="preserve"> be specified in</w:t>
      </w:r>
      <w:r w:rsidR="00B50EA9" w:rsidRPr="7F52AB9A">
        <w:rPr>
          <w:rFonts w:ascii="Times New Roman" w:hAnsi="Times New Roman"/>
          <w:noProof/>
          <w:sz w:val="24"/>
        </w:rPr>
        <w:t xml:space="preserve"> </w:t>
      </w:r>
      <w:r w:rsidR="00CD2461" w:rsidRPr="7F52AB9A">
        <w:rPr>
          <w:rFonts w:ascii="Times New Roman" w:hAnsi="Times New Roman"/>
          <w:noProof/>
          <w:sz w:val="24"/>
        </w:rPr>
        <w:t>future</w:t>
      </w:r>
      <w:r w:rsidR="00B50EA9" w:rsidRPr="7F52AB9A">
        <w:rPr>
          <w:rFonts w:ascii="Times New Roman" w:hAnsi="Times New Roman"/>
          <w:noProof/>
          <w:sz w:val="24"/>
        </w:rPr>
        <w:t xml:space="preserve"> requirements</w:t>
      </w:r>
      <w:r w:rsidR="00CD2461" w:rsidRPr="7F52AB9A">
        <w:rPr>
          <w:rFonts w:ascii="Times New Roman" w:hAnsi="Times New Roman"/>
          <w:noProof/>
          <w:sz w:val="24"/>
        </w:rPr>
        <w:t xml:space="preserve"> </w:t>
      </w:r>
      <w:r w:rsidR="006E21C2" w:rsidRPr="7F52AB9A">
        <w:rPr>
          <w:rFonts w:ascii="Times New Roman" w:hAnsi="Times New Roman"/>
          <w:noProof/>
          <w:sz w:val="24"/>
        </w:rPr>
        <w:t xml:space="preserve">under the SPI </w:t>
      </w:r>
      <w:r w:rsidR="00A127BE" w:rsidRPr="7F52AB9A">
        <w:rPr>
          <w:rFonts w:ascii="Times New Roman" w:hAnsi="Times New Roman"/>
          <w:noProof/>
          <w:sz w:val="24"/>
        </w:rPr>
        <w:t xml:space="preserve">(e.g. </w:t>
      </w:r>
      <w:r w:rsidR="00CD2461" w:rsidRPr="7F52AB9A">
        <w:rPr>
          <w:rFonts w:ascii="Times New Roman" w:hAnsi="Times New Roman"/>
          <w:noProof/>
          <w:sz w:val="24"/>
        </w:rPr>
        <w:t>r</w:t>
      </w:r>
      <w:r w:rsidR="00396CDB" w:rsidRPr="7F52AB9A">
        <w:rPr>
          <w:rFonts w:ascii="Times New Roman" w:hAnsi="Times New Roman"/>
          <w:noProof/>
          <w:sz w:val="24"/>
        </w:rPr>
        <w:t>epair scoring index</w:t>
      </w:r>
      <w:r w:rsidR="00A127BE" w:rsidRPr="7F52AB9A">
        <w:rPr>
          <w:rFonts w:ascii="Times New Roman" w:hAnsi="Times New Roman"/>
          <w:noProof/>
          <w:sz w:val="24"/>
        </w:rPr>
        <w:t xml:space="preserve">, or other relevant repair </w:t>
      </w:r>
      <w:r w:rsidR="00396CDB" w:rsidRPr="7F52AB9A">
        <w:rPr>
          <w:rFonts w:ascii="Times New Roman" w:hAnsi="Times New Roman"/>
          <w:noProof/>
          <w:sz w:val="24"/>
        </w:rPr>
        <w:t xml:space="preserve">information) </w:t>
      </w:r>
      <w:r w:rsidR="00B50EA9" w:rsidRPr="7F52AB9A">
        <w:rPr>
          <w:rFonts w:ascii="Times New Roman" w:hAnsi="Times New Roman"/>
          <w:noProof/>
          <w:sz w:val="24"/>
        </w:rPr>
        <w:t>when considered feasible and appropriate</w:t>
      </w:r>
      <w:r w:rsidR="006E21C2" w:rsidRPr="7F52AB9A">
        <w:rPr>
          <w:rFonts w:ascii="Times New Roman" w:hAnsi="Times New Roman"/>
          <w:noProof/>
          <w:sz w:val="24"/>
        </w:rPr>
        <w:t>,</w:t>
      </w:r>
      <w:r w:rsidR="00B50EA9" w:rsidRPr="7F52AB9A">
        <w:rPr>
          <w:rFonts w:ascii="Times New Roman" w:hAnsi="Times New Roman"/>
          <w:noProof/>
          <w:sz w:val="24"/>
        </w:rPr>
        <w:t xml:space="preserve"> subject to future impact assessments </w:t>
      </w:r>
      <w:r w:rsidR="00706B52" w:rsidRPr="7F52AB9A">
        <w:rPr>
          <w:rFonts w:ascii="Times New Roman" w:hAnsi="Times New Roman"/>
          <w:noProof/>
          <w:sz w:val="24"/>
        </w:rPr>
        <w:t>related to SPI implementing measures for specific products or groups of products</w:t>
      </w:r>
      <w:r w:rsidR="00B50EA9" w:rsidRPr="7F52AB9A">
        <w:rPr>
          <w:rFonts w:ascii="Times New Roman" w:hAnsi="Times New Roman"/>
          <w:noProof/>
          <w:sz w:val="24"/>
        </w:rPr>
        <w:t>.</w:t>
      </w:r>
      <w:r w:rsidR="00706B52" w:rsidRPr="7F52AB9A">
        <w:rPr>
          <w:rFonts w:ascii="Times New Roman" w:hAnsi="Times New Roman"/>
          <w:noProof/>
          <w:sz w:val="24"/>
        </w:rPr>
        <w:t xml:space="preserve"> </w:t>
      </w:r>
      <w:r w:rsidR="000A7FB4">
        <w:rPr>
          <w:rFonts w:ascii="Times New Roman" w:hAnsi="Times New Roman"/>
          <w:noProof/>
          <w:sz w:val="24"/>
        </w:rPr>
        <w:t>The p</w:t>
      </w:r>
      <w:r w:rsidR="000A7FB4" w:rsidRPr="000A7FB4">
        <w:rPr>
          <w:rFonts w:ascii="Times New Roman" w:hAnsi="Times New Roman"/>
          <w:noProof/>
          <w:sz w:val="24"/>
        </w:rPr>
        <w:t xml:space="preserve">roportionality </w:t>
      </w:r>
      <w:r w:rsidR="000A7FB4">
        <w:rPr>
          <w:rFonts w:ascii="Times New Roman" w:hAnsi="Times New Roman"/>
          <w:noProof/>
          <w:sz w:val="24"/>
        </w:rPr>
        <w:t xml:space="preserve">of this measure </w:t>
      </w:r>
      <w:r w:rsidR="000A7FB4" w:rsidRPr="000A7FB4">
        <w:rPr>
          <w:rFonts w:ascii="Times New Roman" w:hAnsi="Times New Roman"/>
          <w:noProof/>
          <w:sz w:val="24"/>
        </w:rPr>
        <w:t>is ensured by requiring the provision of such information at the point of sale only in cases where a reparability score is available or required for that product in accordance with EU or national applicable laws or whenever other relevant repair information is made available by the producer. Traders are not obliged to provide information at the point of sale regarding the absence of such information. This ensures that the burden placed on traders by these requirements is minimal.</w:t>
      </w:r>
    </w:p>
    <w:p w:rsidR="00BA6D7D" w:rsidRPr="004931D3" w:rsidRDefault="008A6DCE">
      <w:pPr>
        <w:pStyle w:val="BTNumbList"/>
        <w:rPr>
          <w:rFonts w:ascii="Times New Roman" w:hAnsi="Times New Roman"/>
          <w:noProof/>
          <w:sz w:val="24"/>
        </w:rPr>
      </w:pPr>
      <w:r w:rsidRPr="6B053803">
        <w:rPr>
          <w:rFonts w:ascii="Times New Roman" w:hAnsi="Times New Roman"/>
          <w:noProof/>
          <w:sz w:val="24"/>
        </w:rPr>
        <w:t xml:space="preserve">In relation to </w:t>
      </w:r>
      <w:r w:rsidRPr="005D24D2">
        <w:rPr>
          <w:rFonts w:ascii="Times New Roman" w:hAnsi="Times New Roman"/>
          <w:b/>
          <w:bCs/>
          <w:noProof/>
          <w:sz w:val="24"/>
        </w:rPr>
        <w:t>sub-problem 2.1</w:t>
      </w:r>
      <w:r w:rsidRPr="6B053803">
        <w:rPr>
          <w:rFonts w:ascii="Times New Roman" w:hAnsi="Times New Roman"/>
          <w:noProof/>
          <w:sz w:val="24"/>
        </w:rPr>
        <w:t xml:space="preserve"> </w:t>
      </w:r>
      <w:r w:rsidR="00F958E6" w:rsidRPr="6B053803">
        <w:rPr>
          <w:rFonts w:ascii="Times New Roman" w:hAnsi="Times New Roman"/>
          <w:noProof/>
          <w:sz w:val="24"/>
        </w:rPr>
        <w:t>(</w:t>
      </w:r>
      <w:r w:rsidRPr="6B053803">
        <w:rPr>
          <w:rFonts w:ascii="Times New Roman" w:hAnsi="Times New Roman"/>
          <w:noProof/>
          <w:sz w:val="24"/>
        </w:rPr>
        <w:t>products that do not last as long as they should or consumers expect</w:t>
      </w:r>
      <w:r w:rsidR="00F958E6" w:rsidRPr="6B053803">
        <w:rPr>
          <w:rFonts w:ascii="Times New Roman" w:hAnsi="Times New Roman"/>
          <w:noProof/>
          <w:sz w:val="24"/>
        </w:rPr>
        <w:t>)</w:t>
      </w:r>
      <w:r w:rsidRPr="6B053803">
        <w:rPr>
          <w:rFonts w:ascii="Times New Roman" w:hAnsi="Times New Roman"/>
          <w:noProof/>
          <w:sz w:val="24"/>
        </w:rPr>
        <w:t xml:space="preserve">, </w:t>
      </w:r>
      <w:r w:rsidRPr="005D24D2">
        <w:rPr>
          <w:rFonts w:ascii="Times New Roman" w:hAnsi="Times New Roman"/>
          <w:b/>
          <w:bCs/>
          <w:noProof/>
          <w:sz w:val="24"/>
        </w:rPr>
        <w:t>option 2.1.B</w:t>
      </w:r>
      <w:r w:rsidR="00AB6CB6" w:rsidRPr="005D24D2">
        <w:rPr>
          <w:rFonts w:ascii="Times New Roman" w:hAnsi="Times New Roman"/>
          <w:b/>
          <w:bCs/>
          <w:noProof/>
          <w:sz w:val="24"/>
        </w:rPr>
        <w:t xml:space="preserve"> </w:t>
      </w:r>
      <w:r w:rsidR="00AB6CB6" w:rsidRPr="6B053803">
        <w:rPr>
          <w:rFonts w:ascii="Times New Roman" w:hAnsi="Times New Roman"/>
          <w:noProof/>
          <w:sz w:val="24"/>
        </w:rPr>
        <w:t>will be selected as the preferred policy option</w:t>
      </w:r>
      <w:r w:rsidR="00AB6CB6" w:rsidRPr="005D24D2">
        <w:rPr>
          <w:rFonts w:ascii="Times New Roman" w:hAnsi="Times New Roman"/>
          <w:b/>
          <w:bCs/>
          <w:noProof/>
          <w:sz w:val="24"/>
        </w:rPr>
        <w:t xml:space="preserve">. </w:t>
      </w:r>
      <w:r w:rsidR="00AB6CB6" w:rsidRPr="6B053803">
        <w:rPr>
          <w:rFonts w:ascii="Times New Roman" w:hAnsi="Times New Roman"/>
          <w:noProof/>
          <w:sz w:val="24"/>
        </w:rPr>
        <w:t>This option entails a</w:t>
      </w:r>
      <w:r w:rsidRPr="005D24D2">
        <w:rPr>
          <w:rFonts w:ascii="Times New Roman" w:hAnsi="Times New Roman"/>
          <w:b/>
          <w:bCs/>
          <w:noProof/>
          <w:sz w:val="24"/>
        </w:rPr>
        <w:t xml:space="preserve"> </w:t>
      </w:r>
      <w:r w:rsidR="00AB6CB6" w:rsidRPr="005D24D2">
        <w:rPr>
          <w:rFonts w:ascii="Times New Roman" w:hAnsi="Times New Roman"/>
          <w:b/>
          <w:bCs/>
          <w:noProof/>
          <w:sz w:val="24"/>
        </w:rPr>
        <w:t>b</w:t>
      </w:r>
      <w:r w:rsidR="00F85058" w:rsidRPr="005D24D2">
        <w:rPr>
          <w:rFonts w:ascii="Times New Roman" w:hAnsi="Times New Roman"/>
          <w:b/>
          <w:bCs/>
          <w:noProof/>
          <w:sz w:val="24"/>
        </w:rPr>
        <w:t>an of certain identified practices of early obsolescence</w:t>
      </w:r>
      <w:r w:rsidR="00AB6CB6" w:rsidRPr="005D24D2">
        <w:rPr>
          <w:rFonts w:ascii="Times New Roman" w:hAnsi="Times New Roman"/>
          <w:b/>
          <w:bCs/>
          <w:noProof/>
          <w:sz w:val="24"/>
        </w:rPr>
        <w:t xml:space="preserve">, </w:t>
      </w:r>
      <w:r w:rsidR="00AB6CB6" w:rsidRPr="6B053803">
        <w:rPr>
          <w:rFonts w:ascii="Times New Roman" w:hAnsi="Times New Roman"/>
          <w:noProof/>
          <w:sz w:val="24"/>
        </w:rPr>
        <w:t xml:space="preserve">to be </w:t>
      </w:r>
      <w:r w:rsidR="00682BBC" w:rsidRPr="6B053803">
        <w:rPr>
          <w:rFonts w:ascii="Times New Roman" w:hAnsi="Times New Roman"/>
          <w:noProof/>
          <w:sz w:val="24"/>
        </w:rPr>
        <w:t>achieved</w:t>
      </w:r>
      <w:r w:rsidR="00AB6CB6" w:rsidRPr="6B053803">
        <w:rPr>
          <w:rFonts w:ascii="Times New Roman" w:hAnsi="Times New Roman"/>
          <w:noProof/>
          <w:sz w:val="24"/>
        </w:rPr>
        <w:t xml:space="preserve"> via</w:t>
      </w:r>
      <w:r w:rsidR="00961114" w:rsidRPr="6B053803">
        <w:rPr>
          <w:rFonts w:ascii="Times New Roman" w:hAnsi="Times New Roman"/>
          <w:noProof/>
          <w:sz w:val="24"/>
        </w:rPr>
        <w:t xml:space="preserve"> </w:t>
      </w:r>
      <w:r w:rsidR="00BA6D7D" w:rsidRPr="6B053803">
        <w:rPr>
          <w:rFonts w:ascii="Times New Roman" w:hAnsi="Times New Roman"/>
          <w:noProof/>
          <w:sz w:val="24"/>
        </w:rPr>
        <w:t>targeted amendments of the U</w:t>
      </w:r>
      <w:r w:rsidR="00E92299" w:rsidRPr="6B053803">
        <w:rPr>
          <w:rFonts w:ascii="Times New Roman" w:hAnsi="Times New Roman"/>
          <w:noProof/>
          <w:sz w:val="24"/>
        </w:rPr>
        <w:t>nfair Commercial Practices Directive</w:t>
      </w:r>
      <w:r w:rsidR="00060659" w:rsidRPr="005D24D2">
        <w:rPr>
          <w:rFonts w:ascii="Times New Roman" w:hAnsi="Times New Roman"/>
          <w:b/>
          <w:bCs/>
          <w:noProof/>
          <w:sz w:val="24"/>
        </w:rPr>
        <w:t>.</w:t>
      </w:r>
      <w:r w:rsidR="00060659" w:rsidRPr="6B053803">
        <w:rPr>
          <w:rFonts w:ascii="Times New Roman" w:hAnsi="Times New Roman"/>
          <w:noProof/>
          <w:sz w:val="24"/>
        </w:rPr>
        <w:t xml:space="preserve"> </w:t>
      </w:r>
      <w:r w:rsidR="00BA6D7D" w:rsidRPr="6B053803">
        <w:rPr>
          <w:rFonts w:ascii="Times New Roman" w:hAnsi="Times New Roman"/>
          <w:noProof/>
          <w:sz w:val="24"/>
        </w:rPr>
        <w:t xml:space="preserve">This </w:t>
      </w:r>
      <w:r w:rsidR="00315883" w:rsidRPr="6B053803">
        <w:rPr>
          <w:rFonts w:ascii="Times New Roman" w:hAnsi="Times New Roman"/>
          <w:noProof/>
          <w:sz w:val="24"/>
        </w:rPr>
        <w:t>will</w:t>
      </w:r>
      <w:r w:rsidRPr="6B053803">
        <w:rPr>
          <w:rFonts w:ascii="Times New Roman" w:hAnsi="Times New Roman"/>
          <w:noProof/>
          <w:sz w:val="24"/>
        </w:rPr>
        <w:t xml:space="preserve"> help enforcers to effectively address these practices </w:t>
      </w:r>
      <w:r w:rsidR="00AB6CB6" w:rsidRPr="6B053803">
        <w:rPr>
          <w:rFonts w:ascii="Times New Roman" w:hAnsi="Times New Roman"/>
          <w:noProof/>
          <w:sz w:val="24"/>
        </w:rPr>
        <w:t xml:space="preserve">which lead </w:t>
      </w:r>
      <w:r w:rsidRPr="6B053803">
        <w:rPr>
          <w:rFonts w:ascii="Times New Roman" w:hAnsi="Times New Roman"/>
          <w:noProof/>
          <w:sz w:val="24"/>
        </w:rPr>
        <w:t xml:space="preserve">to a faster obsolescence of products. This </w:t>
      </w:r>
      <w:r w:rsidR="00315883" w:rsidRPr="6B053803">
        <w:rPr>
          <w:rFonts w:ascii="Times New Roman" w:hAnsi="Times New Roman"/>
          <w:noProof/>
          <w:sz w:val="24"/>
        </w:rPr>
        <w:t>will</w:t>
      </w:r>
      <w:r w:rsidR="00BB61B0" w:rsidRPr="6B053803">
        <w:rPr>
          <w:rFonts w:ascii="Times New Roman" w:hAnsi="Times New Roman"/>
          <w:noProof/>
          <w:sz w:val="24"/>
        </w:rPr>
        <w:t>,</w:t>
      </w:r>
      <w:r w:rsidRPr="6B053803">
        <w:rPr>
          <w:rFonts w:ascii="Times New Roman" w:hAnsi="Times New Roman"/>
          <w:noProof/>
          <w:sz w:val="24"/>
        </w:rPr>
        <w:t xml:space="preserve"> in turn</w:t>
      </w:r>
      <w:r w:rsidR="00BB61B0" w:rsidRPr="6B053803">
        <w:rPr>
          <w:rFonts w:ascii="Times New Roman" w:hAnsi="Times New Roman"/>
          <w:noProof/>
          <w:sz w:val="24"/>
        </w:rPr>
        <w:t>,</w:t>
      </w:r>
      <w:r w:rsidRPr="6B053803">
        <w:rPr>
          <w:rFonts w:ascii="Times New Roman" w:hAnsi="Times New Roman"/>
          <w:noProof/>
          <w:sz w:val="24"/>
        </w:rPr>
        <w:t xml:space="preserve"> reduce consumer detriment </w:t>
      </w:r>
      <w:r w:rsidR="00F958E6" w:rsidRPr="6B053803">
        <w:rPr>
          <w:rFonts w:ascii="Times New Roman" w:hAnsi="Times New Roman"/>
          <w:noProof/>
          <w:sz w:val="24"/>
        </w:rPr>
        <w:t>(</w:t>
      </w:r>
      <w:r w:rsidR="00AB6CB6" w:rsidRPr="6B053803">
        <w:rPr>
          <w:rFonts w:ascii="Times New Roman" w:hAnsi="Times New Roman"/>
          <w:noProof/>
          <w:sz w:val="24"/>
        </w:rPr>
        <w:t>caused by</w:t>
      </w:r>
      <w:r w:rsidR="00F958E6" w:rsidRPr="6B053803">
        <w:rPr>
          <w:rFonts w:ascii="Times New Roman" w:hAnsi="Times New Roman"/>
          <w:noProof/>
          <w:sz w:val="24"/>
        </w:rPr>
        <w:t xml:space="preserve"> products failing early) </w:t>
      </w:r>
      <w:r w:rsidRPr="6B053803">
        <w:rPr>
          <w:rFonts w:ascii="Times New Roman" w:hAnsi="Times New Roman"/>
          <w:noProof/>
          <w:sz w:val="24"/>
        </w:rPr>
        <w:t>and have positive impacts on the environment</w:t>
      </w:r>
      <w:r w:rsidR="00AB6CB6" w:rsidRPr="6B053803">
        <w:rPr>
          <w:rFonts w:ascii="Times New Roman" w:hAnsi="Times New Roman"/>
          <w:noProof/>
          <w:sz w:val="24"/>
        </w:rPr>
        <w:t>,</w:t>
      </w:r>
      <w:r w:rsidRPr="6B053803">
        <w:rPr>
          <w:rFonts w:ascii="Times New Roman" w:hAnsi="Times New Roman"/>
          <w:noProof/>
          <w:sz w:val="24"/>
        </w:rPr>
        <w:t xml:space="preserve"> </w:t>
      </w:r>
      <w:r w:rsidR="00F958E6" w:rsidRPr="6B053803">
        <w:rPr>
          <w:rFonts w:ascii="Times New Roman" w:hAnsi="Times New Roman"/>
          <w:noProof/>
          <w:sz w:val="24"/>
        </w:rPr>
        <w:t>with goods</w:t>
      </w:r>
      <w:r w:rsidRPr="6B053803">
        <w:rPr>
          <w:rFonts w:ascii="Times New Roman" w:hAnsi="Times New Roman"/>
          <w:noProof/>
          <w:sz w:val="24"/>
        </w:rPr>
        <w:t xml:space="preserve"> last</w:t>
      </w:r>
      <w:r w:rsidR="00F958E6" w:rsidRPr="6B053803">
        <w:rPr>
          <w:rFonts w:ascii="Times New Roman" w:hAnsi="Times New Roman"/>
          <w:noProof/>
          <w:sz w:val="24"/>
        </w:rPr>
        <w:t>ing</w:t>
      </w:r>
      <w:r w:rsidRPr="6B053803">
        <w:rPr>
          <w:rFonts w:ascii="Times New Roman" w:hAnsi="Times New Roman"/>
          <w:noProof/>
          <w:sz w:val="24"/>
        </w:rPr>
        <w:t xml:space="preserve"> longer</w:t>
      </w:r>
      <w:r w:rsidR="00AB6CB6" w:rsidRPr="6B053803">
        <w:rPr>
          <w:rFonts w:ascii="Times New Roman" w:hAnsi="Times New Roman"/>
          <w:noProof/>
          <w:sz w:val="24"/>
        </w:rPr>
        <w:t>.</w:t>
      </w:r>
      <w:r w:rsidR="00BA6D7D" w:rsidRPr="6B053803">
        <w:rPr>
          <w:rFonts w:ascii="Times New Roman" w:hAnsi="Times New Roman"/>
          <w:noProof/>
          <w:sz w:val="24"/>
        </w:rPr>
        <w:t xml:space="preserve"> </w:t>
      </w:r>
      <w:r w:rsidR="00AB6CB6" w:rsidRPr="6B053803">
        <w:rPr>
          <w:rFonts w:ascii="Times New Roman" w:hAnsi="Times New Roman"/>
          <w:noProof/>
          <w:sz w:val="24"/>
        </w:rPr>
        <w:t xml:space="preserve">It </w:t>
      </w:r>
      <w:r w:rsidR="00315883" w:rsidRPr="6B053803">
        <w:rPr>
          <w:rFonts w:ascii="Times New Roman" w:hAnsi="Times New Roman"/>
          <w:noProof/>
          <w:sz w:val="24"/>
        </w:rPr>
        <w:t>will</w:t>
      </w:r>
      <w:r w:rsidRPr="6B053803">
        <w:rPr>
          <w:rFonts w:ascii="Times New Roman" w:hAnsi="Times New Roman"/>
          <w:noProof/>
          <w:sz w:val="24"/>
        </w:rPr>
        <w:t xml:space="preserve"> also improve the level-playing field between businesses.</w:t>
      </w:r>
      <w:r w:rsidR="00F85058" w:rsidRPr="6B053803">
        <w:rPr>
          <w:rFonts w:ascii="Times New Roman" w:hAnsi="Times New Roman"/>
          <w:noProof/>
          <w:sz w:val="24"/>
        </w:rPr>
        <w:t xml:space="preserve"> </w:t>
      </w:r>
      <w:r w:rsidR="00BA6D7D" w:rsidRPr="6B053803">
        <w:rPr>
          <w:rFonts w:ascii="Times New Roman" w:hAnsi="Times New Roman"/>
          <w:noProof/>
          <w:sz w:val="24"/>
        </w:rPr>
        <w:t>Th</w:t>
      </w:r>
      <w:r w:rsidR="00EE3068" w:rsidRPr="6B053803">
        <w:rPr>
          <w:rFonts w:ascii="Times New Roman" w:hAnsi="Times New Roman"/>
          <w:noProof/>
          <w:sz w:val="24"/>
        </w:rPr>
        <w:t>is option will usefully complement</w:t>
      </w:r>
      <w:r w:rsidR="00BA6D7D" w:rsidRPr="6B053803">
        <w:rPr>
          <w:rFonts w:ascii="Times New Roman" w:hAnsi="Times New Roman"/>
          <w:noProof/>
          <w:sz w:val="24"/>
        </w:rPr>
        <w:t xml:space="preserve"> </w:t>
      </w:r>
      <w:r w:rsidR="00EE3068" w:rsidRPr="6B053803">
        <w:rPr>
          <w:rFonts w:ascii="Times New Roman" w:hAnsi="Times New Roman"/>
          <w:noProof/>
          <w:sz w:val="24"/>
        </w:rPr>
        <w:t xml:space="preserve">future </w:t>
      </w:r>
      <w:r w:rsidR="00BA6D7D" w:rsidRPr="6B053803">
        <w:rPr>
          <w:rFonts w:ascii="Times New Roman" w:hAnsi="Times New Roman"/>
          <w:noProof/>
          <w:sz w:val="24"/>
        </w:rPr>
        <w:t xml:space="preserve">SPI </w:t>
      </w:r>
      <w:r w:rsidR="00EE3068" w:rsidRPr="6B053803">
        <w:rPr>
          <w:rFonts w:ascii="Times New Roman" w:hAnsi="Times New Roman"/>
          <w:noProof/>
          <w:sz w:val="24"/>
        </w:rPr>
        <w:t>or Ecodesign requirement</w:t>
      </w:r>
      <w:r w:rsidR="00AB6CB6" w:rsidRPr="6B053803">
        <w:rPr>
          <w:rFonts w:ascii="Times New Roman" w:hAnsi="Times New Roman"/>
          <w:noProof/>
          <w:sz w:val="24"/>
        </w:rPr>
        <w:t>s,</w:t>
      </w:r>
      <w:r w:rsidR="00EE3068" w:rsidRPr="6B053803">
        <w:rPr>
          <w:rFonts w:ascii="Times New Roman" w:hAnsi="Times New Roman"/>
          <w:noProof/>
          <w:sz w:val="24"/>
        </w:rPr>
        <w:t xml:space="preserve"> and</w:t>
      </w:r>
      <w:r w:rsidR="00BA6D7D" w:rsidRPr="005D24D2">
        <w:rPr>
          <w:rFonts w:ascii="Times New Roman" w:hAnsi="Times New Roman"/>
          <w:b/>
          <w:bCs/>
          <w:noProof/>
          <w:sz w:val="24"/>
        </w:rPr>
        <w:t xml:space="preserve"> </w:t>
      </w:r>
      <w:r w:rsidR="00BA6D7D" w:rsidRPr="6B053803">
        <w:rPr>
          <w:rFonts w:ascii="Times New Roman" w:hAnsi="Times New Roman"/>
          <w:noProof/>
          <w:sz w:val="24"/>
        </w:rPr>
        <w:t xml:space="preserve">will provide better consumer protection against early obsolescence of specific product models (e.g. </w:t>
      </w:r>
      <w:r w:rsidR="00AB6CB6" w:rsidRPr="6B053803">
        <w:rPr>
          <w:rFonts w:ascii="Times New Roman" w:hAnsi="Times New Roman"/>
          <w:noProof/>
          <w:sz w:val="24"/>
        </w:rPr>
        <w:t xml:space="preserve">a </w:t>
      </w:r>
      <w:r w:rsidR="00BA6D7D" w:rsidRPr="6B053803">
        <w:rPr>
          <w:rFonts w:ascii="Times New Roman" w:hAnsi="Times New Roman"/>
          <w:noProof/>
          <w:sz w:val="24"/>
        </w:rPr>
        <w:t>specific model of coffee machine) through facilitating public enforcement and allowing the harmed consumers to claim individual remedies where such practices are deemed unfair</w:t>
      </w:r>
      <w:r w:rsidR="00AB6CB6" w:rsidRPr="6B053803">
        <w:rPr>
          <w:rFonts w:ascii="Times New Roman" w:hAnsi="Times New Roman"/>
          <w:noProof/>
          <w:sz w:val="24"/>
        </w:rPr>
        <w:t>.</w:t>
      </w:r>
      <w:r w:rsidR="00BA6D7D" w:rsidRPr="6B053803">
        <w:rPr>
          <w:rFonts w:ascii="Times New Roman" w:hAnsi="Times New Roman"/>
          <w:noProof/>
          <w:sz w:val="24"/>
        </w:rPr>
        <w:t xml:space="preserve"> </w:t>
      </w:r>
      <w:r w:rsidR="00AB6CB6" w:rsidRPr="6B053803">
        <w:rPr>
          <w:rFonts w:ascii="Times New Roman" w:hAnsi="Times New Roman"/>
          <w:noProof/>
          <w:sz w:val="24"/>
        </w:rPr>
        <w:t>The SPI may on the other hand</w:t>
      </w:r>
      <w:r w:rsidR="00BA6D7D" w:rsidRPr="6B053803">
        <w:rPr>
          <w:rFonts w:ascii="Times New Roman" w:hAnsi="Times New Roman"/>
          <w:noProof/>
          <w:sz w:val="24"/>
        </w:rPr>
        <w:t xml:space="preserve"> </w:t>
      </w:r>
      <w:r w:rsidR="00EE3068" w:rsidRPr="6B053803">
        <w:rPr>
          <w:rFonts w:ascii="Times New Roman" w:hAnsi="Times New Roman"/>
          <w:noProof/>
          <w:sz w:val="24"/>
        </w:rPr>
        <w:t>set</w:t>
      </w:r>
      <w:r w:rsidR="00BA6D7D" w:rsidRPr="6B053803">
        <w:rPr>
          <w:rFonts w:ascii="Times New Roman" w:hAnsi="Times New Roman"/>
          <w:noProof/>
          <w:sz w:val="24"/>
        </w:rPr>
        <w:t xml:space="preserve"> specific requirements (e.g. </w:t>
      </w:r>
      <w:r w:rsidR="00255521">
        <w:rPr>
          <w:rFonts w:ascii="Times New Roman" w:hAnsi="Times New Roman"/>
          <w:noProof/>
          <w:sz w:val="24"/>
        </w:rPr>
        <w:t xml:space="preserve">on </w:t>
      </w:r>
      <w:r w:rsidR="00E96C45" w:rsidRPr="6B053803">
        <w:rPr>
          <w:rFonts w:ascii="Times New Roman" w:hAnsi="Times New Roman"/>
          <w:noProof/>
          <w:sz w:val="24"/>
        </w:rPr>
        <w:t>minimum</w:t>
      </w:r>
      <w:r w:rsidR="00BA6D7D" w:rsidRPr="6B053803">
        <w:rPr>
          <w:rFonts w:ascii="Times New Roman" w:hAnsi="Times New Roman"/>
          <w:noProof/>
          <w:sz w:val="24"/>
        </w:rPr>
        <w:t xml:space="preserve"> durability </w:t>
      </w:r>
      <w:r w:rsidR="00255521">
        <w:rPr>
          <w:rFonts w:ascii="Times New Roman" w:hAnsi="Times New Roman"/>
          <w:noProof/>
          <w:sz w:val="24"/>
        </w:rPr>
        <w:t>or</w:t>
      </w:r>
      <w:r w:rsidR="00BA6D7D" w:rsidRPr="6B053803">
        <w:rPr>
          <w:rFonts w:ascii="Times New Roman" w:hAnsi="Times New Roman"/>
          <w:noProof/>
          <w:sz w:val="24"/>
        </w:rPr>
        <w:t xml:space="preserve"> reparability) for the whole product category (i.e. all coffee machines)</w:t>
      </w:r>
      <w:r w:rsidR="00EE3068" w:rsidRPr="6B053803">
        <w:rPr>
          <w:rFonts w:ascii="Times New Roman" w:hAnsi="Times New Roman"/>
          <w:noProof/>
          <w:sz w:val="24"/>
        </w:rPr>
        <w:t xml:space="preserve"> when considered feasible and appropriate subject to future </w:t>
      </w:r>
      <w:r w:rsidR="772C0145" w:rsidRPr="772C0145">
        <w:rPr>
          <w:rFonts w:ascii="Times New Roman" w:hAnsi="Times New Roman"/>
          <w:noProof/>
          <w:sz w:val="24"/>
        </w:rPr>
        <w:t>I</w:t>
      </w:r>
      <w:r w:rsidR="00EE3068" w:rsidRPr="772C0145">
        <w:rPr>
          <w:rFonts w:ascii="Times New Roman" w:hAnsi="Times New Roman"/>
          <w:noProof/>
          <w:sz w:val="24"/>
        </w:rPr>
        <w:t xml:space="preserve">mpact </w:t>
      </w:r>
      <w:r w:rsidR="772C0145" w:rsidRPr="772C0145">
        <w:rPr>
          <w:rFonts w:ascii="Times New Roman" w:hAnsi="Times New Roman"/>
          <w:noProof/>
          <w:sz w:val="24"/>
        </w:rPr>
        <w:t>A</w:t>
      </w:r>
      <w:r w:rsidR="00EE3068" w:rsidRPr="6B053803">
        <w:rPr>
          <w:rFonts w:ascii="Times New Roman" w:hAnsi="Times New Roman"/>
          <w:noProof/>
          <w:sz w:val="24"/>
        </w:rPr>
        <w:t>ssessments of product rules</w:t>
      </w:r>
      <w:r w:rsidR="00BA6D7D" w:rsidRPr="6B053803">
        <w:rPr>
          <w:rFonts w:ascii="Times New Roman" w:hAnsi="Times New Roman"/>
          <w:noProof/>
          <w:sz w:val="24"/>
        </w:rPr>
        <w:t>.</w:t>
      </w:r>
      <w:r w:rsidR="000A7FB4">
        <w:rPr>
          <w:rFonts w:ascii="Times New Roman" w:hAnsi="Times New Roman"/>
          <w:noProof/>
          <w:sz w:val="24"/>
        </w:rPr>
        <w:t xml:space="preserve"> </w:t>
      </w:r>
      <w:r w:rsidR="000A7FB4" w:rsidRPr="000A7FB4">
        <w:rPr>
          <w:rFonts w:ascii="Times New Roman" w:hAnsi="Times New Roman"/>
          <w:noProof/>
          <w:sz w:val="24"/>
        </w:rPr>
        <w:t>The proportionality of the ban of certain practices related to the early obsolescence of products is ensured by targeting specific and well defined existing practices, including providing software updates which negatively impact the ability of the products to maintain their required functions and performance through normal use, omitting to provide software updates which are needed for the products to maintain their required functions and performance through normal use in accordance with legal requirements, marketing of goods  that have  been designed with a view to limit their durability, marketing of goods that do not allow disassembly or repair in accordance with legal requirements, and marketing of goods that are designed in a way to induce the consumer into replacing their consumable earlier than necessary</w:t>
      </w:r>
      <w:r w:rsidR="000017B7" w:rsidRPr="00A73572">
        <w:rPr>
          <w:noProof/>
        </w:rPr>
        <w:t>,</w:t>
      </w:r>
      <w:r w:rsidR="000017B7" w:rsidRPr="000006E7">
        <w:rPr>
          <w:noProof/>
        </w:rPr>
        <w:t xml:space="preserve"> </w:t>
      </w:r>
      <w:r w:rsidR="000017B7" w:rsidRPr="000017B7">
        <w:rPr>
          <w:rFonts w:ascii="Times New Roman" w:hAnsi="Times New Roman"/>
          <w:noProof/>
          <w:sz w:val="24"/>
        </w:rPr>
        <w:t>or to prevent the use of consumables provided by alternative producers, without informing the consumer thereof</w:t>
      </w:r>
      <w:r w:rsidR="000A7FB4" w:rsidRPr="000A7FB4">
        <w:rPr>
          <w:rFonts w:ascii="Times New Roman" w:hAnsi="Times New Roman"/>
          <w:noProof/>
          <w:sz w:val="24"/>
        </w:rPr>
        <w:t>. This targeting of specific practices is proportionate as it ensures legal certainty for traders. It also facilitates enforcement, as enforcement authorities will not be required to prove that the early obsolescence of a product has been designed with the intention of stimulating the purchase of a new model of the product itself.</w:t>
      </w:r>
      <w:r w:rsidR="000017B7">
        <w:rPr>
          <w:rFonts w:ascii="Times New Roman" w:hAnsi="Times New Roman"/>
          <w:noProof/>
          <w:sz w:val="24"/>
        </w:rPr>
        <w:t xml:space="preserve"> Moreover, enforcement authorities will not be required </w:t>
      </w:r>
      <w:r w:rsidR="000017B7" w:rsidRPr="008D65D2">
        <w:rPr>
          <w:rFonts w:ascii="Times New Roman" w:hAnsi="Times New Roman"/>
          <w:noProof/>
          <w:sz w:val="24"/>
        </w:rPr>
        <w:t>to demonstrate the negative impact of the unfair practice on the consumers’ transactional decision</w:t>
      </w:r>
      <w:r w:rsidR="00980B76">
        <w:rPr>
          <w:rFonts w:ascii="Times New Roman" w:hAnsi="Times New Roman"/>
          <w:noProof/>
          <w:sz w:val="24"/>
        </w:rPr>
        <w:t>, if this measure would be implemented via an update of  the ‘blacklist’ (Annex I) of the UCPD</w:t>
      </w:r>
      <w:r w:rsidR="000017B7">
        <w:rPr>
          <w:rFonts w:ascii="Times New Roman" w:hAnsi="Times New Roman"/>
          <w:noProof/>
          <w:sz w:val="24"/>
        </w:rPr>
        <w:t>.</w:t>
      </w:r>
    </w:p>
    <w:p w:rsidR="008A6DCE" w:rsidRPr="005D7BE7" w:rsidRDefault="008A6DCE" w:rsidP="008D65D2">
      <w:pPr>
        <w:pStyle w:val="BTNumbList"/>
        <w:rPr>
          <w:rFonts w:ascii="Times New Roman" w:hAnsi="Times New Roman"/>
          <w:noProof/>
          <w:sz w:val="24"/>
        </w:rPr>
      </w:pPr>
      <w:r w:rsidRPr="005D7BE7">
        <w:rPr>
          <w:rFonts w:ascii="Times New Roman" w:hAnsi="Times New Roman"/>
          <w:noProof/>
          <w:sz w:val="24"/>
        </w:rPr>
        <w:t xml:space="preserve">In relation to </w:t>
      </w:r>
      <w:r w:rsidRPr="005D24D2">
        <w:rPr>
          <w:rFonts w:ascii="Times New Roman" w:hAnsi="Times New Roman"/>
          <w:b/>
          <w:bCs/>
          <w:noProof/>
          <w:sz w:val="24"/>
        </w:rPr>
        <w:t>sub-problem 2.2</w:t>
      </w:r>
      <w:r w:rsidRPr="005D7BE7">
        <w:rPr>
          <w:rFonts w:ascii="Times New Roman" w:hAnsi="Times New Roman"/>
          <w:noProof/>
          <w:sz w:val="24"/>
        </w:rPr>
        <w:t xml:space="preserve"> </w:t>
      </w:r>
      <w:r w:rsidR="00F958E6" w:rsidRPr="005D7BE7">
        <w:rPr>
          <w:rFonts w:ascii="Times New Roman" w:hAnsi="Times New Roman"/>
          <w:noProof/>
          <w:sz w:val="24"/>
        </w:rPr>
        <w:t>(</w:t>
      </w:r>
      <w:r w:rsidRPr="005D7BE7">
        <w:rPr>
          <w:rFonts w:ascii="Times New Roman" w:hAnsi="Times New Roman"/>
          <w:noProof/>
          <w:sz w:val="24"/>
        </w:rPr>
        <w:t>unclear or not well-substantiated green claims</w:t>
      </w:r>
      <w:r w:rsidR="00F958E6" w:rsidRPr="005D7BE7">
        <w:rPr>
          <w:rFonts w:ascii="Times New Roman" w:hAnsi="Times New Roman"/>
          <w:noProof/>
          <w:sz w:val="24"/>
        </w:rPr>
        <w:t>)</w:t>
      </w:r>
      <w:r w:rsidRPr="005D7BE7">
        <w:rPr>
          <w:rFonts w:ascii="Times New Roman" w:hAnsi="Times New Roman"/>
          <w:noProof/>
          <w:sz w:val="24"/>
        </w:rPr>
        <w:t xml:space="preserve">, </w:t>
      </w:r>
      <w:r w:rsidRPr="005D24D2">
        <w:rPr>
          <w:rFonts w:ascii="Times New Roman" w:hAnsi="Times New Roman"/>
          <w:b/>
          <w:bCs/>
          <w:noProof/>
          <w:sz w:val="24"/>
        </w:rPr>
        <w:t>option 2.2.</w:t>
      </w:r>
      <w:r w:rsidR="00A65D59" w:rsidRPr="005D24D2">
        <w:rPr>
          <w:rFonts w:ascii="Times New Roman" w:hAnsi="Times New Roman"/>
          <w:b/>
          <w:bCs/>
          <w:noProof/>
          <w:sz w:val="24"/>
        </w:rPr>
        <w:t>C</w:t>
      </w:r>
      <w:r w:rsidR="00011C33" w:rsidRPr="005D24D2">
        <w:rPr>
          <w:rFonts w:ascii="Times New Roman" w:hAnsi="Times New Roman"/>
          <w:b/>
          <w:bCs/>
          <w:noProof/>
          <w:sz w:val="24"/>
        </w:rPr>
        <w:t xml:space="preserve"> </w:t>
      </w:r>
      <w:r w:rsidR="00011C33" w:rsidRPr="005D7BE7">
        <w:rPr>
          <w:rFonts w:ascii="Times New Roman" w:hAnsi="Times New Roman"/>
          <w:noProof/>
          <w:sz w:val="24"/>
        </w:rPr>
        <w:t>will be selected as the preferred policy option, namely the</w:t>
      </w:r>
      <w:r w:rsidR="00C33F62" w:rsidRPr="005D7BE7">
        <w:rPr>
          <w:rFonts w:ascii="Times New Roman" w:hAnsi="Times New Roman"/>
          <w:noProof/>
          <w:sz w:val="24"/>
        </w:rPr>
        <w:t xml:space="preserve"> </w:t>
      </w:r>
      <w:r w:rsidR="00011C33" w:rsidRPr="005D24D2">
        <w:rPr>
          <w:rFonts w:ascii="Times New Roman" w:hAnsi="Times New Roman"/>
          <w:b/>
          <w:bCs/>
          <w:noProof/>
          <w:sz w:val="24"/>
        </w:rPr>
        <w:t>b</w:t>
      </w:r>
      <w:r w:rsidR="00C33F62" w:rsidRPr="005D24D2">
        <w:rPr>
          <w:rFonts w:ascii="Times New Roman" w:hAnsi="Times New Roman"/>
          <w:b/>
          <w:bCs/>
          <w:noProof/>
          <w:sz w:val="24"/>
        </w:rPr>
        <w:t>an</w:t>
      </w:r>
      <w:r w:rsidR="00011C33" w:rsidRPr="005D24D2">
        <w:rPr>
          <w:rFonts w:ascii="Times New Roman" w:hAnsi="Times New Roman"/>
          <w:b/>
          <w:bCs/>
          <w:noProof/>
          <w:sz w:val="24"/>
        </w:rPr>
        <w:t>ning</w:t>
      </w:r>
      <w:r w:rsidR="00C33F62" w:rsidRPr="005D24D2">
        <w:rPr>
          <w:rFonts w:ascii="Times New Roman" w:hAnsi="Times New Roman"/>
          <w:b/>
          <w:bCs/>
          <w:noProof/>
          <w:sz w:val="24"/>
        </w:rPr>
        <w:t xml:space="preserve"> of unfounded general</w:t>
      </w:r>
      <w:r w:rsidR="0000316A" w:rsidRPr="005D24D2">
        <w:rPr>
          <w:rFonts w:ascii="Times New Roman" w:hAnsi="Times New Roman"/>
          <w:b/>
          <w:bCs/>
          <w:noProof/>
          <w:sz w:val="24"/>
        </w:rPr>
        <w:t>/vague</w:t>
      </w:r>
      <w:r w:rsidR="00C33F62" w:rsidRPr="005D24D2">
        <w:rPr>
          <w:rFonts w:ascii="Times New Roman" w:hAnsi="Times New Roman"/>
          <w:b/>
          <w:bCs/>
          <w:noProof/>
          <w:sz w:val="24"/>
        </w:rPr>
        <w:t xml:space="preserve"> </w:t>
      </w:r>
      <w:r w:rsidR="00A21877" w:rsidRPr="005D24D2">
        <w:rPr>
          <w:rFonts w:ascii="Times New Roman" w:hAnsi="Times New Roman"/>
          <w:b/>
          <w:bCs/>
          <w:noProof/>
          <w:sz w:val="24"/>
        </w:rPr>
        <w:t xml:space="preserve">claims </w:t>
      </w:r>
      <w:r w:rsidR="00011C33" w:rsidRPr="005D24D2">
        <w:rPr>
          <w:rFonts w:ascii="Times New Roman" w:hAnsi="Times New Roman"/>
          <w:b/>
          <w:bCs/>
          <w:noProof/>
          <w:sz w:val="24"/>
        </w:rPr>
        <w:t xml:space="preserve">and </w:t>
      </w:r>
      <w:r w:rsidR="00A21877" w:rsidRPr="005D24D2">
        <w:rPr>
          <w:rFonts w:ascii="Times New Roman" w:hAnsi="Times New Roman"/>
          <w:b/>
          <w:bCs/>
          <w:noProof/>
          <w:sz w:val="24"/>
        </w:rPr>
        <w:t xml:space="preserve">setting criteria for assessing the fairness </w:t>
      </w:r>
      <w:r w:rsidR="00C33F62" w:rsidRPr="005D24D2">
        <w:rPr>
          <w:rFonts w:ascii="Times New Roman" w:hAnsi="Times New Roman"/>
          <w:b/>
          <w:bCs/>
          <w:noProof/>
          <w:sz w:val="24"/>
        </w:rPr>
        <w:t xml:space="preserve">of </w:t>
      </w:r>
      <w:r w:rsidR="00732002">
        <w:rPr>
          <w:rFonts w:ascii="Times New Roman" w:hAnsi="Times New Roman"/>
          <w:b/>
          <w:bCs/>
          <w:noProof/>
          <w:sz w:val="24"/>
        </w:rPr>
        <w:t>all</w:t>
      </w:r>
      <w:r w:rsidR="00732002" w:rsidRPr="005D24D2">
        <w:rPr>
          <w:rFonts w:ascii="Times New Roman" w:hAnsi="Times New Roman"/>
          <w:b/>
          <w:bCs/>
          <w:noProof/>
          <w:sz w:val="24"/>
        </w:rPr>
        <w:t xml:space="preserve"> </w:t>
      </w:r>
      <w:r w:rsidR="00C33F62" w:rsidRPr="005D24D2">
        <w:rPr>
          <w:rFonts w:ascii="Times New Roman" w:hAnsi="Times New Roman"/>
          <w:b/>
          <w:bCs/>
          <w:noProof/>
          <w:sz w:val="24"/>
        </w:rPr>
        <w:t>environmental claims</w:t>
      </w:r>
      <w:r w:rsidR="00011C33" w:rsidRPr="005D24D2">
        <w:rPr>
          <w:rFonts w:ascii="Times New Roman" w:hAnsi="Times New Roman"/>
          <w:b/>
          <w:bCs/>
          <w:noProof/>
          <w:sz w:val="24"/>
        </w:rPr>
        <w:t xml:space="preserve">. </w:t>
      </w:r>
      <w:r w:rsidR="00011C33" w:rsidRPr="009B5734">
        <w:rPr>
          <w:rFonts w:ascii="Times New Roman" w:hAnsi="Times New Roman"/>
          <w:noProof/>
          <w:sz w:val="24"/>
        </w:rPr>
        <w:t xml:space="preserve">This will be </w:t>
      </w:r>
      <w:r w:rsidR="00682BBC" w:rsidRPr="009B5734">
        <w:rPr>
          <w:rFonts w:ascii="Times New Roman" w:hAnsi="Times New Roman"/>
          <w:noProof/>
          <w:sz w:val="24"/>
        </w:rPr>
        <w:t>achieved</w:t>
      </w:r>
      <w:r w:rsidR="00DF2938" w:rsidRPr="005D24D2">
        <w:rPr>
          <w:rFonts w:ascii="Times New Roman" w:hAnsi="Times New Roman"/>
          <w:b/>
          <w:bCs/>
          <w:noProof/>
          <w:sz w:val="24"/>
        </w:rPr>
        <w:t xml:space="preserve"> </w:t>
      </w:r>
      <w:r w:rsidR="00A65D59" w:rsidRPr="005D7BE7">
        <w:rPr>
          <w:rFonts w:ascii="Times New Roman" w:hAnsi="Times New Roman"/>
          <w:noProof/>
          <w:sz w:val="24"/>
        </w:rPr>
        <w:t>via targeted amendments of the Unfair Commercial Practices Directive</w:t>
      </w:r>
      <w:r w:rsidR="00060659" w:rsidRPr="005D7BE7">
        <w:rPr>
          <w:rFonts w:ascii="Times New Roman" w:hAnsi="Times New Roman"/>
          <w:noProof/>
          <w:sz w:val="24"/>
        </w:rPr>
        <w:t>. Th</w:t>
      </w:r>
      <w:r w:rsidR="00A65D59" w:rsidRPr="005D7BE7">
        <w:rPr>
          <w:rFonts w:ascii="Times New Roman" w:hAnsi="Times New Roman"/>
          <w:noProof/>
          <w:sz w:val="24"/>
        </w:rPr>
        <w:t>is option</w:t>
      </w:r>
      <w:r w:rsidR="00EA18A4" w:rsidRPr="005D7BE7">
        <w:rPr>
          <w:rFonts w:ascii="Times New Roman" w:hAnsi="Times New Roman"/>
          <w:noProof/>
          <w:sz w:val="24"/>
        </w:rPr>
        <w:t xml:space="preserve"> </w:t>
      </w:r>
      <w:r w:rsidR="00315883" w:rsidRPr="005D7BE7">
        <w:rPr>
          <w:rFonts w:ascii="Times New Roman" w:hAnsi="Times New Roman"/>
          <w:noProof/>
          <w:sz w:val="24"/>
        </w:rPr>
        <w:t>will</w:t>
      </w:r>
      <w:r w:rsidRPr="005D7BE7">
        <w:rPr>
          <w:rFonts w:ascii="Times New Roman" w:hAnsi="Times New Roman"/>
          <w:noProof/>
          <w:sz w:val="24"/>
        </w:rPr>
        <w:t xml:space="preserve"> usefu</w:t>
      </w:r>
      <w:r w:rsidR="00F958E6" w:rsidRPr="005D7BE7">
        <w:rPr>
          <w:rFonts w:ascii="Times New Roman" w:hAnsi="Times New Roman"/>
          <w:noProof/>
          <w:sz w:val="24"/>
        </w:rPr>
        <w:t>lly comple</w:t>
      </w:r>
      <w:r w:rsidR="002D3DA5" w:rsidRPr="005D7BE7">
        <w:rPr>
          <w:rFonts w:ascii="Times New Roman" w:hAnsi="Times New Roman"/>
          <w:noProof/>
          <w:sz w:val="24"/>
        </w:rPr>
        <w:t>ment</w:t>
      </w:r>
      <w:r w:rsidR="00F958E6" w:rsidRPr="005D7BE7">
        <w:rPr>
          <w:rFonts w:ascii="Times New Roman" w:hAnsi="Times New Roman"/>
          <w:noProof/>
          <w:sz w:val="24"/>
        </w:rPr>
        <w:t xml:space="preserve"> the </w:t>
      </w:r>
      <w:r w:rsidR="00E16AD3" w:rsidRPr="005D7BE7">
        <w:rPr>
          <w:rFonts w:ascii="Times New Roman" w:hAnsi="Times New Roman"/>
          <w:noProof/>
          <w:sz w:val="24"/>
        </w:rPr>
        <w:t>G</w:t>
      </w:r>
      <w:r w:rsidR="00F0190B" w:rsidRPr="005D7BE7">
        <w:rPr>
          <w:rFonts w:ascii="Times New Roman" w:hAnsi="Times New Roman"/>
          <w:noProof/>
          <w:sz w:val="24"/>
        </w:rPr>
        <w:t xml:space="preserve">reen </w:t>
      </w:r>
      <w:r w:rsidR="00E16AD3" w:rsidRPr="005D7BE7">
        <w:rPr>
          <w:rFonts w:ascii="Times New Roman" w:hAnsi="Times New Roman"/>
          <w:noProof/>
          <w:sz w:val="24"/>
        </w:rPr>
        <w:t>C</w:t>
      </w:r>
      <w:r w:rsidR="00F0190B" w:rsidRPr="005D7BE7">
        <w:rPr>
          <w:rFonts w:ascii="Times New Roman" w:hAnsi="Times New Roman"/>
          <w:noProof/>
          <w:sz w:val="24"/>
        </w:rPr>
        <w:t xml:space="preserve">laims </w:t>
      </w:r>
      <w:r w:rsidR="00AB2461" w:rsidRPr="005D7BE7">
        <w:rPr>
          <w:rFonts w:ascii="Times New Roman" w:hAnsi="Times New Roman"/>
          <w:noProof/>
          <w:sz w:val="24"/>
        </w:rPr>
        <w:t>I</w:t>
      </w:r>
      <w:r w:rsidR="00F0190B" w:rsidRPr="005D7BE7">
        <w:rPr>
          <w:rFonts w:ascii="Times New Roman" w:hAnsi="Times New Roman"/>
          <w:noProof/>
          <w:sz w:val="24"/>
        </w:rPr>
        <w:t>nitiative</w:t>
      </w:r>
      <w:r w:rsidRPr="005D7BE7">
        <w:rPr>
          <w:rFonts w:ascii="Times New Roman" w:hAnsi="Times New Roman"/>
          <w:noProof/>
          <w:sz w:val="24"/>
        </w:rPr>
        <w:t xml:space="preserve"> and provide a clear framework for the claims that </w:t>
      </w:r>
      <w:r w:rsidR="009748D2" w:rsidRPr="005D7BE7">
        <w:rPr>
          <w:rFonts w:ascii="Times New Roman" w:hAnsi="Times New Roman"/>
          <w:noProof/>
          <w:sz w:val="24"/>
        </w:rPr>
        <w:t xml:space="preserve">the Green Claims Initiative </w:t>
      </w:r>
      <w:r w:rsidRPr="005D7BE7">
        <w:rPr>
          <w:rFonts w:ascii="Times New Roman" w:hAnsi="Times New Roman"/>
          <w:noProof/>
          <w:sz w:val="24"/>
        </w:rPr>
        <w:t xml:space="preserve">does not </w:t>
      </w:r>
      <w:r w:rsidR="00D2226C">
        <w:rPr>
          <w:rFonts w:ascii="Times New Roman" w:hAnsi="Times New Roman"/>
          <w:noProof/>
          <w:sz w:val="24"/>
        </w:rPr>
        <w:t xml:space="preserve">yet </w:t>
      </w:r>
      <w:r w:rsidRPr="005D7BE7">
        <w:rPr>
          <w:rFonts w:ascii="Times New Roman" w:hAnsi="Times New Roman"/>
          <w:noProof/>
          <w:sz w:val="24"/>
        </w:rPr>
        <w:t xml:space="preserve">cover. </w:t>
      </w:r>
      <w:r w:rsidR="00A65D59" w:rsidRPr="005D7BE7">
        <w:rPr>
          <w:rFonts w:ascii="Times New Roman" w:hAnsi="Times New Roman"/>
          <w:noProof/>
          <w:sz w:val="24"/>
        </w:rPr>
        <w:t xml:space="preserve">It </w:t>
      </w:r>
      <w:r w:rsidR="00315883" w:rsidRPr="005D7BE7">
        <w:rPr>
          <w:rFonts w:ascii="Times New Roman" w:hAnsi="Times New Roman"/>
          <w:noProof/>
          <w:sz w:val="24"/>
        </w:rPr>
        <w:t>will</w:t>
      </w:r>
      <w:r w:rsidRPr="005D7BE7">
        <w:rPr>
          <w:rFonts w:ascii="Times New Roman" w:hAnsi="Times New Roman"/>
          <w:noProof/>
          <w:sz w:val="24"/>
        </w:rPr>
        <w:t xml:space="preserve"> bring legal clarity both for businesses and enforcers as to which green claims can be allowed and under which conditions. </w:t>
      </w:r>
      <w:r w:rsidR="00682BBC" w:rsidRPr="005D7BE7">
        <w:rPr>
          <w:rFonts w:ascii="Times New Roman" w:hAnsi="Times New Roman"/>
          <w:noProof/>
          <w:sz w:val="24"/>
        </w:rPr>
        <w:t>It</w:t>
      </w:r>
      <w:r w:rsidR="00060659" w:rsidRPr="005D7BE7">
        <w:rPr>
          <w:rFonts w:ascii="Times New Roman" w:hAnsi="Times New Roman"/>
          <w:noProof/>
          <w:sz w:val="24"/>
        </w:rPr>
        <w:t xml:space="preserve"> </w:t>
      </w:r>
      <w:r w:rsidR="00315883" w:rsidRPr="005D7BE7">
        <w:rPr>
          <w:rFonts w:ascii="Times New Roman" w:hAnsi="Times New Roman"/>
          <w:noProof/>
          <w:sz w:val="24"/>
        </w:rPr>
        <w:t>will</w:t>
      </w:r>
      <w:r w:rsidRPr="005D7BE7">
        <w:rPr>
          <w:rFonts w:ascii="Times New Roman" w:hAnsi="Times New Roman"/>
          <w:noProof/>
          <w:sz w:val="24"/>
        </w:rPr>
        <w:t xml:space="preserve"> also improve consumer trust in green claims and </w:t>
      </w:r>
      <w:r w:rsidR="00315883" w:rsidRPr="005D7BE7">
        <w:rPr>
          <w:rFonts w:ascii="Times New Roman" w:hAnsi="Times New Roman"/>
          <w:noProof/>
          <w:sz w:val="24"/>
        </w:rPr>
        <w:t>will</w:t>
      </w:r>
      <w:r w:rsidR="00060659" w:rsidRPr="005D7BE7">
        <w:rPr>
          <w:rFonts w:ascii="Times New Roman" w:hAnsi="Times New Roman"/>
          <w:noProof/>
          <w:sz w:val="24"/>
        </w:rPr>
        <w:t xml:space="preserve"> </w:t>
      </w:r>
      <w:r w:rsidRPr="005D7BE7">
        <w:rPr>
          <w:rFonts w:ascii="Times New Roman" w:hAnsi="Times New Roman"/>
          <w:noProof/>
          <w:sz w:val="24"/>
        </w:rPr>
        <w:t xml:space="preserve">have a positive impact on the environment as consumers </w:t>
      </w:r>
      <w:r w:rsidR="00315883" w:rsidRPr="005D7BE7">
        <w:rPr>
          <w:rFonts w:ascii="Times New Roman" w:hAnsi="Times New Roman"/>
          <w:noProof/>
          <w:sz w:val="24"/>
        </w:rPr>
        <w:t>will</w:t>
      </w:r>
      <w:r w:rsidR="00060659" w:rsidRPr="005D7BE7">
        <w:rPr>
          <w:rFonts w:ascii="Times New Roman" w:hAnsi="Times New Roman"/>
          <w:noProof/>
          <w:sz w:val="24"/>
        </w:rPr>
        <w:t xml:space="preserve"> </w:t>
      </w:r>
      <w:r w:rsidRPr="005D7BE7">
        <w:rPr>
          <w:rFonts w:ascii="Times New Roman" w:hAnsi="Times New Roman"/>
          <w:noProof/>
          <w:sz w:val="24"/>
        </w:rPr>
        <w:t xml:space="preserve">be able to choose products that are </w:t>
      </w:r>
      <w:r w:rsidR="008E788F" w:rsidRPr="005D7BE7">
        <w:rPr>
          <w:rFonts w:ascii="Times New Roman" w:hAnsi="Times New Roman"/>
          <w:noProof/>
          <w:sz w:val="24"/>
        </w:rPr>
        <w:t xml:space="preserve">truly </w:t>
      </w:r>
      <w:r w:rsidRPr="005D7BE7">
        <w:rPr>
          <w:rFonts w:ascii="Times New Roman" w:hAnsi="Times New Roman"/>
          <w:noProof/>
          <w:sz w:val="24"/>
        </w:rPr>
        <w:t xml:space="preserve">environment-friendly. </w:t>
      </w:r>
      <w:r w:rsidR="00C97E10" w:rsidRPr="00C97E10">
        <w:rPr>
          <w:rFonts w:ascii="Times New Roman" w:hAnsi="Times New Roman"/>
          <w:noProof/>
          <w:sz w:val="24"/>
        </w:rPr>
        <w:t>The proportionality of the ban of general</w:t>
      </w:r>
      <w:r w:rsidR="00980B76">
        <w:rPr>
          <w:rFonts w:ascii="Times New Roman" w:hAnsi="Times New Roman"/>
          <w:noProof/>
          <w:sz w:val="24"/>
        </w:rPr>
        <w:t>/vague</w:t>
      </w:r>
      <w:r w:rsidR="00C97E10" w:rsidRPr="00C97E10">
        <w:rPr>
          <w:rFonts w:ascii="Times New Roman" w:hAnsi="Times New Roman"/>
          <w:noProof/>
          <w:sz w:val="24"/>
        </w:rPr>
        <w:t xml:space="preserve"> environmental claims used in marketing towards consumers is ensured by bringing significant projected benefits for consumers while limiting the burden on traders. Traders </w:t>
      </w:r>
      <w:r w:rsidR="00C97E10">
        <w:rPr>
          <w:rFonts w:ascii="Times New Roman" w:hAnsi="Times New Roman"/>
          <w:noProof/>
          <w:sz w:val="24"/>
        </w:rPr>
        <w:t>will be permitted</w:t>
      </w:r>
      <w:r w:rsidR="00C97E10" w:rsidRPr="00C97E10">
        <w:rPr>
          <w:rFonts w:ascii="Times New Roman" w:hAnsi="Times New Roman"/>
          <w:noProof/>
          <w:sz w:val="24"/>
        </w:rPr>
        <w:t xml:space="preserve"> to make general</w:t>
      </w:r>
      <w:r w:rsidR="00980B76">
        <w:rPr>
          <w:rFonts w:ascii="Times New Roman" w:hAnsi="Times New Roman"/>
          <w:noProof/>
          <w:sz w:val="24"/>
        </w:rPr>
        <w:t>/vague</w:t>
      </w:r>
      <w:r w:rsidR="00C97E10" w:rsidRPr="00C97E10">
        <w:rPr>
          <w:rFonts w:ascii="Times New Roman" w:hAnsi="Times New Roman"/>
          <w:noProof/>
          <w:sz w:val="24"/>
        </w:rPr>
        <w:t xml:space="preserve"> environmental claims in cases where environmentally excellent performance of products or traders which can be demonstrated via Regulation (EC) 66/2010 (EU Eco-label), or officially recognised ecolabelling schemes in the Member States in accordance with Article 11 of Regulation (EC) 66/2010, or in accordance </w:t>
      </w:r>
      <w:r w:rsidR="00C97E10">
        <w:rPr>
          <w:rFonts w:ascii="Times New Roman" w:hAnsi="Times New Roman"/>
          <w:noProof/>
          <w:sz w:val="24"/>
        </w:rPr>
        <w:t xml:space="preserve">with other applicable EU laws. </w:t>
      </w:r>
      <w:r w:rsidR="00D11F80">
        <w:rPr>
          <w:rFonts w:ascii="Times New Roman" w:hAnsi="Times New Roman"/>
          <w:noProof/>
          <w:sz w:val="24"/>
        </w:rPr>
        <w:t xml:space="preserve">Moreover, enforcement authorities will not be required to demonstrate </w:t>
      </w:r>
      <w:r w:rsidR="00D11F80" w:rsidRPr="001C2CE3">
        <w:rPr>
          <w:rFonts w:ascii="Times New Roman" w:hAnsi="Times New Roman"/>
          <w:noProof/>
          <w:sz w:val="24"/>
        </w:rPr>
        <w:t>the negative impact of the unfair practice on the consumers’ transactional decision</w:t>
      </w:r>
      <w:r w:rsidR="00D11F80">
        <w:rPr>
          <w:rFonts w:ascii="Times New Roman" w:hAnsi="Times New Roman"/>
          <w:noProof/>
          <w:sz w:val="24"/>
        </w:rPr>
        <w:t xml:space="preserve">, if this measure would be implemented via an update of  the ‘blacklist’ (Annex I) of the UCPD. </w:t>
      </w:r>
      <w:r w:rsidR="00C97E10" w:rsidRPr="00C97E10">
        <w:rPr>
          <w:rFonts w:ascii="Times New Roman" w:hAnsi="Times New Roman"/>
          <w:noProof/>
          <w:sz w:val="24"/>
        </w:rPr>
        <w:t xml:space="preserve">The proportionality of the criteria for assessing the fairness of any environmental claim used in marketing towards consumers is ensured by introducing uniform minimum requirements. Traders shall </w:t>
      </w:r>
      <w:r w:rsidR="00D11F80">
        <w:rPr>
          <w:rFonts w:ascii="Times New Roman" w:hAnsi="Times New Roman"/>
          <w:noProof/>
          <w:sz w:val="24"/>
        </w:rPr>
        <w:t>fulfil</w:t>
      </w:r>
      <w:r w:rsidR="00C97E10" w:rsidRPr="00C97E10">
        <w:rPr>
          <w:rFonts w:ascii="Times New Roman" w:hAnsi="Times New Roman"/>
          <w:noProof/>
          <w:sz w:val="24"/>
        </w:rPr>
        <w:t xml:space="preserve"> these requir</w:t>
      </w:r>
      <w:r w:rsidR="00C97E10">
        <w:rPr>
          <w:rFonts w:ascii="Times New Roman" w:hAnsi="Times New Roman"/>
          <w:noProof/>
          <w:sz w:val="24"/>
        </w:rPr>
        <w:t>ements when making such claims. The preferred policy option</w:t>
      </w:r>
      <w:r w:rsidR="00C97E10" w:rsidRPr="00C97E10">
        <w:rPr>
          <w:rFonts w:ascii="Times New Roman" w:hAnsi="Times New Roman"/>
          <w:noProof/>
          <w:sz w:val="24"/>
        </w:rPr>
        <w:t xml:space="preserve"> does not prescribe</w:t>
      </w:r>
      <w:r w:rsidR="00C97E10">
        <w:rPr>
          <w:rFonts w:ascii="Times New Roman" w:hAnsi="Times New Roman"/>
          <w:noProof/>
          <w:sz w:val="24"/>
        </w:rPr>
        <w:t xml:space="preserve"> </w:t>
      </w:r>
      <w:r w:rsidR="00C97E10" w:rsidRPr="00C97E10">
        <w:rPr>
          <w:rFonts w:ascii="Times New Roman" w:hAnsi="Times New Roman"/>
          <w:noProof/>
          <w:sz w:val="24"/>
        </w:rPr>
        <w:t xml:space="preserve">any specific methodology for the substantiation of any environmental claim. Other potential legislation may be tailored to specific types of environmental claims, for example those based on certain environmental impacts. </w:t>
      </w:r>
      <w:r w:rsidR="00C97E10">
        <w:rPr>
          <w:rFonts w:ascii="Times New Roman" w:hAnsi="Times New Roman"/>
          <w:noProof/>
          <w:sz w:val="24"/>
        </w:rPr>
        <w:t>This option</w:t>
      </w:r>
      <w:r w:rsidR="00C97E10" w:rsidRPr="00C97E10">
        <w:rPr>
          <w:rFonts w:ascii="Times New Roman" w:hAnsi="Times New Roman"/>
          <w:noProof/>
          <w:sz w:val="24"/>
        </w:rPr>
        <w:t xml:space="preserve"> will also provide competent national bodies uniform criteria for helping them to assess the fairness of any environmental claim, providing legal certainty and facilitate enforcement activities.</w:t>
      </w:r>
    </w:p>
    <w:p w:rsidR="00315844" w:rsidRPr="009B5734" w:rsidRDefault="00315844" w:rsidP="00C33F62">
      <w:pPr>
        <w:ind w:left="0" w:firstLine="0"/>
        <w:rPr>
          <w:rFonts w:ascii="Times New Roman" w:hAnsi="Times New Roman" w:cs="Times New Roman"/>
          <w:noProof/>
          <w:sz w:val="24"/>
          <w:szCs w:val="24"/>
        </w:rPr>
      </w:pPr>
    </w:p>
    <w:p w:rsidR="00B74B42" w:rsidRPr="009B5734" w:rsidRDefault="008A6DCE" w:rsidP="00C97E10">
      <w:pPr>
        <w:ind w:left="0" w:firstLine="0"/>
        <w:rPr>
          <w:rFonts w:ascii="Times New Roman" w:hAnsi="Times New Roman"/>
          <w:noProof/>
          <w:sz w:val="24"/>
        </w:rPr>
      </w:pPr>
      <w:r w:rsidRPr="009B5734">
        <w:rPr>
          <w:rFonts w:ascii="Times New Roman" w:hAnsi="Times New Roman"/>
          <w:noProof/>
          <w:sz w:val="24"/>
        </w:rPr>
        <w:t xml:space="preserve">In relation to </w:t>
      </w:r>
      <w:r w:rsidRPr="009B5734">
        <w:rPr>
          <w:rFonts w:ascii="Times New Roman" w:hAnsi="Times New Roman"/>
          <w:b/>
          <w:noProof/>
          <w:sz w:val="24"/>
        </w:rPr>
        <w:t>sub-problem 2.3</w:t>
      </w:r>
      <w:r w:rsidR="00961114" w:rsidRPr="009B5734">
        <w:rPr>
          <w:rFonts w:ascii="Times New Roman" w:hAnsi="Times New Roman"/>
          <w:b/>
          <w:noProof/>
          <w:sz w:val="24"/>
        </w:rPr>
        <w:t xml:space="preserve"> </w:t>
      </w:r>
      <w:r w:rsidR="001B6721" w:rsidRPr="009B5734">
        <w:rPr>
          <w:rFonts w:ascii="Times New Roman" w:hAnsi="Times New Roman"/>
          <w:noProof/>
          <w:sz w:val="24"/>
        </w:rPr>
        <w:t>(</w:t>
      </w:r>
      <w:r w:rsidR="00993C5A" w:rsidRPr="009B5734">
        <w:rPr>
          <w:rFonts w:ascii="Times New Roman" w:hAnsi="Times New Roman"/>
          <w:noProof/>
          <w:sz w:val="24"/>
        </w:rPr>
        <w:t>the use of sustainability labels and digital information tools that are not always transparent or credible</w:t>
      </w:r>
      <w:r w:rsidR="001B6721" w:rsidRPr="009B5734">
        <w:rPr>
          <w:rFonts w:ascii="Times New Roman" w:hAnsi="Times New Roman"/>
          <w:noProof/>
          <w:sz w:val="24"/>
        </w:rPr>
        <w:t>)</w:t>
      </w:r>
      <w:r w:rsidR="00355D67" w:rsidRPr="009B5734">
        <w:rPr>
          <w:rFonts w:ascii="Times New Roman" w:hAnsi="Times New Roman"/>
          <w:noProof/>
          <w:sz w:val="24"/>
        </w:rPr>
        <w:t xml:space="preserve">, </w:t>
      </w:r>
      <w:r w:rsidR="00355D67" w:rsidRPr="009B5734">
        <w:rPr>
          <w:rFonts w:ascii="Times New Roman" w:hAnsi="Times New Roman"/>
          <w:b/>
          <w:noProof/>
          <w:sz w:val="24"/>
        </w:rPr>
        <w:t>option 2.</w:t>
      </w:r>
      <w:r w:rsidR="00DE54A3" w:rsidRPr="009B5734">
        <w:rPr>
          <w:rFonts w:ascii="Times New Roman" w:hAnsi="Times New Roman"/>
          <w:b/>
          <w:noProof/>
          <w:sz w:val="24"/>
        </w:rPr>
        <w:t>3</w:t>
      </w:r>
      <w:r w:rsidR="00355D67" w:rsidRPr="009B5734">
        <w:rPr>
          <w:rFonts w:ascii="Times New Roman" w:hAnsi="Times New Roman"/>
          <w:b/>
          <w:noProof/>
          <w:sz w:val="24"/>
        </w:rPr>
        <w:t>.B</w:t>
      </w:r>
      <w:r w:rsidR="00880179" w:rsidRPr="009B5734">
        <w:rPr>
          <w:rFonts w:ascii="Times New Roman" w:hAnsi="Times New Roman"/>
          <w:b/>
          <w:noProof/>
          <w:sz w:val="24"/>
        </w:rPr>
        <w:t xml:space="preserve"> </w:t>
      </w:r>
      <w:r w:rsidR="00682BBC" w:rsidRPr="009B5734">
        <w:rPr>
          <w:rFonts w:ascii="Times New Roman" w:hAnsi="Times New Roman"/>
          <w:noProof/>
          <w:sz w:val="24"/>
        </w:rPr>
        <w:t>will be selected as the preferred policy option.</w:t>
      </w:r>
      <w:r w:rsidR="00682BBC" w:rsidRPr="009B5734">
        <w:rPr>
          <w:rFonts w:ascii="Times New Roman" w:hAnsi="Times New Roman"/>
          <w:b/>
          <w:noProof/>
          <w:sz w:val="24"/>
        </w:rPr>
        <w:t xml:space="preserve"> </w:t>
      </w:r>
      <w:r w:rsidR="00682BBC" w:rsidRPr="009B5734">
        <w:rPr>
          <w:rFonts w:ascii="Times New Roman" w:hAnsi="Times New Roman"/>
          <w:noProof/>
          <w:sz w:val="24"/>
        </w:rPr>
        <w:t xml:space="preserve">This option entails </w:t>
      </w:r>
      <w:r w:rsidR="005446BE" w:rsidRPr="009B5734">
        <w:rPr>
          <w:rFonts w:ascii="Times New Roman" w:hAnsi="Times New Roman"/>
          <w:noProof/>
          <w:sz w:val="24"/>
        </w:rPr>
        <w:t xml:space="preserve">providing </w:t>
      </w:r>
      <w:r w:rsidR="00880179" w:rsidRPr="009B5734">
        <w:rPr>
          <w:rFonts w:ascii="Times New Roman" w:hAnsi="Times New Roman"/>
          <w:b/>
          <w:noProof/>
          <w:sz w:val="24"/>
        </w:rPr>
        <w:t xml:space="preserve">minimum </w:t>
      </w:r>
      <w:r w:rsidR="00F6704C" w:rsidRPr="009B5734">
        <w:rPr>
          <w:rFonts w:ascii="Times New Roman" w:hAnsi="Times New Roman"/>
          <w:b/>
          <w:noProof/>
          <w:sz w:val="24"/>
        </w:rPr>
        <w:t xml:space="preserve">transparency and credibility </w:t>
      </w:r>
      <w:r w:rsidR="005446BE" w:rsidRPr="009B5734">
        <w:rPr>
          <w:rFonts w:ascii="Times New Roman" w:hAnsi="Times New Roman"/>
          <w:b/>
          <w:noProof/>
          <w:sz w:val="24"/>
        </w:rPr>
        <w:t>criteria for assessing the fairness of</w:t>
      </w:r>
      <w:r w:rsidR="00F6704C" w:rsidRPr="009B5734">
        <w:rPr>
          <w:rFonts w:ascii="Times New Roman" w:hAnsi="Times New Roman"/>
          <w:b/>
          <w:noProof/>
          <w:sz w:val="24"/>
        </w:rPr>
        <w:t xml:space="preserve"> sustainability labels</w:t>
      </w:r>
      <w:r w:rsidR="00821C27" w:rsidRPr="009B5734">
        <w:rPr>
          <w:rFonts w:ascii="Times New Roman" w:hAnsi="Times New Roman"/>
          <w:b/>
          <w:noProof/>
          <w:sz w:val="24"/>
        </w:rPr>
        <w:t xml:space="preserve"> and digital information tools</w:t>
      </w:r>
      <w:r w:rsidR="00682BBC" w:rsidRPr="009B5734">
        <w:rPr>
          <w:rFonts w:ascii="Times New Roman" w:hAnsi="Times New Roman"/>
          <w:noProof/>
          <w:sz w:val="24"/>
        </w:rPr>
        <w:t>, and will be achieved</w:t>
      </w:r>
      <w:r w:rsidR="00AB2461" w:rsidRPr="009B5734" w:rsidDel="00682BBC">
        <w:rPr>
          <w:rFonts w:ascii="Times New Roman" w:hAnsi="Times New Roman"/>
          <w:noProof/>
          <w:sz w:val="24"/>
        </w:rPr>
        <w:t xml:space="preserve"> </w:t>
      </w:r>
      <w:r w:rsidR="00AB2461" w:rsidRPr="009B5734">
        <w:rPr>
          <w:rFonts w:ascii="Times New Roman" w:hAnsi="Times New Roman"/>
          <w:noProof/>
          <w:sz w:val="24"/>
        </w:rPr>
        <w:t>via targeted amendments of the Unfair Commercial Practices Directive</w:t>
      </w:r>
      <w:r w:rsidR="00060659" w:rsidRPr="009B5734">
        <w:rPr>
          <w:rFonts w:ascii="Times New Roman" w:hAnsi="Times New Roman"/>
          <w:noProof/>
          <w:sz w:val="24"/>
        </w:rPr>
        <w:t xml:space="preserve">. </w:t>
      </w:r>
      <w:r w:rsidR="00AB2461" w:rsidRPr="009B5734">
        <w:rPr>
          <w:rFonts w:ascii="Times New Roman" w:hAnsi="Times New Roman"/>
          <w:noProof/>
          <w:sz w:val="24"/>
        </w:rPr>
        <w:t xml:space="preserve">This </w:t>
      </w:r>
      <w:r w:rsidR="00315883" w:rsidRPr="009B5734">
        <w:rPr>
          <w:rFonts w:ascii="Times New Roman" w:hAnsi="Times New Roman"/>
          <w:noProof/>
          <w:sz w:val="24"/>
        </w:rPr>
        <w:t>will</w:t>
      </w:r>
      <w:r w:rsidRPr="009B5734">
        <w:rPr>
          <w:rFonts w:ascii="Times New Roman" w:hAnsi="Times New Roman"/>
          <w:noProof/>
          <w:sz w:val="24"/>
        </w:rPr>
        <w:t xml:space="preserve"> provide a </w:t>
      </w:r>
      <w:r w:rsidR="005446BE" w:rsidRPr="009B5734">
        <w:rPr>
          <w:rFonts w:ascii="Times New Roman" w:hAnsi="Times New Roman"/>
          <w:noProof/>
          <w:sz w:val="24"/>
        </w:rPr>
        <w:t>stronger</w:t>
      </w:r>
      <w:r w:rsidRPr="009B5734">
        <w:rPr>
          <w:rFonts w:ascii="Times New Roman" w:hAnsi="Times New Roman"/>
          <w:noProof/>
          <w:sz w:val="24"/>
        </w:rPr>
        <w:t xml:space="preserve"> framework to </w:t>
      </w:r>
      <w:r w:rsidR="005446BE" w:rsidRPr="009B5734">
        <w:rPr>
          <w:rFonts w:ascii="Times New Roman" w:hAnsi="Times New Roman"/>
          <w:noProof/>
          <w:sz w:val="24"/>
        </w:rPr>
        <w:t>ensure</w:t>
      </w:r>
      <w:r w:rsidRPr="009B5734">
        <w:rPr>
          <w:rFonts w:ascii="Times New Roman" w:hAnsi="Times New Roman"/>
          <w:noProof/>
          <w:sz w:val="24"/>
        </w:rPr>
        <w:t xml:space="preserve"> the reliability and transparency of </w:t>
      </w:r>
      <w:r w:rsidR="00AB2461" w:rsidRPr="009B5734">
        <w:rPr>
          <w:rFonts w:ascii="Times New Roman" w:hAnsi="Times New Roman"/>
          <w:noProof/>
          <w:sz w:val="24"/>
        </w:rPr>
        <w:t>sustainability</w:t>
      </w:r>
      <w:r w:rsidRPr="009B5734">
        <w:rPr>
          <w:rFonts w:ascii="Times New Roman" w:hAnsi="Times New Roman"/>
          <w:noProof/>
          <w:sz w:val="24"/>
        </w:rPr>
        <w:t xml:space="preserve"> labels</w:t>
      </w:r>
      <w:r w:rsidR="00993C5A" w:rsidRPr="009B5734">
        <w:rPr>
          <w:rFonts w:ascii="Times New Roman" w:hAnsi="Times New Roman"/>
          <w:noProof/>
          <w:sz w:val="24"/>
        </w:rPr>
        <w:t xml:space="preserve"> and digital information tools</w:t>
      </w:r>
      <w:r w:rsidRPr="009B5734">
        <w:rPr>
          <w:rFonts w:ascii="Times New Roman" w:hAnsi="Times New Roman"/>
          <w:noProof/>
          <w:sz w:val="24"/>
        </w:rPr>
        <w:t xml:space="preserve">, thus having a positive impact on consumer trust. By setting out clear criteria, </w:t>
      </w:r>
      <w:r w:rsidR="00F6704C" w:rsidRPr="009B5734">
        <w:rPr>
          <w:rFonts w:ascii="Times New Roman" w:hAnsi="Times New Roman"/>
          <w:noProof/>
          <w:sz w:val="24"/>
        </w:rPr>
        <w:t xml:space="preserve">this </w:t>
      </w:r>
      <w:r w:rsidR="00315883" w:rsidRPr="009B5734">
        <w:rPr>
          <w:rFonts w:ascii="Times New Roman" w:hAnsi="Times New Roman"/>
          <w:noProof/>
          <w:sz w:val="24"/>
        </w:rPr>
        <w:t>will</w:t>
      </w:r>
      <w:r w:rsidRPr="009B5734">
        <w:rPr>
          <w:rFonts w:ascii="Times New Roman" w:hAnsi="Times New Roman"/>
          <w:noProof/>
          <w:sz w:val="24"/>
        </w:rPr>
        <w:t xml:space="preserve"> facilitate the work of enforcers</w:t>
      </w:r>
      <w:r w:rsidR="00F958E6" w:rsidRPr="009B5734">
        <w:rPr>
          <w:rFonts w:ascii="Times New Roman" w:hAnsi="Times New Roman"/>
          <w:noProof/>
          <w:sz w:val="24"/>
        </w:rPr>
        <w:t xml:space="preserve">. </w:t>
      </w:r>
      <w:r w:rsidR="00C97E10" w:rsidRPr="00C97E10">
        <w:rPr>
          <w:rFonts w:ascii="Times New Roman" w:hAnsi="Times New Roman"/>
          <w:noProof/>
          <w:sz w:val="24"/>
        </w:rPr>
        <w:t>The proportionality of the criteria for assessing the fairness of the display of sustainability labels in marketing towards consumers is ensured by requir</w:t>
      </w:r>
      <w:r w:rsidR="00C97E10">
        <w:rPr>
          <w:rFonts w:ascii="Times New Roman" w:hAnsi="Times New Roman"/>
          <w:noProof/>
          <w:sz w:val="24"/>
        </w:rPr>
        <w:t>ing a limited number of uniform</w:t>
      </w:r>
      <w:r w:rsidR="00C97E10" w:rsidRPr="00C97E10">
        <w:rPr>
          <w:rFonts w:ascii="Times New Roman" w:hAnsi="Times New Roman"/>
          <w:noProof/>
          <w:sz w:val="24"/>
        </w:rPr>
        <w:t xml:space="preserve"> minimum requir</w:t>
      </w:r>
      <w:r w:rsidR="00C97E10">
        <w:rPr>
          <w:rFonts w:ascii="Times New Roman" w:hAnsi="Times New Roman"/>
          <w:noProof/>
          <w:sz w:val="24"/>
        </w:rPr>
        <w:t>e</w:t>
      </w:r>
      <w:r w:rsidR="00C97E10" w:rsidRPr="00C97E10">
        <w:rPr>
          <w:rFonts w:ascii="Times New Roman" w:hAnsi="Times New Roman"/>
          <w:noProof/>
          <w:sz w:val="24"/>
        </w:rPr>
        <w:t>ments to ensure the transparency and credibility of such sustainability labels towards cons</w:t>
      </w:r>
      <w:r w:rsidR="00C97E10">
        <w:rPr>
          <w:rFonts w:ascii="Times New Roman" w:hAnsi="Times New Roman"/>
          <w:noProof/>
          <w:sz w:val="24"/>
        </w:rPr>
        <w:t>umers. This ensures that entit</w:t>
      </w:r>
      <w:r w:rsidR="00C97E10" w:rsidRPr="00C97E10">
        <w:rPr>
          <w:rFonts w:ascii="Times New Roman" w:hAnsi="Times New Roman"/>
          <w:noProof/>
          <w:sz w:val="24"/>
        </w:rPr>
        <w:t>ies running sustainability labels, as well as the traders applying fo</w:t>
      </w:r>
      <w:r w:rsidR="00CC0CC9">
        <w:rPr>
          <w:rFonts w:ascii="Times New Roman" w:hAnsi="Times New Roman"/>
          <w:noProof/>
          <w:sz w:val="24"/>
        </w:rPr>
        <w:t>r those sustainability labels,</w:t>
      </w:r>
      <w:r w:rsidR="00C97E10">
        <w:rPr>
          <w:rFonts w:ascii="Times New Roman" w:hAnsi="Times New Roman"/>
          <w:noProof/>
          <w:sz w:val="24"/>
        </w:rPr>
        <w:t xml:space="preserve"> </w:t>
      </w:r>
      <w:r w:rsidR="00C97E10" w:rsidRPr="00C97E10">
        <w:rPr>
          <w:rFonts w:ascii="Times New Roman" w:hAnsi="Times New Roman"/>
          <w:noProof/>
          <w:sz w:val="24"/>
        </w:rPr>
        <w:t>do not face disproportionate costs. At the same time it will ensure</w:t>
      </w:r>
      <w:r w:rsidR="00C97E10">
        <w:rPr>
          <w:rFonts w:ascii="Times New Roman" w:hAnsi="Times New Roman"/>
          <w:noProof/>
          <w:sz w:val="24"/>
        </w:rPr>
        <w:t xml:space="preserve"> </w:t>
      </w:r>
      <w:r w:rsidR="00C97E10" w:rsidRPr="00C97E10">
        <w:rPr>
          <w:rFonts w:ascii="Times New Roman" w:hAnsi="Times New Roman"/>
          <w:noProof/>
          <w:sz w:val="24"/>
        </w:rPr>
        <w:t>legal certainty for traders, facilitate enforcement activities and pursue a high level of consumer protectio</w:t>
      </w:r>
      <w:r w:rsidR="00C97E10">
        <w:rPr>
          <w:rFonts w:ascii="Times New Roman" w:hAnsi="Times New Roman"/>
          <w:noProof/>
          <w:sz w:val="24"/>
        </w:rPr>
        <w:t xml:space="preserve">n. </w:t>
      </w:r>
      <w:r w:rsidR="00C97E10" w:rsidRPr="00C97E10">
        <w:rPr>
          <w:rFonts w:ascii="Times New Roman" w:hAnsi="Times New Roman"/>
          <w:noProof/>
          <w:sz w:val="24"/>
        </w:rPr>
        <w:t>The proportionality of the criteria for assessing the fairness of sustainability information tools is ensured by introducing criteria to assess the transparency and credibility of the information provided by the tools only. No requirements are introduced that would subject the taking up and pursuit of the activity of a provider of such software to prior authorisation or any other requirement having equivalent effect, thus ensuring the full compliance of the provisions with the provisions of Art. 4 (1) of Directive 2000/31/EC regarding the establishment of information society services. This ensures that the impacts on traders providing or marketing such tools are limited.</w:t>
      </w:r>
    </w:p>
    <w:p w:rsidR="008C2DDF" w:rsidRPr="009B5734" w:rsidRDefault="008C2DDF" w:rsidP="00880179">
      <w:pPr>
        <w:ind w:left="0" w:firstLine="0"/>
        <w:rPr>
          <w:rFonts w:ascii="Times New Roman" w:hAnsi="Times New Roman" w:cs="Times New Roman"/>
          <w:b/>
          <w:noProof/>
          <w:sz w:val="24"/>
          <w:szCs w:val="24"/>
        </w:rPr>
      </w:pPr>
    </w:p>
    <w:p w:rsidR="008C2DDF" w:rsidRPr="009B5734" w:rsidRDefault="00ED0DC5">
      <w:pPr>
        <w:ind w:left="0" w:firstLine="0"/>
        <w:rPr>
          <w:rFonts w:ascii="Times New Roman" w:hAnsi="Times New Roman"/>
          <w:noProof/>
          <w:sz w:val="24"/>
        </w:rPr>
      </w:pPr>
      <w:r w:rsidRPr="009B5734">
        <w:rPr>
          <w:rFonts w:ascii="Times New Roman" w:hAnsi="Times New Roman"/>
          <w:noProof/>
          <w:sz w:val="24"/>
        </w:rPr>
        <w:t>The contribution of the selected options</w:t>
      </w:r>
      <w:r w:rsidR="008C2DDF" w:rsidRPr="009B5734">
        <w:rPr>
          <w:rFonts w:ascii="Times New Roman" w:hAnsi="Times New Roman"/>
          <w:noProof/>
          <w:sz w:val="24"/>
        </w:rPr>
        <w:t xml:space="preserve"> to this initiative’s specific objectives</w:t>
      </w:r>
      <w:r w:rsidRPr="009B5734">
        <w:rPr>
          <w:rFonts w:ascii="Times New Roman" w:hAnsi="Times New Roman"/>
          <w:noProof/>
          <w:sz w:val="24"/>
        </w:rPr>
        <w:t xml:space="preserve"> can be summarised as follows</w:t>
      </w:r>
      <w:r w:rsidR="008C2DDF" w:rsidRPr="009B5734">
        <w:rPr>
          <w:rFonts w:ascii="Times New Roman" w:hAnsi="Times New Roman"/>
          <w:noProof/>
          <w:sz w:val="24"/>
        </w:rPr>
        <w:t>:</w:t>
      </w:r>
    </w:p>
    <w:p w:rsidR="008C2DDF" w:rsidRPr="009B5734" w:rsidRDefault="008C2DDF">
      <w:pPr>
        <w:pStyle w:val="BTNumbList"/>
        <w:numPr>
          <w:ilvl w:val="0"/>
          <w:numId w:val="57"/>
        </w:numPr>
        <w:spacing w:before="0"/>
        <w:rPr>
          <w:rFonts w:ascii="Times New Roman" w:hAnsi="Times New Roman"/>
          <w:noProof/>
          <w:sz w:val="24"/>
        </w:rPr>
      </w:pPr>
      <w:r w:rsidRPr="009B5734">
        <w:rPr>
          <w:rFonts w:ascii="Times New Roman" w:hAnsi="Times New Roman"/>
          <w:noProof/>
          <w:sz w:val="24"/>
        </w:rPr>
        <w:t xml:space="preserve">The objective </w:t>
      </w:r>
      <w:r w:rsidR="008E788F" w:rsidRPr="009B5734">
        <w:rPr>
          <w:rFonts w:ascii="Times New Roman" w:hAnsi="Times New Roman"/>
          <w:noProof/>
          <w:sz w:val="24"/>
        </w:rPr>
        <w:t>of enabling</w:t>
      </w:r>
      <w:r w:rsidRPr="009B5734">
        <w:rPr>
          <w:rFonts w:ascii="Times New Roman" w:hAnsi="Times New Roman"/>
          <w:noProof/>
          <w:sz w:val="24"/>
        </w:rPr>
        <w:t xml:space="preserve"> informed purchasing decision</w:t>
      </w:r>
      <w:r w:rsidR="0099408B" w:rsidRPr="009B5734">
        <w:rPr>
          <w:rFonts w:ascii="Times New Roman" w:hAnsi="Times New Roman"/>
          <w:noProof/>
          <w:sz w:val="24"/>
        </w:rPr>
        <w:t>s</w:t>
      </w:r>
      <w:r w:rsidRPr="009B5734">
        <w:rPr>
          <w:rFonts w:ascii="Times New Roman" w:hAnsi="Times New Roman"/>
          <w:noProof/>
          <w:sz w:val="24"/>
        </w:rPr>
        <w:t xml:space="preserve"> by consumers to foster sustainable consumption </w:t>
      </w:r>
      <w:r w:rsidR="00060659" w:rsidRPr="009B5734">
        <w:rPr>
          <w:rFonts w:ascii="Times New Roman" w:hAnsi="Times New Roman"/>
          <w:noProof/>
          <w:sz w:val="24"/>
        </w:rPr>
        <w:t xml:space="preserve">would </w:t>
      </w:r>
      <w:r w:rsidRPr="009B5734">
        <w:rPr>
          <w:rFonts w:ascii="Times New Roman" w:hAnsi="Times New Roman"/>
          <w:noProof/>
          <w:sz w:val="24"/>
        </w:rPr>
        <w:t xml:space="preserve">be particularly achieved thanks to </w:t>
      </w:r>
      <w:r w:rsidR="00BA2AFE" w:rsidRPr="009B5734">
        <w:rPr>
          <w:rFonts w:ascii="Times New Roman" w:hAnsi="Times New Roman"/>
          <w:b/>
          <w:noProof/>
          <w:sz w:val="24"/>
        </w:rPr>
        <w:t>o</w:t>
      </w:r>
      <w:r w:rsidRPr="009B5734">
        <w:rPr>
          <w:rFonts w:ascii="Times New Roman" w:hAnsi="Times New Roman"/>
          <w:b/>
          <w:noProof/>
          <w:sz w:val="24"/>
        </w:rPr>
        <w:t>ptions 1.2.</w:t>
      </w:r>
      <w:r w:rsidR="00B74B42" w:rsidRPr="009B5734">
        <w:rPr>
          <w:rFonts w:ascii="Times New Roman" w:hAnsi="Times New Roman"/>
          <w:b/>
          <w:noProof/>
          <w:sz w:val="24"/>
        </w:rPr>
        <w:t>C and 1.3</w:t>
      </w:r>
      <w:r w:rsidR="00BA2AFE" w:rsidRPr="009B5734">
        <w:rPr>
          <w:rFonts w:ascii="Times New Roman" w:hAnsi="Times New Roman"/>
          <w:b/>
          <w:noProof/>
          <w:sz w:val="24"/>
        </w:rPr>
        <w:t>.</w:t>
      </w:r>
      <w:r w:rsidR="00B74B42" w:rsidRPr="009B5734">
        <w:rPr>
          <w:rFonts w:ascii="Times New Roman" w:hAnsi="Times New Roman"/>
          <w:b/>
          <w:noProof/>
          <w:sz w:val="24"/>
        </w:rPr>
        <w:t>E</w:t>
      </w:r>
      <w:r w:rsidR="0099408B" w:rsidRPr="009B5734">
        <w:rPr>
          <w:rFonts w:ascii="Times New Roman" w:hAnsi="Times New Roman"/>
          <w:b/>
          <w:noProof/>
          <w:sz w:val="24"/>
        </w:rPr>
        <w:t>,</w:t>
      </w:r>
      <w:r w:rsidR="008E788F" w:rsidRPr="009B5734">
        <w:rPr>
          <w:rFonts w:ascii="Times New Roman" w:hAnsi="Times New Roman"/>
          <w:b/>
          <w:noProof/>
          <w:sz w:val="24"/>
        </w:rPr>
        <w:t xml:space="preserve"> </w:t>
      </w:r>
      <w:r w:rsidRPr="009B5734">
        <w:rPr>
          <w:rFonts w:ascii="Times New Roman" w:hAnsi="Times New Roman"/>
          <w:noProof/>
          <w:sz w:val="24"/>
        </w:rPr>
        <w:t xml:space="preserve">as these </w:t>
      </w:r>
      <w:r w:rsidR="00060659" w:rsidRPr="009B5734">
        <w:rPr>
          <w:rFonts w:ascii="Times New Roman" w:hAnsi="Times New Roman"/>
          <w:noProof/>
          <w:sz w:val="24"/>
        </w:rPr>
        <w:t xml:space="preserve">would </w:t>
      </w:r>
      <w:r w:rsidRPr="009B5734">
        <w:rPr>
          <w:rFonts w:ascii="Times New Roman" w:hAnsi="Times New Roman"/>
          <w:noProof/>
          <w:sz w:val="24"/>
        </w:rPr>
        <w:t xml:space="preserve">guide consumers towards products with </w:t>
      </w:r>
      <w:r w:rsidR="0099408B" w:rsidRPr="009B5734">
        <w:rPr>
          <w:rFonts w:ascii="Times New Roman" w:hAnsi="Times New Roman"/>
          <w:noProof/>
          <w:sz w:val="24"/>
        </w:rPr>
        <w:t xml:space="preserve">a </w:t>
      </w:r>
      <w:r w:rsidRPr="009B5734">
        <w:rPr>
          <w:rFonts w:ascii="Times New Roman" w:hAnsi="Times New Roman"/>
          <w:noProof/>
          <w:sz w:val="24"/>
        </w:rPr>
        <w:t xml:space="preserve">longer </w:t>
      </w:r>
      <w:r w:rsidR="0099408B" w:rsidRPr="009B5734">
        <w:rPr>
          <w:rFonts w:ascii="Times New Roman" w:hAnsi="Times New Roman"/>
          <w:noProof/>
          <w:sz w:val="24"/>
        </w:rPr>
        <w:t xml:space="preserve">guaranteed </w:t>
      </w:r>
      <w:r w:rsidRPr="009B5734">
        <w:rPr>
          <w:rFonts w:ascii="Times New Roman" w:hAnsi="Times New Roman"/>
          <w:noProof/>
          <w:sz w:val="24"/>
        </w:rPr>
        <w:t>lifespan</w:t>
      </w:r>
      <w:r w:rsidR="0083233B" w:rsidRPr="009B5734">
        <w:rPr>
          <w:rFonts w:ascii="Times New Roman" w:hAnsi="Times New Roman"/>
          <w:noProof/>
          <w:sz w:val="24"/>
        </w:rPr>
        <w:t xml:space="preserve"> and actionable repair information. It </w:t>
      </w:r>
      <w:r w:rsidR="00060659" w:rsidRPr="009B5734">
        <w:rPr>
          <w:rFonts w:ascii="Times New Roman" w:hAnsi="Times New Roman"/>
          <w:noProof/>
          <w:sz w:val="24"/>
        </w:rPr>
        <w:t>would</w:t>
      </w:r>
      <w:r w:rsidR="0083233B" w:rsidRPr="009B5734">
        <w:rPr>
          <w:rFonts w:ascii="Times New Roman" w:hAnsi="Times New Roman"/>
          <w:noProof/>
          <w:sz w:val="24"/>
        </w:rPr>
        <w:t xml:space="preserve"> also be indirectly achieved by </w:t>
      </w:r>
      <w:r w:rsidR="00BA2AFE" w:rsidRPr="009B5734">
        <w:rPr>
          <w:rFonts w:ascii="Times New Roman" w:hAnsi="Times New Roman"/>
          <w:b/>
          <w:noProof/>
          <w:sz w:val="24"/>
        </w:rPr>
        <w:t>o</w:t>
      </w:r>
      <w:r w:rsidR="0083233B" w:rsidRPr="009B5734">
        <w:rPr>
          <w:rFonts w:ascii="Times New Roman" w:hAnsi="Times New Roman"/>
          <w:b/>
          <w:noProof/>
          <w:sz w:val="24"/>
        </w:rPr>
        <w:t>ptions 2.</w:t>
      </w:r>
      <w:r w:rsidR="00B74B42" w:rsidRPr="009B5734">
        <w:rPr>
          <w:rFonts w:ascii="Times New Roman" w:hAnsi="Times New Roman"/>
          <w:b/>
          <w:noProof/>
          <w:sz w:val="24"/>
        </w:rPr>
        <w:t xml:space="preserve">1.B, </w:t>
      </w:r>
      <w:r w:rsidR="0083233B" w:rsidRPr="009B5734">
        <w:rPr>
          <w:rFonts w:ascii="Times New Roman" w:hAnsi="Times New Roman"/>
          <w:b/>
          <w:noProof/>
          <w:sz w:val="24"/>
        </w:rPr>
        <w:t>2.2.</w:t>
      </w:r>
      <w:r w:rsidR="00B74B42" w:rsidRPr="009B5734">
        <w:rPr>
          <w:rFonts w:ascii="Times New Roman" w:hAnsi="Times New Roman"/>
          <w:b/>
          <w:noProof/>
          <w:sz w:val="24"/>
        </w:rPr>
        <w:t>C</w:t>
      </w:r>
      <w:r w:rsidR="0083233B" w:rsidRPr="009B5734">
        <w:rPr>
          <w:rFonts w:ascii="Times New Roman" w:hAnsi="Times New Roman"/>
          <w:b/>
          <w:noProof/>
          <w:sz w:val="24"/>
        </w:rPr>
        <w:t>, and 2.3.</w:t>
      </w:r>
      <w:r w:rsidR="00B74B42" w:rsidRPr="009B5734">
        <w:rPr>
          <w:rFonts w:ascii="Times New Roman" w:hAnsi="Times New Roman"/>
          <w:b/>
          <w:noProof/>
          <w:sz w:val="24"/>
        </w:rPr>
        <w:t>B</w:t>
      </w:r>
      <w:r w:rsidR="00BA2AFE" w:rsidRPr="009B5734">
        <w:rPr>
          <w:rFonts w:ascii="Times New Roman" w:hAnsi="Times New Roman"/>
          <w:b/>
          <w:noProof/>
          <w:sz w:val="24"/>
        </w:rPr>
        <w:t>,</w:t>
      </w:r>
      <w:r w:rsidR="0083233B" w:rsidRPr="009B5734">
        <w:rPr>
          <w:rFonts w:ascii="Times New Roman" w:hAnsi="Times New Roman"/>
          <w:noProof/>
          <w:sz w:val="24"/>
        </w:rPr>
        <w:t xml:space="preserve"> as these options </w:t>
      </w:r>
      <w:r w:rsidR="00060659" w:rsidRPr="009B5734">
        <w:rPr>
          <w:rFonts w:ascii="Times New Roman" w:hAnsi="Times New Roman"/>
          <w:noProof/>
          <w:sz w:val="24"/>
        </w:rPr>
        <w:t xml:space="preserve">would </w:t>
      </w:r>
      <w:r w:rsidR="0083233B" w:rsidRPr="009B5734">
        <w:rPr>
          <w:rFonts w:ascii="Times New Roman" w:hAnsi="Times New Roman"/>
          <w:noProof/>
          <w:sz w:val="24"/>
        </w:rPr>
        <w:t xml:space="preserve">strengthen the reliability of the information provided to consumers. </w:t>
      </w:r>
      <w:r w:rsidRPr="009B5734">
        <w:rPr>
          <w:rFonts w:ascii="Times New Roman" w:hAnsi="Times New Roman"/>
          <w:noProof/>
          <w:sz w:val="24"/>
        </w:rPr>
        <w:t xml:space="preserve"> </w:t>
      </w:r>
    </w:p>
    <w:p w:rsidR="0083233B" w:rsidRPr="009B5734" w:rsidRDefault="0083233B">
      <w:pPr>
        <w:pStyle w:val="BTNumbList"/>
        <w:numPr>
          <w:ilvl w:val="0"/>
          <w:numId w:val="57"/>
        </w:numPr>
        <w:spacing w:before="0"/>
        <w:rPr>
          <w:rFonts w:ascii="Times New Roman" w:hAnsi="Times New Roman"/>
          <w:noProof/>
          <w:sz w:val="24"/>
        </w:rPr>
      </w:pPr>
      <w:r w:rsidRPr="009B5734">
        <w:rPr>
          <w:rFonts w:ascii="Times New Roman" w:hAnsi="Times New Roman"/>
          <w:noProof/>
          <w:sz w:val="24"/>
        </w:rPr>
        <w:t xml:space="preserve">The objective </w:t>
      </w:r>
      <w:r w:rsidR="008E788F" w:rsidRPr="009B5734">
        <w:rPr>
          <w:rFonts w:ascii="Times New Roman" w:hAnsi="Times New Roman"/>
          <w:noProof/>
          <w:sz w:val="24"/>
        </w:rPr>
        <w:t>of eliminating</w:t>
      </w:r>
      <w:r w:rsidRPr="009B5734">
        <w:rPr>
          <w:rFonts w:ascii="Times New Roman" w:hAnsi="Times New Roman"/>
          <w:noProof/>
          <w:sz w:val="24"/>
        </w:rPr>
        <w:t xml:space="preserve"> untrustworthy practices that </w:t>
      </w:r>
      <w:r w:rsidR="00E868DE" w:rsidRPr="009B5734">
        <w:rPr>
          <w:rFonts w:ascii="Times New Roman" w:hAnsi="Times New Roman"/>
          <w:noProof/>
          <w:sz w:val="24"/>
        </w:rPr>
        <w:t>cause damage to the</w:t>
      </w:r>
      <w:r w:rsidRPr="009B5734">
        <w:rPr>
          <w:rFonts w:ascii="Times New Roman" w:hAnsi="Times New Roman"/>
          <w:noProof/>
          <w:sz w:val="24"/>
        </w:rPr>
        <w:t xml:space="preserve"> sustainable economy and mislead consumers away from sustainable consumption choices </w:t>
      </w:r>
      <w:r w:rsidR="00060659" w:rsidRPr="009B5734">
        <w:rPr>
          <w:rFonts w:ascii="Times New Roman" w:hAnsi="Times New Roman"/>
          <w:noProof/>
          <w:sz w:val="24"/>
        </w:rPr>
        <w:t xml:space="preserve">would </w:t>
      </w:r>
      <w:r w:rsidRPr="009B5734">
        <w:rPr>
          <w:rFonts w:ascii="Times New Roman" w:hAnsi="Times New Roman"/>
          <w:noProof/>
          <w:sz w:val="24"/>
        </w:rPr>
        <w:t xml:space="preserve">be particularly achieved through </w:t>
      </w:r>
      <w:r w:rsidR="00BA2AFE" w:rsidRPr="009B5734">
        <w:rPr>
          <w:rFonts w:ascii="Times New Roman" w:hAnsi="Times New Roman"/>
          <w:b/>
          <w:noProof/>
          <w:sz w:val="24"/>
        </w:rPr>
        <w:t>o</w:t>
      </w:r>
      <w:r w:rsidRPr="009B5734">
        <w:rPr>
          <w:rFonts w:ascii="Times New Roman" w:hAnsi="Times New Roman"/>
          <w:b/>
          <w:noProof/>
          <w:sz w:val="24"/>
        </w:rPr>
        <w:t>ptions 2.1.B, 2.2.</w:t>
      </w:r>
      <w:r w:rsidR="00B74B42" w:rsidRPr="009B5734">
        <w:rPr>
          <w:rFonts w:ascii="Times New Roman" w:hAnsi="Times New Roman"/>
          <w:b/>
          <w:noProof/>
          <w:sz w:val="24"/>
        </w:rPr>
        <w:t>C</w:t>
      </w:r>
      <w:r w:rsidR="008E788F" w:rsidRPr="009B5734">
        <w:rPr>
          <w:rFonts w:ascii="Times New Roman" w:hAnsi="Times New Roman"/>
          <w:b/>
          <w:noProof/>
          <w:sz w:val="24"/>
        </w:rPr>
        <w:t>, and</w:t>
      </w:r>
      <w:r w:rsidRPr="009B5734">
        <w:rPr>
          <w:rFonts w:ascii="Times New Roman" w:hAnsi="Times New Roman"/>
          <w:b/>
          <w:noProof/>
          <w:sz w:val="24"/>
        </w:rPr>
        <w:t xml:space="preserve"> 2.3.B,</w:t>
      </w:r>
      <w:r w:rsidRPr="009B5734">
        <w:rPr>
          <w:rFonts w:ascii="Times New Roman" w:hAnsi="Times New Roman"/>
          <w:noProof/>
          <w:sz w:val="24"/>
        </w:rPr>
        <w:t xml:space="preserve"> which </w:t>
      </w:r>
      <w:r w:rsidR="00060659" w:rsidRPr="009B5734">
        <w:rPr>
          <w:rFonts w:ascii="Times New Roman" w:hAnsi="Times New Roman"/>
          <w:noProof/>
          <w:sz w:val="24"/>
        </w:rPr>
        <w:t xml:space="preserve">would </w:t>
      </w:r>
      <w:r w:rsidRPr="009B5734">
        <w:rPr>
          <w:rFonts w:ascii="Times New Roman" w:hAnsi="Times New Roman"/>
          <w:noProof/>
          <w:sz w:val="24"/>
        </w:rPr>
        <w:t xml:space="preserve">tackle early obsolescence practices, greenwashing and </w:t>
      </w:r>
      <w:r w:rsidR="00B74B42" w:rsidRPr="009B5734">
        <w:rPr>
          <w:rFonts w:ascii="Times New Roman" w:hAnsi="Times New Roman"/>
          <w:noProof/>
          <w:sz w:val="24"/>
        </w:rPr>
        <w:t xml:space="preserve">the lack of transparency and credibility of </w:t>
      </w:r>
      <w:r w:rsidRPr="009B5734">
        <w:rPr>
          <w:rFonts w:ascii="Times New Roman" w:hAnsi="Times New Roman"/>
          <w:noProof/>
          <w:sz w:val="24"/>
        </w:rPr>
        <w:t>sustainability labels</w:t>
      </w:r>
      <w:r w:rsidR="00BA2AFE" w:rsidRPr="009B5734">
        <w:rPr>
          <w:rFonts w:ascii="Times New Roman" w:hAnsi="Times New Roman"/>
          <w:noProof/>
          <w:sz w:val="24"/>
        </w:rPr>
        <w:t xml:space="preserve"> and digital information tools</w:t>
      </w:r>
      <w:r w:rsidRPr="009B5734">
        <w:rPr>
          <w:rFonts w:ascii="Times New Roman" w:hAnsi="Times New Roman"/>
          <w:noProof/>
          <w:sz w:val="24"/>
        </w:rPr>
        <w:t xml:space="preserve">. </w:t>
      </w:r>
    </w:p>
    <w:p w:rsidR="00550AD7" w:rsidRPr="009B5734" w:rsidRDefault="0083233B" w:rsidP="007A1284">
      <w:pPr>
        <w:pStyle w:val="BTNumbList"/>
        <w:numPr>
          <w:ilvl w:val="0"/>
          <w:numId w:val="57"/>
        </w:numPr>
        <w:spacing w:before="0"/>
        <w:rPr>
          <w:rFonts w:ascii="Times New Roman" w:hAnsi="Times New Roman"/>
          <w:noProof/>
          <w:sz w:val="24"/>
        </w:rPr>
      </w:pPr>
      <w:r w:rsidRPr="009B5734">
        <w:rPr>
          <w:rFonts w:ascii="Times New Roman" w:hAnsi="Times New Roman"/>
          <w:noProof/>
          <w:sz w:val="24"/>
        </w:rPr>
        <w:t xml:space="preserve">Finally the objective </w:t>
      </w:r>
      <w:r w:rsidR="008E788F" w:rsidRPr="009B5734">
        <w:rPr>
          <w:rFonts w:ascii="Times New Roman" w:hAnsi="Times New Roman"/>
          <w:noProof/>
          <w:sz w:val="24"/>
        </w:rPr>
        <w:t>of ensuring</w:t>
      </w:r>
      <w:r w:rsidRPr="009B5734">
        <w:rPr>
          <w:rFonts w:ascii="Times New Roman" w:hAnsi="Times New Roman"/>
          <w:noProof/>
          <w:sz w:val="24"/>
        </w:rPr>
        <w:t xml:space="preserve"> a better and coherent application of the EU legal framework </w:t>
      </w:r>
      <w:r w:rsidR="00060659" w:rsidRPr="009B5734">
        <w:rPr>
          <w:rFonts w:ascii="Times New Roman" w:hAnsi="Times New Roman"/>
          <w:noProof/>
          <w:sz w:val="24"/>
        </w:rPr>
        <w:t xml:space="preserve">would </w:t>
      </w:r>
      <w:r w:rsidRPr="009B5734">
        <w:rPr>
          <w:rFonts w:ascii="Times New Roman" w:hAnsi="Times New Roman"/>
          <w:noProof/>
          <w:sz w:val="24"/>
        </w:rPr>
        <w:t xml:space="preserve">be achieved </w:t>
      </w:r>
      <w:r w:rsidRPr="009B5734">
        <w:rPr>
          <w:rFonts w:ascii="Times New Roman" w:hAnsi="Times New Roman"/>
          <w:b/>
          <w:noProof/>
          <w:sz w:val="24"/>
        </w:rPr>
        <w:t>thanks to all</w:t>
      </w:r>
      <w:r w:rsidR="00E868DE" w:rsidRPr="009B5734">
        <w:rPr>
          <w:rFonts w:ascii="Times New Roman" w:hAnsi="Times New Roman"/>
          <w:b/>
          <w:noProof/>
          <w:sz w:val="24"/>
        </w:rPr>
        <w:t xml:space="preserve"> of</w:t>
      </w:r>
      <w:r w:rsidRPr="009B5734">
        <w:rPr>
          <w:rFonts w:ascii="Times New Roman" w:hAnsi="Times New Roman"/>
          <w:b/>
          <w:noProof/>
          <w:sz w:val="24"/>
        </w:rPr>
        <w:t xml:space="preserve"> the</w:t>
      </w:r>
      <w:r w:rsidR="00E868DE" w:rsidRPr="009B5734">
        <w:rPr>
          <w:rFonts w:ascii="Times New Roman" w:hAnsi="Times New Roman"/>
          <w:b/>
          <w:noProof/>
          <w:sz w:val="24"/>
        </w:rPr>
        <w:t xml:space="preserve"> preferred policy</w:t>
      </w:r>
      <w:r w:rsidRPr="009B5734">
        <w:rPr>
          <w:rFonts w:ascii="Times New Roman" w:hAnsi="Times New Roman"/>
          <w:b/>
          <w:noProof/>
          <w:sz w:val="24"/>
        </w:rPr>
        <w:t xml:space="preserve"> options</w:t>
      </w:r>
      <w:r w:rsidRPr="009B5734">
        <w:rPr>
          <w:rFonts w:ascii="Times New Roman" w:hAnsi="Times New Roman"/>
          <w:noProof/>
          <w:sz w:val="24"/>
        </w:rPr>
        <w:t xml:space="preserve">, as they prove to be easily enforceable and complement effectively the existing EU legal framework. </w:t>
      </w:r>
    </w:p>
    <w:p w:rsidR="00614BCC" w:rsidRDefault="00614BCC" w:rsidP="00843A23">
      <w:pPr>
        <w:ind w:left="0" w:firstLine="0"/>
        <w:rPr>
          <w:rFonts w:ascii="Times New Roman" w:hAnsi="Times New Roman"/>
          <w:noProof/>
          <w:sz w:val="24"/>
          <w:szCs w:val="24"/>
        </w:rPr>
      </w:pPr>
    </w:p>
    <w:p w:rsidR="00843A23" w:rsidRPr="005D7BE7" w:rsidRDefault="00BD1109" w:rsidP="00843A23">
      <w:pPr>
        <w:ind w:left="0" w:firstLine="0"/>
        <w:rPr>
          <w:rFonts w:ascii="Times New Roman" w:hAnsi="Times New Roman"/>
          <w:noProof/>
          <w:sz w:val="24"/>
          <w:szCs w:val="24"/>
        </w:rPr>
      </w:pPr>
      <w:r w:rsidRPr="005D7BE7">
        <w:rPr>
          <w:rFonts w:ascii="Times New Roman" w:hAnsi="Times New Roman"/>
          <w:noProof/>
          <w:sz w:val="24"/>
          <w:szCs w:val="24"/>
        </w:rPr>
        <w:t xml:space="preserve">When the impacts of all of the preferred policy options are </w:t>
      </w:r>
      <w:r w:rsidRPr="005D24D2">
        <w:rPr>
          <w:rFonts w:ascii="Times New Roman" w:hAnsi="Times New Roman"/>
          <w:b/>
          <w:bCs/>
          <w:noProof/>
          <w:sz w:val="24"/>
          <w:szCs w:val="24"/>
        </w:rPr>
        <w:t>combined</w:t>
      </w:r>
      <w:r w:rsidRPr="005D7BE7">
        <w:rPr>
          <w:rFonts w:ascii="Times New Roman" w:hAnsi="Times New Roman"/>
          <w:noProof/>
          <w:sz w:val="24"/>
          <w:szCs w:val="24"/>
        </w:rPr>
        <w:t xml:space="preserve"> (options 1.2.C, 1.3.E, 2.1.B, 2.2.C and 2.3.B), the initiative is expected to bring significant benefits to consumers compared to the baseline. It will </w:t>
      </w:r>
      <w:r w:rsidR="00371449" w:rsidRPr="005D7BE7">
        <w:rPr>
          <w:rFonts w:ascii="Times New Roman" w:hAnsi="Times New Roman"/>
          <w:noProof/>
          <w:sz w:val="24"/>
          <w:szCs w:val="24"/>
        </w:rPr>
        <w:t>increase consumer welfare</w:t>
      </w:r>
      <w:r w:rsidRPr="005D7BE7">
        <w:rPr>
          <w:rFonts w:ascii="Times New Roman" w:hAnsi="Times New Roman"/>
          <w:noProof/>
          <w:sz w:val="24"/>
          <w:szCs w:val="24"/>
        </w:rPr>
        <w:t xml:space="preserve"> by at lea</w:t>
      </w:r>
      <w:r w:rsidR="00EC1BDA" w:rsidRPr="005D7BE7">
        <w:rPr>
          <w:rFonts w:ascii="Times New Roman" w:hAnsi="Times New Roman"/>
          <w:noProof/>
          <w:sz w:val="24"/>
          <w:szCs w:val="24"/>
        </w:rPr>
        <w:t xml:space="preserve">st </w:t>
      </w:r>
      <w:r w:rsidR="00EC1BDA" w:rsidRPr="005D24D2">
        <w:rPr>
          <w:rFonts w:ascii="Times New Roman" w:hAnsi="Times New Roman"/>
          <w:b/>
          <w:bCs/>
          <w:noProof/>
          <w:sz w:val="24"/>
          <w:szCs w:val="24"/>
        </w:rPr>
        <w:t>EUR 12</w:t>
      </w:r>
      <w:r w:rsidR="006C45D1" w:rsidRPr="005D24D2">
        <w:rPr>
          <w:rFonts w:ascii="Times New Roman" w:hAnsi="Times New Roman"/>
          <w:b/>
          <w:bCs/>
          <w:noProof/>
          <w:sz w:val="24"/>
          <w:szCs w:val="24"/>
        </w:rPr>
        <w:t>.5</w:t>
      </w:r>
      <w:r w:rsidR="00EC1BDA" w:rsidRPr="005D24D2">
        <w:rPr>
          <w:rFonts w:ascii="Times New Roman" w:hAnsi="Times New Roman"/>
          <w:b/>
          <w:bCs/>
          <w:noProof/>
          <w:sz w:val="24"/>
          <w:szCs w:val="24"/>
        </w:rPr>
        <w:t xml:space="preserve"> – 19</w:t>
      </w:r>
      <w:r w:rsidR="006C45D1" w:rsidRPr="005D24D2">
        <w:rPr>
          <w:rFonts w:ascii="Times New Roman" w:hAnsi="Times New Roman"/>
          <w:b/>
          <w:bCs/>
          <w:noProof/>
          <w:sz w:val="24"/>
          <w:szCs w:val="24"/>
        </w:rPr>
        <w:t>.4</w:t>
      </w:r>
      <w:r w:rsidR="00111BFE">
        <w:rPr>
          <w:rFonts w:ascii="Times New Roman" w:hAnsi="Times New Roman"/>
          <w:b/>
          <w:bCs/>
          <w:noProof/>
          <w:sz w:val="24"/>
          <w:szCs w:val="24"/>
        </w:rPr>
        <w:t xml:space="preserve"> </w:t>
      </w:r>
      <w:r w:rsidR="006C45D1" w:rsidRPr="005D24D2">
        <w:rPr>
          <w:rFonts w:ascii="Times New Roman" w:hAnsi="Times New Roman"/>
          <w:b/>
          <w:bCs/>
          <w:noProof/>
          <w:sz w:val="24"/>
          <w:szCs w:val="24"/>
        </w:rPr>
        <w:t>billion</w:t>
      </w:r>
      <w:r w:rsidR="008422F4" w:rsidRPr="005D24D2">
        <w:rPr>
          <w:rFonts w:ascii="Times New Roman" w:hAnsi="Times New Roman"/>
          <w:b/>
          <w:bCs/>
          <w:noProof/>
          <w:sz w:val="24"/>
          <w:szCs w:val="24"/>
        </w:rPr>
        <w:t xml:space="preserve"> </w:t>
      </w:r>
      <w:r w:rsidRPr="005D7BE7">
        <w:rPr>
          <w:rFonts w:ascii="Times New Roman" w:hAnsi="Times New Roman"/>
          <w:noProof/>
          <w:sz w:val="24"/>
          <w:szCs w:val="24"/>
        </w:rPr>
        <w:t>for the period 2025-2040.</w:t>
      </w:r>
      <w:r w:rsidR="003E1B8F">
        <w:rPr>
          <w:rFonts w:ascii="Times New Roman" w:hAnsi="Times New Roman"/>
          <w:noProof/>
          <w:sz w:val="24"/>
          <w:szCs w:val="24"/>
        </w:rPr>
        <w:t xml:space="preserve"> This would amount to </w:t>
      </w:r>
      <w:r w:rsidR="003E1B8F" w:rsidRPr="003E1B8F">
        <w:rPr>
          <w:rFonts w:ascii="Times New Roman" w:hAnsi="Times New Roman"/>
          <w:b/>
          <w:noProof/>
          <w:sz w:val="24"/>
          <w:szCs w:val="24"/>
        </w:rPr>
        <w:t>EUR 0.8 – 1.3 billion</w:t>
      </w:r>
      <w:r w:rsidR="003E1B8F">
        <w:rPr>
          <w:rFonts w:ascii="Times New Roman" w:hAnsi="Times New Roman"/>
          <w:noProof/>
          <w:sz w:val="24"/>
          <w:szCs w:val="24"/>
        </w:rPr>
        <w:t xml:space="preserve"> </w:t>
      </w:r>
      <w:r w:rsidR="003E1B8F" w:rsidRPr="003E1B8F">
        <w:rPr>
          <w:rFonts w:ascii="Times New Roman" w:hAnsi="Times New Roman"/>
          <w:b/>
          <w:noProof/>
          <w:sz w:val="24"/>
          <w:szCs w:val="24"/>
        </w:rPr>
        <w:t>per year</w:t>
      </w:r>
      <w:r w:rsidR="003E1B8F">
        <w:rPr>
          <w:rFonts w:ascii="Times New Roman" w:hAnsi="Times New Roman"/>
          <w:noProof/>
          <w:sz w:val="24"/>
          <w:szCs w:val="24"/>
        </w:rPr>
        <w:t xml:space="preserve">. </w:t>
      </w:r>
      <w:r w:rsidRPr="005D7BE7">
        <w:rPr>
          <w:rFonts w:ascii="Times New Roman" w:hAnsi="Times New Roman"/>
          <w:noProof/>
          <w:sz w:val="24"/>
          <w:szCs w:val="24"/>
        </w:rPr>
        <w:t xml:space="preserve">This is a partial estimation only, due to lack of available data to carry out this monetisation for all </w:t>
      </w:r>
      <w:r w:rsidR="00502947" w:rsidRPr="005D7BE7">
        <w:rPr>
          <w:rFonts w:ascii="Times New Roman" w:hAnsi="Times New Roman"/>
          <w:noProof/>
          <w:sz w:val="24"/>
          <w:szCs w:val="24"/>
        </w:rPr>
        <w:t xml:space="preserve">selected options </w:t>
      </w:r>
      <w:r w:rsidRPr="005D7BE7">
        <w:rPr>
          <w:rFonts w:ascii="Times New Roman" w:hAnsi="Times New Roman"/>
          <w:noProof/>
          <w:sz w:val="24"/>
          <w:szCs w:val="24"/>
        </w:rPr>
        <w:t xml:space="preserve">and/or full scope of some </w:t>
      </w:r>
      <w:r w:rsidR="00502947" w:rsidRPr="005D7BE7">
        <w:rPr>
          <w:rFonts w:ascii="Times New Roman" w:hAnsi="Times New Roman"/>
          <w:noProof/>
          <w:sz w:val="24"/>
          <w:szCs w:val="24"/>
        </w:rPr>
        <w:t>selected options</w:t>
      </w:r>
      <w:r w:rsidRPr="005D7BE7">
        <w:rPr>
          <w:rFonts w:ascii="Times New Roman" w:hAnsi="Times New Roman"/>
          <w:noProof/>
          <w:sz w:val="24"/>
          <w:szCs w:val="24"/>
        </w:rPr>
        <w:t xml:space="preserve">. It will also bring benefits to the environment, with a partial estimation of the total saved </w:t>
      </w:r>
      <w:r w:rsidRPr="005D24D2">
        <w:rPr>
          <w:rFonts w:ascii="Times New Roman" w:hAnsi="Times New Roman"/>
          <w:b/>
          <w:bCs/>
          <w:noProof/>
          <w:sz w:val="24"/>
          <w:szCs w:val="24"/>
        </w:rPr>
        <w:t>CO2e over a period of 15 years of</w:t>
      </w:r>
      <w:r w:rsidRPr="005D7BE7">
        <w:rPr>
          <w:rFonts w:ascii="Times New Roman" w:hAnsi="Times New Roman"/>
          <w:noProof/>
          <w:sz w:val="24"/>
          <w:szCs w:val="24"/>
        </w:rPr>
        <w:t xml:space="preserve"> </w:t>
      </w:r>
      <w:r w:rsidR="00E45B93">
        <w:rPr>
          <w:rFonts w:ascii="Times New Roman" w:hAnsi="Times New Roman"/>
          <w:b/>
          <w:bCs/>
          <w:noProof/>
          <w:sz w:val="24"/>
          <w:szCs w:val="24"/>
        </w:rPr>
        <w:t>5</w:t>
      </w:r>
      <w:r w:rsidRPr="005D24D2">
        <w:rPr>
          <w:rFonts w:ascii="Times New Roman" w:hAnsi="Times New Roman"/>
          <w:b/>
          <w:bCs/>
          <w:noProof/>
          <w:sz w:val="24"/>
          <w:szCs w:val="24"/>
        </w:rPr>
        <w:t xml:space="preserve"> - </w:t>
      </w:r>
      <w:r w:rsidR="00E45B93">
        <w:rPr>
          <w:rFonts w:ascii="Times New Roman" w:hAnsi="Times New Roman"/>
          <w:b/>
          <w:bCs/>
          <w:noProof/>
          <w:sz w:val="24"/>
          <w:szCs w:val="24"/>
        </w:rPr>
        <w:t>7</w:t>
      </w:r>
      <w:r w:rsidRPr="005D24D2">
        <w:rPr>
          <w:rFonts w:ascii="Times New Roman" w:hAnsi="Times New Roman"/>
          <w:b/>
          <w:bCs/>
          <w:noProof/>
          <w:sz w:val="24"/>
          <w:szCs w:val="24"/>
        </w:rPr>
        <w:t xml:space="preserve"> MtCO2e</w:t>
      </w:r>
      <w:r w:rsidRPr="005D7BE7">
        <w:rPr>
          <w:rFonts w:ascii="Times New Roman" w:hAnsi="Times New Roman"/>
          <w:noProof/>
          <w:sz w:val="24"/>
          <w:szCs w:val="24"/>
        </w:rPr>
        <w:t>.</w:t>
      </w:r>
      <w:r w:rsidR="00843A23" w:rsidRPr="005D7BE7">
        <w:rPr>
          <w:rFonts w:ascii="Times New Roman" w:hAnsi="Times New Roman"/>
          <w:noProof/>
          <w:sz w:val="24"/>
          <w:szCs w:val="24"/>
        </w:rPr>
        <w:t xml:space="preserve"> </w:t>
      </w:r>
    </w:p>
    <w:p w:rsidR="00BD1109" w:rsidRPr="009B5734" w:rsidRDefault="00BD1109" w:rsidP="00BD1109">
      <w:pPr>
        <w:ind w:left="0" w:firstLine="0"/>
        <w:rPr>
          <w:rFonts w:ascii="Times New Roman" w:hAnsi="Times New Roman"/>
          <w:noProof/>
          <w:sz w:val="24"/>
        </w:rPr>
      </w:pPr>
    </w:p>
    <w:p w:rsidR="00BD1109" w:rsidRPr="009B5734" w:rsidRDefault="00BD1109" w:rsidP="00BD1109">
      <w:pPr>
        <w:ind w:left="0" w:firstLine="0"/>
        <w:rPr>
          <w:noProof/>
        </w:rPr>
      </w:pPr>
      <w:r w:rsidRPr="005D24D2">
        <w:rPr>
          <w:rFonts w:ascii="Times New Roman" w:hAnsi="Times New Roman"/>
          <w:noProof/>
          <w:sz w:val="24"/>
          <w:szCs w:val="24"/>
        </w:rPr>
        <w:t xml:space="preserve">To achieve these benefits, businesses will have to adjust, which will </w:t>
      </w:r>
      <w:r w:rsidRPr="005D24D2">
        <w:rPr>
          <w:rFonts w:ascii="Times New Roman" w:hAnsi="Times New Roman"/>
          <w:b/>
          <w:bCs/>
          <w:noProof/>
          <w:sz w:val="24"/>
          <w:szCs w:val="24"/>
        </w:rPr>
        <w:t>cost about 65% +/-18% (so between 47% and 83%) of the partial monetisable benefits</w:t>
      </w:r>
      <w:r w:rsidR="00C1444C" w:rsidRPr="005D24D2">
        <w:rPr>
          <w:rFonts w:ascii="Times New Roman" w:hAnsi="Times New Roman"/>
          <w:noProof/>
          <w:sz w:val="24"/>
          <w:szCs w:val="24"/>
        </w:rPr>
        <w:t>, amounting to a total cost for businesses</w:t>
      </w:r>
      <w:r w:rsidR="007C401E">
        <w:rPr>
          <w:rFonts w:ascii="Times New Roman" w:hAnsi="Times New Roman"/>
          <w:noProof/>
          <w:sz w:val="24"/>
          <w:szCs w:val="24"/>
        </w:rPr>
        <w:t xml:space="preserve"> (combining one-off costs and annual recurrent costs)</w:t>
      </w:r>
      <w:r w:rsidR="00C1444C" w:rsidRPr="005D24D2">
        <w:rPr>
          <w:rFonts w:ascii="Times New Roman" w:hAnsi="Times New Roman"/>
          <w:noProof/>
          <w:sz w:val="24"/>
          <w:szCs w:val="24"/>
        </w:rPr>
        <w:t xml:space="preserve"> of between </w:t>
      </w:r>
      <w:r w:rsidR="00C1444C" w:rsidRPr="005D24D2">
        <w:rPr>
          <w:rFonts w:ascii="Times New Roman" w:hAnsi="Times New Roman"/>
          <w:b/>
          <w:bCs/>
          <w:noProof/>
          <w:sz w:val="24"/>
          <w:szCs w:val="24"/>
        </w:rPr>
        <w:t xml:space="preserve">EUR </w:t>
      </w:r>
      <w:r w:rsidR="009D135F" w:rsidRPr="005D24D2">
        <w:rPr>
          <w:rFonts w:ascii="Times New Roman" w:hAnsi="Times New Roman"/>
          <w:b/>
          <w:bCs/>
          <w:noProof/>
          <w:sz w:val="24"/>
          <w:szCs w:val="24"/>
        </w:rPr>
        <w:t>9.1</w:t>
      </w:r>
      <w:r w:rsidR="00151C49" w:rsidRPr="005D24D2">
        <w:rPr>
          <w:rFonts w:ascii="Times New Roman" w:hAnsi="Times New Roman"/>
          <w:b/>
          <w:bCs/>
          <w:noProof/>
          <w:sz w:val="24"/>
          <w:szCs w:val="24"/>
        </w:rPr>
        <w:t xml:space="preserve"> </w:t>
      </w:r>
      <w:r w:rsidR="009D135F" w:rsidRPr="005D24D2">
        <w:rPr>
          <w:rFonts w:ascii="Times New Roman" w:hAnsi="Times New Roman"/>
          <w:b/>
          <w:bCs/>
          <w:noProof/>
          <w:sz w:val="24"/>
          <w:szCs w:val="24"/>
        </w:rPr>
        <w:t>–</w:t>
      </w:r>
      <w:r w:rsidR="00151C49" w:rsidRPr="005D24D2">
        <w:rPr>
          <w:rFonts w:ascii="Times New Roman" w:hAnsi="Times New Roman"/>
          <w:b/>
          <w:bCs/>
          <w:noProof/>
          <w:sz w:val="24"/>
          <w:szCs w:val="24"/>
        </w:rPr>
        <w:t xml:space="preserve"> </w:t>
      </w:r>
      <w:r w:rsidR="00C1444C" w:rsidRPr="005D24D2">
        <w:rPr>
          <w:rFonts w:ascii="Times New Roman" w:hAnsi="Times New Roman"/>
          <w:b/>
          <w:bCs/>
          <w:noProof/>
          <w:sz w:val="24"/>
          <w:szCs w:val="24"/>
        </w:rPr>
        <w:t>1</w:t>
      </w:r>
      <w:r w:rsidR="009D135F" w:rsidRPr="005D24D2">
        <w:rPr>
          <w:rFonts w:ascii="Times New Roman" w:hAnsi="Times New Roman"/>
          <w:b/>
          <w:bCs/>
          <w:noProof/>
          <w:sz w:val="24"/>
          <w:szCs w:val="24"/>
        </w:rPr>
        <w:t>0.4</w:t>
      </w:r>
      <w:r w:rsidR="00C1444C" w:rsidRPr="005D24D2">
        <w:rPr>
          <w:rFonts w:ascii="Times New Roman" w:hAnsi="Times New Roman"/>
          <w:b/>
          <w:bCs/>
          <w:noProof/>
          <w:sz w:val="24"/>
          <w:szCs w:val="24"/>
        </w:rPr>
        <w:t xml:space="preserve"> </w:t>
      </w:r>
      <w:r w:rsidR="009D135F" w:rsidRPr="005D24D2">
        <w:rPr>
          <w:rFonts w:ascii="Times New Roman" w:hAnsi="Times New Roman"/>
          <w:b/>
          <w:bCs/>
          <w:noProof/>
          <w:sz w:val="24"/>
          <w:szCs w:val="24"/>
        </w:rPr>
        <w:t>billion</w:t>
      </w:r>
      <w:r w:rsidR="00C1444C" w:rsidRPr="005D24D2">
        <w:rPr>
          <w:rFonts w:ascii="Times New Roman" w:hAnsi="Times New Roman"/>
          <w:noProof/>
          <w:sz w:val="24"/>
          <w:szCs w:val="24"/>
        </w:rPr>
        <w:t xml:space="preserve"> </w:t>
      </w:r>
      <w:r w:rsidR="00330262" w:rsidRPr="005D24D2">
        <w:rPr>
          <w:rFonts w:ascii="Times New Roman" w:hAnsi="Times New Roman"/>
          <w:noProof/>
          <w:sz w:val="24"/>
          <w:szCs w:val="24"/>
        </w:rPr>
        <w:t xml:space="preserve">for </w:t>
      </w:r>
      <w:r w:rsidR="00C1444C" w:rsidRPr="005D24D2">
        <w:rPr>
          <w:rFonts w:ascii="Times New Roman" w:hAnsi="Times New Roman"/>
          <w:noProof/>
          <w:sz w:val="24"/>
          <w:szCs w:val="24"/>
        </w:rPr>
        <w:t>the period 2025-2040.</w:t>
      </w:r>
      <w:r w:rsidR="003E1B8F">
        <w:rPr>
          <w:rFonts w:ascii="Times New Roman" w:hAnsi="Times New Roman"/>
          <w:noProof/>
          <w:sz w:val="24"/>
          <w:szCs w:val="24"/>
        </w:rPr>
        <w:t xml:space="preserve"> This would amount to </w:t>
      </w:r>
      <w:r w:rsidR="003E1B8F" w:rsidRPr="003E1B8F">
        <w:rPr>
          <w:rFonts w:ascii="Times New Roman" w:hAnsi="Times New Roman"/>
          <w:b/>
          <w:noProof/>
          <w:sz w:val="24"/>
          <w:szCs w:val="24"/>
        </w:rPr>
        <w:t>EUR 0.6 – 0.7 billion</w:t>
      </w:r>
      <w:r w:rsidR="003E1B8F">
        <w:rPr>
          <w:rFonts w:ascii="Times New Roman" w:hAnsi="Times New Roman"/>
          <w:noProof/>
          <w:sz w:val="24"/>
          <w:szCs w:val="24"/>
        </w:rPr>
        <w:t xml:space="preserve"> </w:t>
      </w:r>
      <w:r w:rsidR="003E1B8F" w:rsidRPr="003E1B8F">
        <w:rPr>
          <w:rFonts w:ascii="Times New Roman" w:hAnsi="Times New Roman"/>
          <w:b/>
          <w:noProof/>
          <w:sz w:val="24"/>
          <w:szCs w:val="24"/>
        </w:rPr>
        <w:t>per year</w:t>
      </w:r>
      <w:r w:rsidR="007C401E">
        <w:rPr>
          <w:rFonts w:ascii="Times New Roman" w:hAnsi="Times New Roman"/>
          <w:b/>
          <w:noProof/>
          <w:sz w:val="24"/>
          <w:szCs w:val="24"/>
        </w:rPr>
        <w:t xml:space="preserve"> on average</w:t>
      </w:r>
      <w:r w:rsidR="003E1B8F">
        <w:rPr>
          <w:rFonts w:ascii="Times New Roman" w:hAnsi="Times New Roman"/>
          <w:noProof/>
          <w:sz w:val="24"/>
          <w:szCs w:val="24"/>
        </w:rPr>
        <w:t>.</w:t>
      </w:r>
      <w:r w:rsidR="00151C49" w:rsidRPr="005D24D2">
        <w:rPr>
          <w:rFonts w:ascii="Times New Roman" w:hAnsi="Times New Roman"/>
          <w:noProof/>
          <w:sz w:val="24"/>
          <w:szCs w:val="24"/>
        </w:rPr>
        <w:t xml:space="preserve"> This represents an average one off cost </w:t>
      </w:r>
      <w:r w:rsidR="00151C49" w:rsidRPr="005D24D2">
        <w:rPr>
          <w:rFonts w:ascii="Times New Roman" w:hAnsi="Times New Roman"/>
          <w:b/>
          <w:bCs/>
          <w:noProof/>
          <w:sz w:val="24"/>
          <w:szCs w:val="24"/>
        </w:rPr>
        <w:t>per company</w:t>
      </w:r>
      <w:r w:rsidR="00151C49" w:rsidRPr="005D24D2">
        <w:rPr>
          <w:rFonts w:ascii="Times New Roman" w:hAnsi="Times New Roman"/>
          <w:noProof/>
          <w:sz w:val="24"/>
          <w:szCs w:val="24"/>
        </w:rPr>
        <w:t xml:space="preserve"> of between </w:t>
      </w:r>
      <w:r w:rsidR="00151C49" w:rsidRPr="005D24D2">
        <w:rPr>
          <w:rFonts w:ascii="Times New Roman" w:hAnsi="Times New Roman"/>
          <w:b/>
          <w:bCs/>
          <w:noProof/>
          <w:sz w:val="24"/>
          <w:szCs w:val="24"/>
        </w:rPr>
        <w:t>EUR 556</w:t>
      </w:r>
      <w:r w:rsidR="00330262" w:rsidRPr="005D24D2">
        <w:rPr>
          <w:rFonts w:ascii="Times New Roman" w:hAnsi="Times New Roman"/>
          <w:b/>
          <w:bCs/>
          <w:noProof/>
          <w:sz w:val="24"/>
          <w:szCs w:val="24"/>
        </w:rPr>
        <w:t xml:space="preserve"> </w:t>
      </w:r>
      <w:r w:rsidR="00111BFE">
        <w:rPr>
          <w:rFonts w:ascii="Times New Roman" w:hAnsi="Times New Roman"/>
          <w:b/>
          <w:bCs/>
          <w:noProof/>
          <w:sz w:val="24"/>
          <w:szCs w:val="24"/>
        </w:rPr>
        <w:t>-</w:t>
      </w:r>
      <w:r w:rsidR="00502947" w:rsidRPr="005D24D2">
        <w:rPr>
          <w:rFonts w:ascii="Times New Roman" w:hAnsi="Times New Roman"/>
          <w:b/>
          <w:bCs/>
          <w:noProof/>
          <w:sz w:val="24"/>
          <w:szCs w:val="24"/>
        </w:rPr>
        <w:t> </w:t>
      </w:r>
      <w:r w:rsidR="00151C49" w:rsidRPr="005D24D2">
        <w:rPr>
          <w:rFonts w:ascii="Times New Roman" w:hAnsi="Times New Roman"/>
          <w:b/>
          <w:bCs/>
          <w:noProof/>
          <w:sz w:val="24"/>
          <w:szCs w:val="24"/>
        </w:rPr>
        <w:t>568</w:t>
      </w:r>
      <w:r w:rsidR="00151C49" w:rsidRPr="005D24D2">
        <w:rPr>
          <w:rFonts w:ascii="Times New Roman" w:hAnsi="Times New Roman"/>
          <w:noProof/>
          <w:sz w:val="24"/>
          <w:szCs w:val="24"/>
        </w:rPr>
        <w:t xml:space="preserve">, followed by an annual recurrent cost of </w:t>
      </w:r>
      <w:r w:rsidR="00330262" w:rsidRPr="005D24D2">
        <w:rPr>
          <w:rFonts w:ascii="Times New Roman" w:hAnsi="Times New Roman"/>
          <w:noProof/>
          <w:sz w:val="24"/>
          <w:szCs w:val="24"/>
        </w:rPr>
        <w:t xml:space="preserve">between </w:t>
      </w:r>
      <w:r w:rsidR="00151C49" w:rsidRPr="005D24D2">
        <w:rPr>
          <w:rFonts w:ascii="Times New Roman" w:hAnsi="Times New Roman"/>
          <w:b/>
          <w:bCs/>
          <w:noProof/>
          <w:sz w:val="24"/>
          <w:szCs w:val="24"/>
        </w:rPr>
        <w:t>EUR 64</w:t>
      </w:r>
      <w:r w:rsidR="00330262" w:rsidRPr="005D24D2">
        <w:rPr>
          <w:rFonts w:ascii="Times New Roman" w:hAnsi="Times New Roman"/>
          <w:b/>
          <w:bCs/>
          <w:noProof/>
          <w:sz w:val="24"/>
          <w:szCs w:val="24"/>
        </w:rPr>
        <w:t xml:space="preserve"> </w:t>
      </w:r>
      <w:r w:rsidR="00151C49" w:rsidRPr="005D24D2">
        <w:rPr>
          <w:rFonts w:ascii="Times New Roman" w:hAnsi="Times New Roman"/>
          <w:b/>
          <w:bCs/>
          <w:noProof/>
          <w:sz w:val="24"/>
          <w:szCs w:val="24"/>
        </w:rPr>
        <w:t>-</w:t>
      </w:r>
      <w:r w:rsidR="00330262" w:rsidRPr="005D24D2">
        <w:rPr>
          <w:rFonts w:ascii="Times New Roman" w:hAnsi="Times New Roman"/>
          <w:b/>
          <w:bCs/>
          <w:noProof/>
          <w:sz w:val="24"/>
          <w:szCs w:val="24"/>
        </w:rPr>
        <w:t xml:space="preserve"> </w:t>
      </w:r>
      <w:r w:rsidR="00151C49" w:rsidRPr="005D24D2">
        <w:rPr>
          <w:rFonts w:ascii="Times New Roman" w:hAnsi="Times New Roman"/>
          <w:b/>
          <w:bCs/>
          <w:noProof/>
          <w:sz w:val="24"/>
          <w:szCs w:val="24"/>
        </w:rPr>
        <w:t>79</w:t>
      </w:r>
      <w:r w:rsidR="00330262" w:rsidRPr="005D24D2">
        <w:rPr>
          <w:rFonts w:ascii="Times New Roman" w:hAnsi="Times New Roman"/>
          <w:noProof/>
          <w:sz w:val="24"/>
          <w:szCs w:val="24"/>
        </w:rPr>
        <w:t xml:space="preserve"> for the period</w:t>
      </w:r>
      <w:r w:rsidR="00502947" w:rsidRPr="005D24D2">
        <w:rPr>
          <w:rFonts w:ascii="Times New Roman" w:hAnsi="Times New Roman"/>
          <w:noProof/>
          <w:sz w:val="24"/>
          <w:szCs w:val="24"/>
        </w:rPr>
        <w:t xml:space="preserve"> covered</w:t>
      </w:r>
      <w:r w:rsidRPr="005D24D2">
        <w:rPr>
          <w:rFonts w:ascii="Times New Roman" w:hAnsi="Times New Roman"/>
          <w:noProof/>
          <w:sz w:val="24"/>
          <w:szCs w:val="24"/>
        </w:rPr>
        <w:t>.</w:t>
      </w:r>
      <w:r w:rsidR="00151C49" w:rsidRPr="005D24D2">
        <w:rPr>
          <w:rFonts w:ascii="Times New Roman" w:hAnsi="Times New Roman"/>
          <w:noProof/>
          <w:sz w:val="24"/>
          <w:szCs w:val="24"/>
        </w:rPr>
        <w:t xml:space="preserve"> If we break these costs down further, we can see that </w:t>
      </w:r>
      <w:r w:rsidR="00330262" w:rsidRPr="005D24D2">
        <w:rPr>
          <w:rFonts w:ascii="Times New Roman" w:hAnsi="Times New Roman"/>
          <w:b/>
          <w:bCs/>
          <w:noProof/>
          <w:sz w:val="24"/>
          <w:szCs w:val="24"/>
        </w:rPr>
        <w:t>SMEs</w:t>
      </w:r>
      <w:r w:rsidR="00330262" w:rsidRPr="005D24D2">
        <w:rPr>
          <w:rFonts w:ascii="Times New Roman" w:hAnsi="Times New Roman"/>
          <w:noProof/>
          <w:sz w:val="24"/>
          <w:szCs w:val="24"/>
        </w:rPr>
        <w:t xml:space="preserve"> will on average have a one off cost of </w:t>
      </w:r>
      <w:r w:rsidR="00330262" w:rsidRPr="005773BA">
        <w:rPr>
          <w:rFonts w:ascii="Times New Roman" w:hAnsi="Times New Roman"/>
          <w:b/>
          <w:bCs/>
          <w:noProof/>
          <w:sz w:val="24"/>
          <w:szCs w:val="24"/>
        </w:rPr>
        <w:t>EUR 525 – 536</w:t>
      </w:r>
      <w:r w:rsidR="00330262" w:rsidRPr="005773BA">
        <w:rPr>
          <w:rFonts w:ascii="Times New Roman" w:hAnsi="Times New Roman"/>
          <w:noProof/>
          <w:sz w:val="24"/>
          <w:szCs w:val="24"/>
        </w:rPr>
        <w:t xml:space="preserve"> and annual recurrent costs of </w:t>
      </w:r>
      <w:r w:rsidR="00330262" w:rsidRPr="005773BA">
        <w:rPr>
          <w:rFonts w:ascii="Times New Roman" w:hAnsi="Times New Roman"/>
          <w:b/>
          <w:bCs/>
          <w:noProof/>
          <w:sz w:val="24"/>
          <w:szCs w:val="24"/>
        </w:rPr>
        <w:t>EUR 52 - 62</w:t>
      </w:r>
      <w:r w:rsidR="00330262" w:rsidRPr="005773BA">
        <w:rPr>
          <w:rFonts w:ascii="Times New Roman" w:hAnsi="Times New Roman"/>
          <w:noProof/>
          <w:sz w:val="24"/>
          <w:szCs w:val="24"/>
        </w:rPr>
        <w:t xml:space="preserve">, while </w:t>
      </w:r>
      <w:r w:rsidR="00330262" w:rsidRPr="005773BA">
        <w:rPr>
          <w:rFonts w:ascii="Times New Roman" w:hAnsi="Times New Roman"/>
          <w:b/>
          <w:bCs/>
          <w:noProof/>
          <w:sz w:val="24"/>
          <w:szCs w:val="24"/>
        </w:rPr>
        <w:t>large enterprises</w:t>
      </w:r>
      <w:r w:rsidR="00330262" w:rsidRPr="005773BA">
        <w:rPr>
          <w:rFonts w:ascii="Times New Roman" w:hAnsi="Times New Roman"/>
          <w:noProof/>
          <w:sz w:val="24"/>
          <w:szCs w:val="24"/>
        </w:rPr>
        <w:t xml:space="preserve"> will have a one off cost of </w:t>
      </w:r>
      <w:r w:rsidR="00330262" w:rsidRPr="005773BA">
        <w:rPr>
          <w:rFonts w:ascii="Times New Roman" w:hAnsi="Times New Roman"/>
          <w:b/>
          <w:bCs/>
          <w:noProof/>
          <w:sz w:val="24"/>
          <w:szCs w:val="24"/>
        </w:rPr>
        <w:t>EUR 13</w:t>
      </w:r>
      <w:r w:rsidR="009D135F" w:rsidRPr="005773BA">
        <w:rPr>
          <w:rFonts w:ascii="Times New Roman" w:hAnsi="Times New Roman"/>
          <w:b/>
          <w:bCs/>
          <w:noProof/>
          <w:sz w:val="24"/>
          <w:szCs w:val="24"/>
        </w:rPr>
        <w:t xml:space="preserve"> </w:t>
      </w:r>
      <w:r w:rsidR="00330262" w:rsidRPr="005773BA">
        <w:rPr>
          <w:rFonts w:ascii="Times New Roman" w:hAnsi="Times New Roman"/>
          <w:b/>
          <w:bCs/>
          <w:noProof/>
          <w:sz w:val="24"/>
          <w:szCs w:val="24"/>
        </w:rPr>
        <w:t>301 – 13</w:t>
      </w:r>
      <w:r w:rsidR="009D135F" w:rsidRPr="005773BA">
        <w:rPr>
          <w:rFonts w:ascii="Times New Roman" w:hAnsi="Times New Roman"/>
          <w:b/>
          <w:bCs/>
          <w:noProof/>
          <w:sz w:val="24"/>
          <w:szCs w:val="24"/>
        </w:rPr>
        <w:t xml:space="preserve"> </w:t>
      </w:r>
      <w:r w:rsidR="00330262" w:rsidRPr="005773BA">
        <w:rPr>
          <w:rFonts w:ascii="Times New Roman" w:hAnsi="Times New Roman"/>
          <w:b/>
          <w:bCs/>
          <w:noProof/>
          <w:sz w:val="24"/>
          <w:szCs w:val="24"/>
        </w:rPr>
        <w:t>656</w:t>
      </w:r>
      <w:r w:rsidR="00330262" w:rsidRPr="005773BA">
        <w:rPr>
          <w:rFonts w:ascii="Times New Roman" w:hAnsi="Times New Roman"/>
          <w:noProof/>
          <w:sz w:val="24"/>
          <w:szCs w:val="24"/>
        </w:rPr>
        <w:t>, followed by annual recurrent costs of</w:t>
      </w:r>
      <w:r w:rsidRPr="005773BA">
        <w:rPr>
          <w:rFonts w:ascii="Times New Roman" w:hAnsi="Times New Roman"/>
          <w:noProof/>
          <w:sz w:val="24"/>
          <w:szCs w:val="24"/>
        </w:rPr>
        <w:t xml:space="preserve"> </w:t>
      </w:r>
      <w:r w:rsidR="00330262" w:rsidRPr="005773BA">
        <w:rPr>
          <w:rFonts w:ascii="Times New Roman" w:hAnsi="Times New Roman"/>
          <w:b/>
          <w:bCs/>
          <w:noProof/>
          <w:sz w:val="24"/>
          <w:szCs w:val="24"/>
        </w:rPr>
        <w:t>EUR 4</w:t>
      </w:r>
      <w:r w:rsidR="009D135F" w:rsidRPr="005773BA">
        <w:rPr>
          <w:rFonts w:ascii="Times New Roman" w:hAnsi="Times New Roman"/>
          <w:b/>
          <w:bCs/>
          <w:noProof/>
          <w:sz w:val="24"/>
          <w:szCs w:val="24"/>
        </w:rPr>
        <w:t xml:space="preserve"> </w:t>
      </w:r>
      <w:r w:rsidR="00330262" w:rsidRPr="005773BA">
        <w:rPr>
          <w:rFonts w:ascii="Times New Roman" w:hAnsi="Times New Roman"/>
          <w:b/>
          <w:bCs/>
          <w:noProof/>
          <w:sz w:val="24"/>
          <w:szCs w:val="24"/>
        </w:rPr>
        <w:t>919 – 6</w:t>
      </w:r>
      <w:r w:rsidR="009D135F" w:rsidRPr="005773BA">
        <w:rPr>
          <w:rFonts w:ascii="Times New Roman" w:hAnsi="Times New Roman"/>
          <w:b/>
          <w:bCs/>
          <w:noProof/>
          <w:sz w:val="24"/>
          <w:szCs w:val="24"/>
        </w:rPr>
        <w:t xml:space="preserve"> </w:t>
      </w:r>
      <w:r w:rsidR="00330262" w:rsidRPr="005773BA">
        <w:rPr>
          <w:rFonts w:ascii="Times New Roman" w:hAnsi="Times New Roman"/>
          <w:b/>
          <w:bCs/>
          <w:noProof/>
          <w:sz w:val="24"/>
          <w:szCs w:val="24"/>
        </w:rPr>
        <w:t>965</w:t>
      </w:r>
      <w:r w:rsidR="00330262" w:rsidRPr="005773BA">
        <w:rPr>
          <w:rFonts w:ascii="Times New Roman" w:hAnsi="Times New Roman"/>
          <w:noProof/>
          <w:sz w:val="24"/>
          <w:szCs w:val="24"/>
        </w:rPr>
        <w:t xml:space="preserve"> for the period</w:t>
      </w:r>
      <w:r w:rsidR="00201CE3" w:rsidRPr="005773BA">
        <w:rPr>
          <w:rFonts w:ascii="Times New Roman" w:hAnsi="Times New Roman"/>
          <w:noProof/>
          <w:sz w:val="24"/>
          <w:szCs w:val="24"/>
        </w:rPr>
        <w:t xml:space="preserve"> covered</w:t>
      </w:r>
      <w:r w:rsidR="00330262" w:rsidRPr="005773BA">
        <w:rPr>
          <w:rFonts w:ascii="Times New Roman" w:hAnsi="Times New Roman"/>
          <w:noProof/>
          <w:sz w:val="24"/>
          <w:szCs w:val="24"/>
        </w:rPr>
        <w:t xml:space="preserve">. </w:t>
      </w:r>
      <w:r w:rsidRPr="005D24D2">
        <w:rPr>
          <w:rFonts w:ascii="Times New Roman" w:hAnsi="Times New Roman"/>
          <w:noProof/>
          <w:sz w:val="24"/>
          <w:szCs w:val="24"/>
        </w:rPr>
        <w:t xml:space="preserve">On the other hand, businesses will also experience </w:t>
      </w:r>
      <w:r w:rsidR="00201CE3" w:rsidRPr="005D24D2">
        <w:rPr>
          <w:rFonts w:ascii="Times New Roman" w:hAnsi="Times New Roman"/>
          <w:noProof/>
          <w:sz w:val="24"/>
          <w:szCs w:val="24"/>
        </w:rPr>
        <w:t xml:space="preserve">very important </w:t>
      </w:r>
      <w:r w:rsidRPr="005D24D2">
        <w:rPr>
          <w:rFonts w:ascii="Times New Roman" w:hAnsi="Times New Roman"/>
          <w:noProof/>
          <w:sz w:val="24"/>
          <w:szCs w:val="24"/>
        </w:rPr>
        <w:t xml:space="preserve">benefits related to level playing field </w:t>
      </w:r>
      <w:r w:rsidR="006C45D1" w:rsidRPr="005D24D2">
        <w:rPr>
          <w:rFonts w:ascii="Times New Roman" w:hAnsi="Times New Roman"/>
          <w:noProof/>
          <w:sz w:val="24"/>
          <w:szCs w:val="24"/>
        </w:rPr>
        <w:t xml:space="preserve">as businesses that currently mislead consumers would have to align their practices with those that are truly sustainable. In addition, the preferred options would </w:t>
      </w:r>
      <w:r w:rsidR="006C45D1" w:rsidRPr="005773BA">
        <w:rPr>
          <w:rFonts w:ascii="Times New Roman" w:hAnsi="Times New Roman"/>
          <w:noProof/>
          <w:sz w:val="24"/>
          <w:szCs w:val="24"/>
        </w:rPr>
        <w:t xml:space="preserve">also benefit businesses by ensuring that companies active on the Single Market play by the same rules, thereby reducing </w:t>
      </w:r>
      <w:r w:rsidRPr="005D24D2">
        <w:rPr>
          <w:rFonts w:ascii="Times New Roman" w:hAnsi="Times New Roman"/>
          <w:noProof/>
          <w:sz w:val="24"/>
          <w:szCs w:val="24"/>
        </w:rPr>
        <w:t>barriers to cross-border trad</w:t>
      </w:r>
      <w:r w:rsidR="00502947" w:rsidRPr="005D24D2">
        <w:rPr>
          <w:rFonts w:ascii="Times New Roman" w:hAnsi="Times New Roman"/>
          <w:noProof/>
          <w:sz w:val="24"/>
          <w:szCs w:val="24"/>
        </w:rPr>
        <w:t>e</w:t>
      </w:r>
      <w:r w:rsidRPr="005D24D2">
        <w:rPr>
          <w:rFonts w:ascii="Times New Roman" w:hAnsi="Times New Roman"/>
          <w:noProof/>
          <w:sz w:val="24"/>
          <w:szCs w:val="24"/>
        </w:rPr>
        <w:t xml:space="preserve">. The </w:t>
      </w:r>
      <w:r w:rsidRPr="005D24D2">
        <w:rPr>
          <w:rFonts w:ascii="Times New Roman" w:hAnsi="Times New Roman"/>
          <w:b/>
          <w:bCs/>
          <w:noProof/>
          <w:sz w:val="24"/>
          <w:szCs w:val="24"/>
        </w:rPr>
        <w:t>enforcement</w:t>
      </w:r>
      <w:r w:rsidRPr="005D24D2">
        <w:rPr>
          <w:rFonts w:ascii="Times New Roman" w:hAnsi="Times New Roman"/>
          <w:noProof/>
          <w:sz w:val="24"/>
          <w:szCs w:val="24"/>
        </w:rPr>
        <w:t xml:space="preserve"> of the </w:t>
      </w:r>
      <w:r w:rsidR="00301CB0" w:rsidRPr="005D24D2">
        <w:rPr>
          <w:rFonts w:ascii="Times New Roman" w:hAnsi="Times New Roman"/>
          <w:noProof/>
          <w:sz w:val="24"/>
          <w:szCs w:val="24"/>
        </w:rPr>
        <w:t xml:space="preserve">preferred </w:t>
      </w:r>
      <w:r w:rsidRPr="005D24D2">
        <w:rPr>
          <w:rFonts w:ascii="Times New Roman" w:hAnsi="Times New Roman"/>
          <w:noProof/>
          <w:sz w:val="24"/>
          <w:szCs w:val="24"/>
        </w:rPr>
        <w:t>option</w:t>
      </w:r>
      <w:r w:rsidR="00301CB0" w:rsidRPr="005D24D2">
        <w:rPr>
          <w:rFonts w:ascii="Times New Roman" w:hAnsi="Times New Roman"/>
          <w:noProof/>
          <w:sz w:val="24"/>
          <w:szCs w:val="24"/>
        </w:rPr>
        <w:t>s</w:t>
      </w:r>
      <w:r w:rsidRPr="005D24D2">
        <w:rPr>
          <w:rFonts w:ascii="Times New Roman" w:hAnsi="Times New Roman"/>
          <w:noProof/>
          <w:sz w:val="24"/>
          <w:szCs w:val="24"/>
        </w:rPr>
        <w:t xml:space="preserve"> </w:t>
      </w:r>
      <w:r w:rsidR="00330262" w:rsidRPr="005D24D2">
        <w:rPr>
          <w:rFonts w:ascii="Times New Roman" w:hAnsi="Times New Roman"/>
          <w:noProof/>
          <w:sz w:val="24"/>
          <w:szCs w:val="24"/>
        </w:rPr>
        <w:t xml:space="preserve">on the part of public administrations </w:t>
      </w:r>
      <w:r w:rsidRPr="005D24D2">
        <w:rPr>
          <w:rFonts w:ascii="Times New Roman" w:hAnsi="Times New Roman"/>
          <w:noProof/>
          <w:sz w:val="24"/>
          <w:szCs w:val="24"/>
        </w:rPr>
        <w:t xml:space="preserve">will </w:t>
      </w:r>
      <w:r w:rsidR="00301CB0" w:rsidRPr="005D24D2">
        <w:rPr>
          <w:rFonts w:ascii="Times New Roman" w:hAnsi="Times New Roman"/>
          <w:noProof/>
          <w:sz w:val="24"/>
          <w:szCs w:val="24"/>
        </w:rPr>
        <w:t xml:space="preserve">cost </w:t>
      </w:r>
      <w:r w:rsidRPr="005D24D2">
        <w:rPr>
          <w:rFonts w:ascii="Times New Roman" w:hAnsi="Times New Roman"/>
          <w:noProof/>
          <w:sz w:val="24"/>
          <w:szCs w:val="24"/>
        </w:rPr>
        <w:t xml:space="preserve">about </w:t>
      </w:r>
      <w:r w:rsidRPr="005D24D2">
        <w:rPr>
          <w:rFonts w:ascii="Times New Roman" w:hAnsi="Times New Roman"/>
          <w:b/>
          <w:bCs/>
          <w:noProof/>
          <w:sz w:val="24"/>
          <w:szCs w:val="24"/>
        </w:rPr>
        <w:t xml:space="preserve">EUR </w:t>
      </w:r>
      <w:r w:rsidR="00371449" w:rsidRPr="005D24D2">
        <w:rPr>
          <w:rFonts w:ascii="Times New Roman" w:hAnsi="Times New Roman"/>
          <w:b/>
          <w:bCs/>
          <w:noProof/>
          <w:sz w:val="24"/>
          <w:szCs w:val="24"/>
        </w:rPr>
        <w:t>441 800 – 502 200</w:t>
      </w:r>
      <w:r w:rsidR="00E23B2B" w:rsidRPr="005D24D2">
        <w:rPr>
          <w:rFonts w:ascii="Times New Roman" w:hAnsi="Times New Roman"/>
          <w:b/>
          <w:bCs/>
          <w:noProof/>
          <w:sz w:val="24"/>
          <w:szCs w:val="24"/>
        </w:rPr>
        <w:t xml:space="preserve"> </w:t>
      </w:r>
      <w:r w:rsidRPr="005D24D2">
        <w:rPr>
          <w:rFonts w:ascii="Times New Roman" w:hAnsi="Times New Roman"/>
          <w:b/>
          <w:bCs/>
          <w:noProof/>
          <w:sz w:val="24"/>
          <w:szCs w:val="24"/>
        </w:rPr>
        <w:t>per year</w:t>
      </w:r>
      <w:r w:rsidRPr="005773BA">
        <w:rPr>
          <w:rFonts w:ascii="Times New Roman" w:hAnsi="Times New Roman"/>
          <w:noProof/>
          <w:sz w:val="24"/>
          <w:szCs w:val="24"/>
        </w:rPr>
        <w:t xml:space="preserve"> per Member State.</w:t>
      </w:r>
    </w:p>
    <w:p w:rsidR="00353CBE" w:rsidRDefault="00353CBE">
      <w:pPr>
        <w:ind w:left="0" w:firstLine="0"/>
        <w:rPr>
          <w:rFonts w:ascii="Times New Roman" w:hAnsi="Times New Roman"/>
          <w:noProof/>
          <w:sz w:val="24"/>
          <w:szCs w:val="24"/>
        </w:rPr>
      </w:pPr>
    </w:p>
    <w:p w:rsidR="00BD1109" w:rsidRDefault="00BD1109">
      <w:pPr>
        <w:ind w:left="0" w:firstLine="0"/>
        <w:rPr>
          <w:rFonts w:ascii="Times New Roman" w:hAnsi="Times New Roman"/>
          <w:noProof/>
          <w:sz w:val="24"/>
          <w:szCs w:val="24"/>
        </w:rPr>
      </w:pPr>
      <w:r w:rsidRPr="005D24D2">
        <w:rPr>
          <w:rFonts w:ascii="Times New Roman" w:hAnsi="Times New Roman"/>
          <w:noProof/>
          <w:sz w:val="24"/>
          <w:szCs w:val="24"/>
        </w:rPr>
        <w:t xml:space="preserve">A detailed analysis of the total monetisable consumer welfare benefits, and the costs for businesses and public administrations, of the all 5 preferred policy options combined (1.2.C, 1.3.E, 2.1.B, 2.2.C and 2.3.B) as well as the benefits and costs per individual preferred policy option can be found in </w:t>
      </w:r>
      <w:hyperlink w:anchor="_Annex_3:_Who_1" w:history="1">
        <w:r w:rsidRPr="005D24D2">
          <w:rPr>
            <w:rStyle w:val="Hyperlink"/>
            <w:rFonts w:ascii="Times New Roman" w:hAnsi="Times New Roman"/>
            <w:noProof/>
            <w:sz w:val="24"/>
            <w:szCs w:val="24"/>
          </w:rPr>
          <w:t>Annex 3</w:t>
        </w:r>
      </w:hyperlink>
      <w:r w:rsidR="00990E4B" w:rsidRPr="005D24D2">
        <w:rPr>
          <w:rFonts w:ascii="Times New Roman" w:hAnsi="Times New Roman"/>
          <w:noProof/>
          <w:sz w:val="24"/>
          <w:szCs w:val="24"/>
        </w:rPr>
        <w:t xml:space="preserve">. As analysed in detail in </w:t>
      </w:r>
      <w:hyperlink w:anchor="_Annex_8:_Impacts" w:history="1">
        <w:r w:rsidR="00990E4B" w:rsidRPr="005D24D2">
          <w:rPr>
            <w:rStyle w:val="Hyperlink"/>
            <w:rFonts w:ascii="Times New Roman" w:hAnsi="Times New Roman"/>
            <w:noProof/>
            <w:sz w:val="24"/>
            <w:szCs w:val="24"/>
          </w:rPr>
          <w:t>Annex 8</w:t>
        </w:r>
      </w:hyperlink>
      <w:r w:rsidR="00990E4B" w:rsidRPr="005D24D2">
        <w:rPr>
          <w:rFonts w:ascii="Times New Roman" w:hAnsi="Times New Roman"/>
          <w:noProof/>
          <w:sz w:val="24"/>
          <w:szCs w:val="24"/>
        </w:rPr>
        <w:t>, t</w:t>
      </w:r>
      <w:r w:rsidRPr="005D24D2">
        <w:rPr>
          <w:rFonts w:ascii="Times New Roman" w:hAnsi="Times New Roman"/>
          <w:noProof/>
          <w:sz w:val="24"/>
          <w:szCs w:val="24"/>
        </w:rPr>
        <w:t xml:space="preserve">he combination of preferred policy options also brings </w:t>
      </w:r>
      <w:r w:rsidRPr="00353CBE">
        <w:rPr>
          <w:rFonts w:ascii="Times New Roman" w:hAnsi="Times New Roman"/>
          <w:b/>
          <w:bCs/>
          <w:noProof/>
          <w:sz w:val="24"/>
          <w:szCs w:val="24"/>
        </w:rPr>
        <w:t>other substantial benefits which were not monetised</w:t>
      </w:r>
      <w:r w:rsidRPr="005D24D2">
        <w:rPr>
          <w:rFonts w:ascii="Times New Roman" w:hAnsi="Times New Roman"/>
          <w:noProof/>
          <w:sz w:val="24"/>
          <w:szCs w:val="24"/>
        </w:rPr>
        <w:t xml:space="preserve">, such as </w:t>
      </w:r>
      <w:r w:rsidR="005773BA">
        <w:rPr>
          <w:rFonts w:ascii="Times New Roman" w:hAnsi="Times New Roman"/>
          <w:noProof/>
          <w:sz w:val="24"/>
          <w:szCs w:val="24"/>
        </w:rPr>
        <w:t>impact on</w:t>
      </w:r>
      <w:r w:rsidR="006C45D1" w:rsidRPr="005D24D2">
        <w:rPr>
          <w:rFonts w:ascii="Times New Roman" w:hAnsi="Times New Roman"/>
          <w:noProof/>
          <w:sz w:val="24"/>
          <w:szCs w:val="24"/>
        </w:rPr>
        <w:t xml:space="preserve"> quality of consumer decision making, </w:t>
      </w:r>
      <w:r w:rsidRPr="005D24D2">
        <w:rPr>
          <w:rFonts w:ascii="Times New Roman" w:hAnsi="Times New Roman"/>
          <w:noProof/>
          <w:sz w:val="24"/>
          <w:szCs w:val="24"/>
        </w:rPr>
        <w:t>consumer trust,</w:t>
      </w:r>
      <w:r w:rsidR="006C45D1" w:rsidRPr="005D24D2">
        <w:rPr>
          <w:rFonts w:ascii="Times New Roman" w:hAnsi="Times New Roman"/>
          <w:noProof/>
          <w:sz w:val="24"/>
          <w:szCs w:val="24"/>
        </w:rPr>
        <w:t xml:space="preserve"> and consumer</w:t>
      </w:r>
      <w:r w:rsidRPr="005D24D2">
        <w:rPr>
          <w:rFonts w:ascii="Times New Roman" w:hAnsi="Times New Roman"/>
          <w:noProof/>
          <w:sz w:val="24"/>
          <w:szCs w:val="24"/>
        </w:rPr>
        <w:t xml:space="preserve"> protection</w:t>
      </w:r>
      <w:r w:rsidR="009D135F" w:rsidRPr="005D24D2">
        <w:rPr>
          <w:rFonts w:ascii="Times New Roman" w:hAnsi="Times New Roman"/>
          <w:noProof/>
          <w:sz w:val="24"/>
          <w:szCs w:val="24"/>
        </w:rPr>
        <w:t>, level playing field and reduction in barriers to cross-border trade</w:t>
      </w:r>
      <w:r w:rsidRPr="005D24D2">
        <w:rPr>
          <w:rFonts w:ascii="Times New Roman" w:hAnsi="Times New Roman"/>
          <w:noProof/>
          <w:sz w:val="24"/>
          <w:szCs w:val="24"/>
        </w:rPr>
        <w:t>.</w:t>
      </w:r>
      <w:r w:rsidR="00E7042B" w:rsidRPr="005D24D2">
        <w:rPr>
          <w:rFonts w:ascii="Times New Roman" w:hAnsi="Times New Roman"/>
          <w:noProof/>
          <w:sz w:val="24"/>
          <w:szCs w:val="24"/>
        </w:rPr>
        <w:t xml:space="preserve"> </w:t>
      </w:r>
      <w:r w:rsidR="006C45D1" w:rsidRPr="005D24D2">
        <w:rPr>
          <w:rFonts w:ascii="Times New Roman" w:hAnsi="Times New Roman"/>
          <w:noProof/>
          <w:sz w:val="24"/>
          <w:szCs w:val="24"/>
        </w:rPr>
        <w:t xml:space="preserve">From the foregoing, we can conclude that the </w:t>
      </w:r>
      <w:r w:rsidR="006C45D1" w:rsidRPr="00353CBE">
        <w:rPr>
          <w:rFonts w:ascii="Times New Roman" w:hAnsi="Times New Roman"/>
          <w:b/>
          <w:bCs/>
          <w:noProof/>
          <w:sz w:val="24"/>
          <w:szCs w:val="24"/>
        </w:rPr>
        <w:t>impact of the combination of the preferred policy options will be proportionate</w:t>
      </w:r>
      <w:r w:rsidR="006C45D1" w:rsidRPr="005D24D2">
        <w:rPr>
          <w:rFonts w:ascii="Times New Roman" w:hAnsi="Times New Roman"/>
          <w:noProof/>
          <w:sz w:val="24"/>
          <w:szCs w:val="24"/>
        </w:rPr>
        <w:t xml:space="preserve"> </w:t>
      </w:r>
      <w:r w:rsidR="005773BA">
        <w:rPr>
          <w:rFonts w:ascii="Times New Roman" w:hAnsi="Times New Roman"/>
          <w:noProof/>
          <w:sz w:val="24"/>
          <w:szCs w:val="24"/>
        </w:rPr>
        <w:t>in relation to</w:t>
      </w:r>
      <w:r w:rsidR="006C45D1" w:rsidRPr="005D24D2">
        <w:rPr>
          <w:rFonts w:ascii="Times New Roman" w:hAnsi="Times New Roman"/>
          <w:noProof/>
          <w:sz w:val="24"/>
          <w:szCs w:val="24"/>
        </w:rPr>
        <w:t xml:space="preserve"> the various stakeholder groups</w:t>
      </w:r>
      <w:r w:rsidR="009D135F" w:rsidRPr="005D24D2">
        <w:rPr>
          <w:rFonts w:ascii="Times New Roman" w:hAnsi="Times New Roman"/>
          <w:noProof/>
          <w:sz w:val="24"/>
          <w:szCs w:val="24"/>
        </w:rPr>
        <w:t xml:space="preserve"> conc</w:t>
      </w:r>
      <w:r w:rsidR="006C45D1" w:rsidRPr="005D24D2">
        <w:rPr>
          <w:rFonts w:ascii="Times New Roman" w:hAnsi="Times New Roman"/>
          <w:noProof/>
          <w:sz w:val="24"/>
          <w:szCs w:val="24"/>
        </w:rPr>
        <w:t>erned, including consumers, public administrations and businesses</w:t>
      </w:r>
      <w:r w:rsidR="006C45D1" w:rsidRPr="005773BA">
        <w:rPr>
          <w:rFonts w:ascii="Times New Roman" w:hAnsi="Times New Roman"/>
          <w:noProof/>
          <w:sz w:val="24"/>
          <w:szCs w:val="24"/>
        </w:rPr>
        <w:t xml:space="preserve"> (both SMEs and large enterprises</w:t>
      </w:r>
      <w:r w:rsidR="006C45D1" w:rsidRPr="005D24D2">
        <w:rPr>
          <w:rFonts w:ascii="Times New Roman" w:hAnsi="Times New Roman"/>
          <w:noProof/>
          <w:sz w:val="24"/>
          <w:szCs w:val="24"/>
        </w:rPr>
        <w:t xml:space="preserve">). </w:t>
      </w:r>
      <w:r w:rsidR="009D135F" w:rsidRPr="005D24D2">
        <w:rPr>
          <w:rFonts w:ascii="Times New Roman" w:hAnsi="Times New Roman"/>
          <w:noProof/>
          <w:sz w:val="24"/>
          <w:szCs w:val="24"/>
        </w:rPr>
        <w:t>Through the foreseen reduction of CO2 emissions</w:t>
      </w:r>
      <w:r w:rsidR="005C62A4" w:rsidRPr="005D24D2">
        <w:rPr>
          <w:rFonts w:ascii="Times New Roman" w:hAnsi="Times New Roman"/>
          <w:noProof/>
          <w:sz w:val="24"/>
          <w:szCs w:val="24"/>
        </w:rPr>
        <w:t xml:space="preserve"> and other environmental impacts</w:t>
      </w:r>
      <w:r w:rsidR="009D135F" w:rsidRPr="005D24D2">
        <w:rPr>
          <w:rFonts w:ascii="Times New Roman" w:hAnsi="Times New Roman"/>
          <w:noProof/>
          <w:sz w:val="24"/>
          <w:szCs w:val="24"/>
        </w:rPr>
        <w:t>, it will also bring</w:t>
      </w:r>
      <w:r w:rsidR="00DC5377" w:rsidRPr="005D24D2">
        <w:rPr>
          <w:rFonts w:ascii="Times New Roman" w:hAnsi="Times New Roman"/>
          <w:noProof/>
          <w:sz w:val="24"/>
          <w:szCs w:val="24"/>
        </w:rPr>
        <w:t xml:space="preserve"> important</w:t>
      </w:r>
      <w:r w:rsidR="009D135F" w:rsidRPr="005D24D2">
        <w:rPr>
          <w:rFonts w:ascii="Times New Roman" w:hAnsi="Times New Roman"/>
          <w:noProof/>
          <w:sz w:val="24"/>
          <w:szCs w:val="24"/>
        </w:rPr>
        <w:t xml:space="preserve"> benefits to society as a whole.</w:t>
      </w:r>
    </w:p>
    <w:p w:rsidR="0051717D" w:rsidRDefault="0051717D">
      <w:pPr>
        <w:ind w:left="0" w:firstLine="0"/>
        <w:rPr>
          <w:rFonts w:ascii="Times New Roman" w:hAnsi="Times New Roman"/>
          <w:noProof/>
          <w:sz w:val="24"/>
          <w:szCs w:val="24"/>
        </w:rPr>
      </w:pPr>
    </w:p>
    <w:p w:rsidR="0051717D" w:rsidRDefault="0051717D">
      <w:pPr>
        <w:ind w:left="0" w:firstLine="0"/>
        <w:rPr>
          <w:rFonts w:ascii="Times New Roman" w:hAnsi="Times New Roman"/>
          <w:b/>
          <w:noProof/>
          <w:sz w:val="24"/>
          <w:szCs w:val="24"/>
        </w:rPr>
      </w:pPr>
      <w:r w:rsidRPr="0051717D">
        <w:rPr>
          <w:rFonts w:ascii="Times New Roman" w:hAnsi="Times New Roman"/>
          <w:b/>
          <w:noProof/>
          <w:sz w:val="24"/>
          <w:szCs w:val="24"/>
        </w:rPr>
        <w:t>Application of the ‘one in, one out’ approach</w:t>
      </w:r>
    </w:p>
    <w:p w:rsidR="0051717D" w:rsidRDefault="0051717D">
      <w:pPr>
        <w:ind w:left="0" w:firstLine="0"/>
        <w:rPr>
          <w:rFonts w:ascii="Times New Roman" w:hAnsi="Times New Roman"/>
          <w:b/>
          <w:noProof/>
          <w:sz w:val="24"/>
          <w:szCs w:val="24"/>
        </w:rPr>
      </w:pPr>
    </w:p>
    <w:p w:rsidR="00F12321" w:rsidRPr="004869AB" w:rsidRDefault="007C401E" w:rsidP="0020247B">
      <w:pPr>
        <w:ind w:left="0" w:firstLine="0"/>
        <w:rPr>
          <w:rFonts w:ascii="Times New Roman" w:hAnsi="Times New Roman"/>
          <w:noProof/>
          <w:sz w:val="24"/>
          <w:szCs w:val="24"/>
        </w:rPr>
      </w:pPr>
      <w:r>
        <w:rPr>
          <w:rFonts w:ascii="Times New Roman" w:hAnsi="Times New Roman"/>
          <w:noProof/>
          <w:sz w:val="24"/>
          <w:szCs w:val="24"/>
        </w:rPr>
        <w:t>The costs for businesses can be further broken down into adjustment costs and administrative costs</w:t>
      </w:r>
      <w:r w:rsidR="0020247B">
        <w:rPr>
          <w:rFonts w:ascii="Times New Roman" w:hAnsi="Times New Roman"/>
          <w:noProof/>
          <w:sz w:val="24"/>
          <w:szCs w:val="24"/>
        </w:rPr>
        <w:t xml:space="preserve"> in accordance with the criteria set out in the Commission’s Better Regulation Toolbox #58 and #59</w:t>
      </w:r>
      <w:r w:rsidR="0020247B">
        <w:rPr>
          <w:rStyle w:val="FootnoteReference"/>
          <w:rFonts w:ascii="Times New Roman" w:hAnsi="Times New Roman"/>
          <w:noProof/>
          <w:sz w:val="24"/>
          <w:szCs w:val="24"/>
        </w:rPr>
        <w:footnoteReference w:id="122"/>
      </w:r>
      <w:r>
        <w:rPr>
          <w:rFonts w:ascii="Times New Roman" w:hAnsi="Times New Roman"/>
          <w:noProof/>
          <w:sz w:val="24"/>
          <w:szCs w:val="24"/>
        </w:rPr>
        <w:t xml:space="preserve">. Based </w:t>
      </w:r>
      <w:r w:rsidR="0020247B">
        <w:rPr>
          <w:rFonts w:ascii="Times New Roman" w:hAnsi="Times New Roman"/>
          <w:noProof/>
          <w:sz w:val="24"/>
          <w:szCs w:val="24"/>
        </w:rPr>
        <w:t>the analysis of costs, the only one of the preferred policy options which would incur administrative costs is option 1.2.C</w:t>
      </w:r>
      <w:r w:rsidR="00FD4E3F">
        <w:rPr>
          <w:rStyle w:val="FootnoteReference"/>
          <w:rFonts w:ascii="Times New Roman" w:hAnsi="Times New Roman"/>
          <w:noProof/>
          <w:sz w:val="24"/>
          <w:szCs w:val="24"/>
        </w:rPr>
        <w:footnoteReference w:id="123"/>
      </w:r>
      <w:r w:rsidR="0020247B">
        <w:rPr>
          <w:rFonts w:ascii="Times New Roman" w:hAnsi="Times New Roman"/>
          <w:noProof/>
          <w:sz w:val="24"/>
          <w:szCs w:val="24"/>
        </w:rPr>
        <w:t>. This option would entail in particular costs for businesses in familiarising themselves</w:t>
      </w:r>
      <w:r w:rsidR="0020247B" w:rsidRPr="0020247B">
        <w:rPr>
          <w:rFonts w:ascii="Times New Roman" w:hAnsi="Times New Roman"/>
          <w:noProof/>
          <w:sz w:val="24"/>
          <w:szCs w:val="24"/>
        </w:rPr>
        <w:t xml:space="preserve"> with</w:t>
      </w:r>
      <w:r w:rsidR="0020247B">
        <w:rPr>
          <w:rFonts w:ascii="Times New Roman" w:hAnsi="Times New Roman"/>
          <w:noProof/>
          <w:sz w:val="24"/>
          <w:szCs w:val="24"/>
        </w:rPr>
        <w:t xml:space="preserve"> the information obligations, and for </w:t>
      </w:r>
      <w:r w:rsidR="0020247B" w:rsidRPr="0020247B">
        <w:rPr>
          <w:rFonts w:ascii="Times New Roman" w:hAnsi="Times New Roman"/>
          <w:noProof/>
          <w:sz w:val="24"/>
          <w:szCs w:val="24"/>
        </w:rPr>
        <w:t>designing and placing information material (labelling)</w:t>
      </w:r>
      <w:r w:rsidR="004869AB">
        <w:rPr>
          <w:rStyle w:val="FootnoteReference"/>
          <w:rFonts w:ascii="Times New Roman" w:hAnsi="Times New Roman"/>
          <w:noProof/>
          <w:sz w:val="24"/>
          <w:szCs w:val="24"/>
        </w:rPr>
        <w:footnoteReference w:id="124"/>
      </w:r>
      <w:r w:rsidR="0020247B">
        <w:rPr>
          <w:rFonts w:ascii="Times New Roman" w:hAnsi="Times New Roman"/>
          <w:noProof/>
          <w:sz w:val="24"/>
          <w:szCs w:val="24"/>
        </w:rPr>
        <w:t xml:space="preserve">. These costs would amount to </w:t>
      </w:r>
      <w:r w:rsidR="004869AB" w:rsidRPr="004869AB">
        <w:rPr>
          <w:rFonts w:ascii="Times New Roman" w:hAnsi="Times New Roman"/>
          <w:noProof/>
          <w:sz w:val="24"/>
          <w:szCs w:val="24"/>
        </w:rPr>
        <w:t xml:space="preserve">EUR </w:t>
      </w:r>
      <w:r w:rsidR="004869AB">
        <w:rPr>
          <w:rFonts w:ascii="Times New Roman" w:hAnsi="Times New Roman"/>
          <w:noProof/>
          <w:sz w:val="24"/>
          <w:szCs w:val="24"/>
        </w:rPr>
        <w:t xml:space="preserve">225-257 million in total for the period 2025-2040 (combining one-off costs and annual recurrent costs). </w:t>
      </w:r>
      <w:r w:rsidR="00D61B71">
        <w:rPr>
          <w:rFonts w:ascii="Times New Roman" w:hAnsi="Times New Roman"/>
          <w:noProof/>
          <w:sz w:val="24"/>
          <w:szCs w:val="24"/>
        </w:rPr>
        <w:t xml:space="preserve">On average, this would represent average administrative costs of 15-17 million per year. Further details of how the costs are broken down by preferred policy option can be found in </w:t>
      </w:r>
      <w:hyperlink w:anchor="_Annex_3:_Who_1" w:history="1">
        <w:r w:rsidR="00D61B71" w:rsidRPr="00D61B71">
          <w:rPr>
            <w:rStyle w:val="Hyperlink"/>
            <w:rFonts w:ascii="Times New Roman" w:hAnsi="Times New Roman"/>
            <w:noProof/>
            <w:sz w:val="24"/>
            <w:szCs w:val="24"/>
          </w:rPr>
          <w:t>Annex 3</w:t>
        </w:r>
      </w:hyperlink>
      <w:r w:rsidR="00D61B71">
        <w:rPr>
          <w:rFonts w:ascii="Times New Roman" w:hAnsi="Times New Roman"/>
          <w:noProof/>
          <w:sz w:val="24"/>
          <w:szCs w:val="24"/>
        </w:rPr>
        <w:t>.</w:t>
      </w:r>
    </w:p>
    <w:p w:rsidR="0051717D" w:rsidRPr="0051717D" w:rsidRDefault="0051717D">
      <w:pPr>
        <w:ind w:left="0" w:firstLine="0"/>
        <w:rPr>
          <w:rFonts w:ascii="Times New Roman" w:hAnsi="Times New Roman"/>
          <w:b/>
          <w:noProof/>
          <w:sz w:val="24"/>
          <w:szCs w:val="24"/>
        </w:rPr>
      </w:pPr>
    </w:p>
    <w:p w:rsidR="006B087E" w:rsidRPr="009B5734" w:rsidRDefault="00A00208" w:rsidP="00A00208">
      <w:pPr>
        <w:pStyle w:val="Heading1"/>
        <w:rPr>
          <w:noProof/>
        </w:rPr>
      </w:pPr>
      <w:bookmarkStart w:id="251" w:name="_Toc58149093"/>
      <w:bookmarkStart w:id="252" w:name="_Toc58604099"/>
      <w:bookmarkStart w:id="253" w:name="_Toc75440977"/>
      <w:bookmarkStart w:id="254" w:name="_Toc75446976"/>
      <w:bookmarkStart w:id="255" w:name="_Toc75448849"/>
      <w:bookmarkStart w:id="256" w:name="_Toc77844241"/>
      <w:bookmarkStart w:id="257" w:name="_Toc86391744"/>
      <w:r w:rsidRPr="00A00208">
        <w:t>8.</w:t>
      </w:r>
      <w:r w:rsidRPr="00A00208">
        <w:tab/>
      </w:r>
      <w:r w:rsidR="006B087E" w:rsidRPr="009B5734">
        <w:rPr>
          <w:noProof/>
        </w:rPr>
        <w:t>How will actual impacts be monitored and evaluated?</w:t>
      </w:r>
      <w:bookmarkEnd w:id="251"/>
      <w:bookmarkEnd w:id="252"/>
      <w:bookmarkEnd w:id="253"/>
      <w:bookmarkEnd w:id="254"/>
      <w:bookmarkEnd w:id="255"/>
      <w:bookmarkEnd w:id="256"/>
      <w:bookmarkEnd w:id="257"/>
    </w:p>
    <w:p w:rsidR="00171914" w:rsidRPr="009B5734" w:rsidRDefault="00171914" w:rsidP="00171914">
      <w:pPr>
        <w:pStyle w:val="BTNumbList"/>
        <w:rPr>
          <w:noProof/>
        </w:rPr>
      </w:pPr>
      <w:r w:rsidRPr="7F52AB9A">
        <w:rPr>
          <w:rFonts w:ascii="Times New Roman" w:hAnsi="Times New Roman"/>
          <w:noProof/>
          <w:sz w:val="24"/>
        </w:rPr>
        <w:t xml:space="preserve">The Commission will evaluate the effectiveness, efficiency, relevance, coherence and EU added value of this intervention. In order to monitor and evaluate the progress made towards the objectives of this initiative, </w:t>
      </w:r>
      <w:r w:rsidR="00693E55" w:rsidRPr="7F52AB9A">
        <w:rPr>
          <w:rFonts w:ascii="Times New Roman" w:hAnsi="Times New Roman"/>
          <w:noProof/>
          <w:sz w:val="24"/>
        </w:rPr>
        <w:t>monitoring</w:t>
      </w:r>
      <w:r w:rsidRPr="7F52AB9A">
        <w:rPr>
          <w:rFonts w:ascii="Times New Roman" w:hAnsi="Times New Roman"/>
          <w:noProof/>
          <w:sz w:val="24"/>
        </w:rPr>
        <w:t xml:space="preserve"> indicators have been identified and are listed in the Table</w:t>
      </w:r>
      <w:r w:rsidR="00693E55" w:rsidRPr="7F52AB9A">
        <w:rPr>
          <w:rFonts w:ascii="Times New Roman" w:hAnsi="Times New Roman"/>
          <w:noProof/>
          <w:sz w:val="24"/>
        </w:rPr>
        <w:t xml:space="preserve"> available in </w:t>
      </w:r>
      <w:hyperlink w:anchor="_Annex_10:_Monitoring" w:history="1">
        <w:r w:rsidR="00723D9E" w:rsidRPr="7F52AB9A">
          <w:rPr>
            <w:rStyle w:val="Hyperlink"/>
            <w:rFonts w:ascii="Times New Roman" w:hAnsi="Times New Roman"/>
            <w:noProof/>
            <w:sz w:val="24"/>
          </w:rPr>
          <w:t>Annex 10</w:t>
        </w:r>
      </w:hyperlink>
      <w:r w:rsidRPr="7F52AB9A">
        <w:rPr>
          <w:rFonts w:ascii="Times New Roman" w:hAnsi="Times New Roman"/>
          <w:noProof/>
          <w:sz w:val="24"/>
        </w:rPr>
        <w:t>. These indicators can serve as the basis for the evaluation that should be presented no sooner than 5 years after the entry into application, to ensure that enough data is available after full implementation in all Member States.</w:t>
      </w:r>
      <w:r w:rsidRPr="009B5734">
        <w:rPr>
          <w:noProof/>
        </w:rPr>
        <w:t xml:space="preserve"> </w:t>
      </w:r>
      <w:r w:rsidR="0048059B" w:rsidRPr="7F52AB9A">
        <w:rPr>
          <w:rFonts w:ascii="Times New Roman" w:hAnsi="Times New Roman"/>
          <w:noProof/>
          <w:sz w:val="24"/>
        </w:rPr>
        <w:t xml:space="preserve">These indicators are </w:t>
      </w:r>
      <w:r w:rsidR="00E023ED" w:rsidRPr="7F52AB9A">
        <w:rPr>
          <w:rFonts w:ascii="Times New Roman" w:hAnsi="Times New Roman"/>
          <w:noProof/>
          <w:sz w:val="24"/>
        </w:rPr>
        <w:t xml:space="preserve">partially </w:t>
      </w:r>
      <w:r w:rsidR="0048059B" w:rsidRPr="7F52AB9A">
        <w:rPr>
          <w:rFonts w:ascii="Times New Roman" w:hAnsi="Times New Roman"/>
          <w:noProof/>
          <w:sz w:val="24"/>
        </w:rPr>
        <w:t xml:space="preserve">based on </w:t>
      </w:r>
      <w:r w:rsidRPr="7F52AB9A">
        <w:rPr>
          <w:rFonts w:ascii="Times New Roman" w:hAnsi="Times New Roman"/>
          <w:noProof/>
          <w:sz w:val="24"/>
        </w:rPr>
        <w:t xml:space="preserve">statistics </w:t>
      </w:r>
      <w:r w:rsidR="0048059B" w:rsidRPr="7F52AB9A">
        <w:rPr>
          <w:rFonts w:ascii="Times New Roman" w:hAnsi="Times New Roman"/>
          <w:noProof/>
          <w:sz w:val="24"/>
        </w:rPr>
        <w:t>already collected</w:t>
      </w:r>
      <w:r w:rsidRPr="7F52AB9A">
        <w:rPr>
          <w:rFonts w:ascii="Times New Roman" w:hAnsi="Times New Roman"/>
          <w:noProof/>
          <w:sz w:val="24"/>
        </w:rPr>
        <w:t xml:space="preserve"> in the </w:t>
      </w:r>
      <w:r w:rsidR="0048059B" w:rsidRPr="7F52AB9A">
        <w:rPr>
          <w:rFonts w:ascii="Times New Roman" w:hAnsi="Times New Roman"/>
          <w:noProof/>
          <w:sz w:val="24"/>
        </w:rPr>
        <w:t>framework</w:t>
      </w:r>
      <w:r w:rsidRPr="7F52AB9A">
        <w:rPr>
          <w:rFonts w:ascii="Times New Roman" w:hAnsi="Times New Roman"/>
          <w:noProof/>
          <w:sz w:val="24"/>
        </w:rPr>
        <w:t xml:space="preserve"> of </w:t>
      </w:r>
      <w:r w:rsidR="0048059B" w:rsidRPr="7F52AB9A">
        <w:rPr>
          <w:rFonts w:ascii="Times New Roman" w:hAnsi="Times New Roman"/>
          <w:noProof/>
          <w:sz w:val="24"/>
        </w:rPr>
        <w:t>the Consumer Scoreboards published every two years and which relies on</w:t>
      </w:r>
      <w:r w:rsidRPr="7F52AB9A">
        <w:rPr>
          <w:rFonts w:ascii="Times New Roman" w:hAnsi="Times New Roman"/>
          <w:noProof/>
          <w:sz w:val="24"/>
        </w:rPr>
        <w:t xml:space="preserve"> representative surveys with consumers and retailers in the EU. The monitoring will also include a </w:t>
      </w:r>
      <w:r w:rsidR="003B7A00" w:rsidRPr="7F52AB9A">
        <w:rPr>
          <w:rFonts w:ascii="Times New Roman" w:hAnsi="Times New Roman"/>
          <w:noProof/>
          <w:sz w:val="24"/>
        </w:rPr>
        <w:t>mystery shopping</w:t>
      </w:r>
      <w:r w:rsidRPr="7F52AB9A">
        <w:rPr>
          <w:rFonts w:ascii="Times New Roman" w:hAnsi="Times New Roman"/>
          <w:noProof/>
          <w:sz w:val="24"/>
        </w:rPr>
        <w:t xml:space="preserve"> and targeted surveys. </w:t>
      </w:r>
      <w:r w:rsidR="00693E55" w:rsidRPr="7F52AB9A">
        <w:rPr>
          <w:rFonts w:ascii="Times New Roman" w:hAnsi="Times New Roman"/>
          <w:noProof/>
          <w:sz w:val="24"/>
        </w:rPr>
        <w:t>It will also feed on the feedback from Member States, notably the experience collected in the course of coordinated checks (sweeps)</w:t>
      </w:r>
      <w:r w:rsidRPr="7F52AB9A">
        <w:rPr>
          <w:rFonts w:ascii="Times New Roman" w:hAnsi="Times New Roman"/>
          <w:noProof/>
          <w:sz w:val="24"/>
        </w:rPr>
        <w:t>.</w:t>
      </w:r>
      <w:r w:rsidR="00693E55" w:rsidRPr="7F52AB9A">
        <w:rPr>
          <w:rFonts w:ascii="Times New Roman" w:hAnsi="Times New Roman"/>
          <w:noProof/>
          <w:sz w:val="24"/>
        </w:rPr>
        <w:t xml:space="preserve"> Such sweeps will be planned after the entry into force of the instrument, in agreement with Member States. </w:t>
      </w:r>
    </w:p>
    <w:p w:rsidR="0051717D" w:rsidRPr="009B5734" w:rsidRDefault="00171914" w:rsidP="00D7738F">
      <w:pPr>
        <w:pStyle w:val="BTNumbList"/>
        <w:rPr>
          <w:rFonts w:ascii="Times New Roman" w:hAnsi="Times New Roman"/>
          <w:noProof/>
          <w:sz w:val="24"/>
        </w:rPr>
      </w:pPr>
      <w:r w:rsidRPr="009B5734">
        <w:rPr>
          <w:rFonts w:ascii="Times New Roman" w:hAnsi="Times New Roman"/>
          <w:noProof/>
          <w:sz w:val="24"/>
        </w:rPr>
        <w:t xml:space="preserve">This data collection will also feed into </w:t>
      </w:r>
      <w:r w:rsidR="00F2231D" w:rsidRPr="009B5734">
        <w:rPr>
          <w:rFonts w:ascii="Times New Roman" w:hAnsi="Times New Roman"/>
          <w:noProof/>
          <w:sz w:val="24"/>
        </w:rPr>
        <w:t>the</w:t>
      </w:r>
      <w:r w:rsidRPr="009B5734">
        <w:rPr>
          <w:rFonts w:ascii="Times New Roman" w:hAnsi="Times New Roman"/>
          <w:noProof/>
          <w:sz w:val="24"/>
        </w:rPr>
        <w:t xml:space="preserve"> Commission's reporting on the transposition and implementation. In addition, the Commission will remain in close contact with the Member States and with all relevant stakeholders to monitor the effects of the possible legislative act. To limit the additional administrative burden, the proposed indicators on the table </w:t>
      </w:r>
      <w:r w:rsidR="00BC3A96" w:rsidRPr="009B5734">
        <w:rPr>
          <w:rFonts w:ascii="Times New Roman" w:hAnsi="Times New Roman"/>
          <w:noProof/>
          <w:sz w:val="24"/>
        </w:rPr>
        <w:t xml:space="preserve">in </w:t>
      </w:r>
      <w:hyperlink w:anchor="_Annex_10:_Monitoring" w:history="1">
        <w:r w:rsidR="00BC3A96" w:rsidRPr="009B5734">
          <w:rPr>
            <w:rStyle w:val="Hyperlink"/>
            <w:rFonts w:ascii="Times New Roman" w:hAnsi="Times New Roman"/>
            <w:noProof/>
            <w:sz w:val="24"/>
          </w:rPr>
          <w:t>Annex 10</w:t>
        </w:r>
      </w:hyperlink>
      <w:r w:rsidR="00BC3A96" w:rsidRPr="009B5734">
        <w:rPr>
          <w:rFonts w:ascii="Times New Roman" w:hAnsi="Times New Roman"/>
          <w:noProof/>
          <w:sz w:val="24"/>
        </w:rPr>
        <w:t xml:space="preserve"> </w:t>
      </w:r>
      <w:r w:rsidRPr="009B5734">
        <w:rPr>
          <w:rFonts w:ascii="Times New Roman" w:hAnsi="Times New Roman"/>
          <w:noProof/>
          <w:sz w:val="24"/>
        </w:rPr>
        <w:t>rely on existing data sources whenever possible.</w:t>
      </w:r>
      <w:r w:rsidR="000D5640" w:rsidRPr="009B5734">
        <w:rPr>
          <w:rFonts w:ascii="Times New Roman" w:hAnsi="Times New Roman"/>
          <w:noProof/>
          <w:sz w:val="24"/>
        </w:rPr>
        <w:t xml:space="preserve"> </w:t>
      </w:r>
      <w:r w:rsidRPr="009B5734">
        <w:rPr>
          <w:rFonts w:ascii="Times New Roman" w:hAnsi="Times New Roman"/>
          <w:noProof/>
          <w:sz w:val="24"/>
        </w:rPr>
        <w:t>Data collection will aim to identify more precisely the extent to which changes in the indicators could be ascribed to the proposal. The surveys carried out for the Consumer Scoreboards have time series on most indicators, allowing in principle (through statistical analysis) to discern the impact of a particular policy initiative from broader trends.</w:t>
      </w:r>
    </w:p>
    <w:p w:rsidR="00D307C5" w:rsidRPr="009B5734" w:rsidRDefault="00D307C5">
      <w:pPr>
        <w:rPr>
          <w:rFonts w:ascii="Times New Roman" w:eastAsia="Times New Roman" w:hAnsi="Times New Roman" w:cs="Times New Roman"/>
          <w:b/>
          <w:smallCaps/>
          <w:noProof/>
          <w:sz w:val="24"/>
          <w:szCs w:val="20"/>
        </w:rPr>
      </w:pPr>
      <w:bookmarkStart w:id="258" w:name="_Toc58149094"/>
      <w:bookmarkStart w:id="259" w:name="_Toc58604100"/>
      <w:r w:rsidRPr="009B5734">
        <w:rPr>
          <w:noProof/>
        </w:rPr>
        <w:br w:type="page"/>
      </w:r>
    </w:p>
    <w:p w:rsidR="00EA45F9" w:rsidRPr="009B5734" w:rsidRDefault="00EA45F9" w:rsidP="00EA45F9">
      <w:pPr>
        <w:pStyle w:val="Heading1"/>
        <w:jc w:val="center"/>
        <w:rPr>
          <w:noProof/>
        </w:rPr>
      </w:pPr>
      <w:bookmarkStart w:id="260" w:name="_Annex_2:_Stakeholder"/>
      <w:bookmarkStart w:id="261" w:name="_Feeding_the_consultation"/>
      <w:bookmarkStart w:id="262" w:name="_Views_on_possible"/>
      <w:bookmarkStart w:id="263" w:name="_Annex_3:_Who"/>
      <w:bookmarkStart w:id="264" w:name="_Annex_4:_Analytical"/>
      <w:bookmarkStart w:id="265" w:name="_Annex_6:_Overview"/>
      <w:bookmarkStart w:id="266" w:name="_Annex_87:_Impacts"/>
      <w:bookmarkStart w:id="267" w:name="_Annex_910:_Detailed"/>
      <w:bookmarkStart w:id="268" w:name="_Toc75443786"/>
      <w:bookmarkStart w:id="269" w:name="_Toc75430058"/>
      <w:bookmarkStart w:id="270" w:name="_Toc75434659"/>
      <w:bookmarkStart w:id="271" w:name="_Toc75435634"/>
      <w:bookmarkStart w:id="272" w:name="_Toc75436988"/>
      <w:bookmarkStart w:id="273" w:name="_Toc75439115"/>
      <w:bookmarkStart w:id="274" w:name="_Toc75441023"/>
      <w:bookmarkStart w:id="275" w:name="_Toc75430060"/>
      <w:bookmarkStart w:id="276" w:name="_Toc75434661"/>
      <w:bookmarkStart w:id="277" w:name="_Toc75435636"/>
      <w:bookmarkStart w:id="278" w:name="_Toc75436990"/>
      <w:bookmarkStart w:id="279" w:name="_Toc75439117"/>
      <w:bookmarkStart w:id="280" w:name="_Toc75441025"/>
      <w:bookmarkStart w:id="281" w:name="_Toc75430062"/>
      <w:bookmarkStart w:id="282" w:name="_Toc75434663"/>
      <w:bookmarkStart w:id="283" w:name="_Toc75435638"/>
      <w:bookmarkStart w:id="284" w:name="_Toc75436992"/>
      <w:bookmarkStart w:id="285" w:name="_Toc75439119"/>
      <w:bookmarkStart w:id="286" w:name="_Toc75441027"/>
      <w:bookmarkStart w:id="287" w:name="_Toc75430064"/>
      <w:bookmarkStart w:id="288" w:name="_Toc75434665"/>
      <w:bookmarkStart w:id="289" w:name="_Toc75435640"/>
      <w:bookmarkStart w:id="290" w:name="_Toc75436994"/>
      <w:bookmarkStart w:id="291" w:name="_Toc75439121"/>
      <w:bookmarkStart w:id="292" w:name="_Toc75441029"/>
      <w:bookmarkStart w:id="293" w:name="_Toc75430066"/>
      <w:bookmarkStart w:id="294" w:name="_Toc75434667"/>
      <w:bookmarkStart w:id="295" w:name="_Toc75435642"/>
      <w:bookmarkStart w:id="296" w:name="_Toc75436996"/>
      <w:bookmarkStart w:id="297" w:name="_Toc75439123"/>
      <w:bookmarkStart w:id="298" w:name="_Toc75441031"/>
      <w:bookmarkStart w:id="299" w:name="_Toc75430067"/>
      <w:bookmarkStart w:id="300" w:name="_Toc75434668"/>
      <w:bookmarkStart w:id="301" w:name="_Toc75435643"/>
      <w:bookmarkStart w:id="302" w:name="_Toc75436997"/>
      <w:bookmarkStart w:id="303" w:name="_Toc75439124"/>
      <w:bookmarkStart w:id="304" w:name="_Toc75441032"/>
      <w:bookmarkStart w:id="305" w:name="_Annex_11:_Options"/>
      <w:bookmarkStart w:id="306" w:name="_Sub-problem_2.2:_Consumers"/>
      <w:bookmarkStart w:id="307" w:name="_Sub-problem_2.3:_Consumers"/>
      <w:bookmarkStart w:id="308" w:name="_Annex_12:_Consequences"/>
      <w:bookmarkStart w:id="309" w:name="_Toc75440978"/>
      <w:bookmarkStart w:id="310" w:name="_Toc75446977"/>
      <w:bookmarkStart w:id="311" w:name="_Toc75448850"/>
      <w:bookmarkStart w:id="312" w:name="_Toc77844242"/>
      <w:bookmarkStart w:id="313" w:name="_Toc86391745"/>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sidRPr="009B5734">
        <w:rPr>
          <w:noProof/>
        </w:rPr>
        <w:t>Annex 1: Procedural information</w:t>
      </w:r>
      <w:bookmarkEnd w:id="309"/>
      <w:bookmarkEnd w:id="310"/>
      <w:bookmarkEnd w:id="311"/>
      <w:bookmarkEnd w:id="312"/>
      <w:bookmarkEnd w:id="313"/>
    </w:p>
    <w:p w:rsidR="00EA45F9" w:rsidRPr="009B5734" w:rsidRDefault="00A00208" w:rsidP="00A00208">
      <w:pPr>
        <w:pStyle w:val="Heading2"/>
        <w:rPr>
          <w:noProof/>
        </w:rPr>
      </w:pPr>
      <w:bookmarkStart w:id="314" w:name="_Toc471997754"/>
      <w:bookmarkStart w:id="315" w:name="_Toc58149095"/>
      <w:bookmarkStart w:id="316" w:name="_Toc58222473"/>
      <w:bookmarkStart w:id="317" w:name="_Toc58603241"/>
      <w:bookmarkStart w:id="318" w:name="_Toc58604101"/>
      <w:bookmarkStart w:id="319" w:name="_Toc58605419"/>
      <w:bookmarkStart w:id="320" w:name="_Toc60734056"/>
      <w:bookmarkStart w:id="321" w:name="_Toc77844243"/>
      <w:bookmarkStart w:id="322" w:name="_Toc86391746"/>
      <w:r w:rsidRPr="00A00208">
        <w:t>1.</w:t>
      </w:r>
      <w:r w:rsidRPr="00A00208">
        <w:tab/>
      </w:r>
      <w:r w:rsidR="00EA45F9" w:rsidRPr="009B5734">
        <w:rPr>
          <w:noProof/>
        </w:rPr>
        <w:t>Lead DG, Decide Planning/CWP references</w:t>
      </w:r>
      <w:bookmarkEnd w:id="314"/>
      <w:bookmarkEnd w:id="315"/>
      <w:bookmarkEnd w:id="316"/>
      <w:bookmarkEnd w:id="317"/>
      <w:bookmarkEnd w:id="318"/>
      <w:bookmarkEnd w:id="319"/>
      <w:bookmarkEnd w:id="320"/>
      <w:bookmarkEnd w:id="321"/>
      <w:bookmarkEnd w:id="322"/>
    </w:p>
    <w:p w:rsidR="00EA45F9" w:rsidRPr="009B5734" w:rsidRDefault="00EA45F9" w:rsidP="00EA45F9">
      <w:pPr>
        <w:pStyle w:val="ListBullet"/>
        <w:tabs>
          <w:tab w:val="clear" w:pos="283"/>
        </w:tabs>
        <w:spacing w:after="120"/>
        <w:ind w:left="0" w:firstLine="0"/>
        <w:rPr>
          <w:noProof/>
        </w:rPr>
      </w:pPr>
      <w:r w:rsidRPr="009B5734">
        <w:rPr>
          <w:b/>
          <w:noProof/>
        </w:rPr>
        <w:t>Lead DG:</w:t>
      </w:r>
      <w:r w:rsidRPr="009B5734">
        <w:rPr>
          <w:i/>
          <w:noProof/>
        </w:rPr>
        <w:t xml:space="preserve"> </w:t>
      </w:r>
      <w:r w:rsidRPr="009B5734">
        <w:rPr>
          <w:noProof/>
        </w:rPr>
        <w:t>European Commission Directorate-General Justice and Consumers, DG JUST,</w:t>
      </w:r>
      <w:r w:rsidRPr="009B5734">
        <w:rPr>
          <w:i/>
          <w:noProof/>
        </w:rPr>
        <w:t xml:space="preserve"> </w:t>
      </w:r>
      <w:r w:rsidRPr="009B5734">
        <w:rPr>
          <w:noProof/>
        </w:rPr>
        <w:t>Ref. Decide: PLAN/2020/7019. Adjusted Commission Working Programme 2020</w:t>
      </w:r>
      <w:r w:rsidRPr="009B5734">
        <w:rPr>
          <w:rStyle w:val="FootnoteReference"/>
          <w:noProof/>
        </w:rPr>
        <w:footnoteReference w:id="125"/>
      </w:r>
      <w:r w:rsidRPr="009B5734">
        <w:rPr>
          <w:noProof/>
        </w:rPr>
        <w:t xml:space="preserve">, Annex I, nr. 6.  </w:t>
      </w:r>
    </w:p>
    <w:p w:rsidR="00EA45F9" w:rsidRPr="009B5734" w:rsidRDefault="00A00208" w:rsidP="00A00208">
      <w:pPr>
        <w:pStyle w:val="Heading2"/>
        <w:rPr>
          <w:noProof/>
        </w:rPr>
      </w:pPr>
      <w:bookmarkStart w:id="323" w:name="_Toc471997755"/>
      <w:bookmarkStart w:id="324" w:name="_Toc58149096"/>
      <w:bookmarkStart w:id="325" w:name="_Toc58222474"/>
      <w:bookmarkStart w:id="326" w:name="_Toc58603242"/>
      <w:bookmarkStart w:id="327" w:name="_Toc58604102"/>
      <w:bookmarkStart w:id="328" w:name="_Toc58605420"/>
      <w:bookmarkStart w:id="329" w:name="_Toc60734057"/>
      <w:bookmarkStart w:id="330" w:name="_Toc77844244"/>
      <w:bookmarkStart w:id="331" w:name="_Toc86391747"/>
      <w:r w:rsidRPr="00A00208">
        <w:t>2.</w:t>
      </w:r>
      <w:r w:rsidRPr="00A00208">
        <w:tab/>
      </w:r>
      <w:r w:rsidR="00EA45F9" w:rsidRPr="009B5734">
        <w:rPr>
          <w:noProof/>
        </w:rPr>
        <w:t>Organisation and timing</w:t>
      </w:r>
      <w:bookmarkEnd w:id="323"/>
      <w:bookmarkEnd w:id="324"/>
      <w:bookmarkEnd w:id="325"/>
      <w:bookmarkEnd w:id="326"/>
      <w:bookmarkEnd w:id="327"/>
      <w:bookmarkEnd w:id="328"/>
      <w:bookmarkEnd w:id="329"/>
      <w:bookmarkEnd w:id="330"/>
      <w:bookmarkEnd w:id="331"/>
    </w:p>
    <w:p w:rsidR="00EA45F9" w:rsidRPr="009B5734" w:rsidRDefault="00EA45F9" w:rsidP="00EA45F9">
      <w:pPr>
        <w:pStyle w:val="ListBullet"/>
        <w:tabs>
          <w:tab w:val="clear" w:pos="283"/>
        </w:tabs>
        <w:spacing w:after="120"/>
        <w:ind w:left="0" w:firstLine="0"/>
        <w:rPr>
          <w:noProof/>
        </w:rPr>
      </w:pPr>
      <w:r w:rsidRPr="009B5734">
        <w:rPr>
          <w:noProof/>
        </w:rPr>
        <w:t xml:space="preserve">This Impact Assessment (IA) was carried out by Unit E1 “Consumer Policy’ of the European Commission, DG Justice and Consumers. The </w:t>
      </w:r>
      <w:r w:rsidRPr="7F52AB9A">
        <w:rPr>
          <w:b/>
          <w:bCs/>
          <w:noProof/>
        </w:rPr>
        <w:t>Inception Impact Assessment (IIA) on the Empowering the consumer for the green transition initiative</w:t>
      </w:r>
      <w:r w:rsidRPr="009B5734">
        <w:rPr>
          <w:rStyle w:val="FootnoteReference"/>
          <w:noProof/>
        </w:rPr>
        <w:footnoteReference w:id="126"/>
      </w:r>
      <w:r w:rsidRPr="009B5734">
        <w:rPr>
          <w:noProof/>
        </w:rPr>
        <w:t xml:space="preserve"> was published on 23 June 2020 along with its corresponding consultation strategy</w:t>
      </w:r>
      <w:r w:rsidRPr="009B5734">
        <w:rPr>
          <w:rStyle w:val="FootnoteReference"/>
          <w:noProof/>
        </w:rPr>
        <w:footnoteReference w:id="127"/>
      </w:r>
      <w:r w:rsidRPr="009B5734">
        <w:rPr>
          <w:noProof/>
        </w:rPr>
        <w:t xml:space="preserve">. The IIA outlined the initiative’s context, objectives and policy options whilst also discussing expected impacts and evidence base. </w:t>
      </w:r>
    </w:p>
    <w:p w:rsidR="00EA45F9" w:rsidRPr="009B5734" w:rsidRDefault="00EA45F9" w:rsidP="00EA45F9">
      <w:pPr>
        <w:pStyle w:val="ListBullet"/>
        <w:tabs>
          <w:tab w:val="clear" w:pos="283"/>
        </w:tabs>
        <w:spacing w:after="120"/>
        <w:ind w:left="0" w:firstLine="0"/>
        <w:rPr>
          <w:noProof/>
        </w:rPr>
      </w:pPr>
      <w:r w:rsidRPr="009B5734">
        <w:rPr>
          <w:noProof/>
        </w:rPr>
        <w:t>Four Inter-service Steering Group (ISSG) meetings were held between April and December 2020 including participation from the Secretariat General, ESTAT and Directorates-General: AGRI, CLIMA, CNCT, COMP, ECFIN, EMPL, ENER, ENV, FISMA, GROW, HOME, JRC, LS, MARE, MOVE, SANTE and TRADE. DG JUST agreed with the Secretariat General on creating a sub-group of the Circular Economy Action Plan (CEAP) ISG rather than setting up a separate ISG. The CEAP ISG sub-group was consulted on the draft IIA and consultation strategy, the open public consultation, the preparatory study and several drafts of this IA report</w:t>
      </w:r>
      <w:r w:rsidR="00B84AC8">
        <w:rPr>
          <w:noProof/>
        </w:rPr>
        <w:t xml:space="preserve"> in the first stages of the preparatory phase</w:t>
      </w:r>
      <w:r w:rsidRPr="009B5734">
        <w:rPr>
          <w:noProof/>
        </w:rPr>
        <w:t>.</w:t>
      </w:r>
      <w:r w:rsidR="00B84AC8">
        <w:rPr>
          <w:noProof/>
        </w:rPr>
        <w:t xml:space="preserve"> The Inter-service consultation on the draft legal text and the revised IA report </w:t>
      </w:r>
      <w:r w:rsidR="005F3972">
        <w:rPr>
          <w:noProof/>
        </w:rPr>
        <w:t xml:space="preserve">took place during the period </w:t>
      </w:r>
      <w:r w:rsidR="00D2226C">
        <w:rPr>
          <w:noProof/>
        </w:rPr>
        <w:t>29 October 2021 – 23 November 2021.</w:t>
      </w:r>
    </w:p>
    <w:p w:rsidR="00EA45F9" w:rsidRPr="009B5734" w:rsidRDefault="00A00208" w:rsidP="00A00208">
      <w:pPr>
        <w:pStyle w:val="Heading2"/>
        <w:rPr>
          <w:noProof/>
        </w:rPr>
      </w:pPr>
      <w:bookmarkStart w:id="332" w:name="_Toc471997757"/>
      <w:bookmarkStart w:id="333" w:name="_Toc58149097"/>
      <w:bookmarkStart w:id="334" w:name="_Toc58222475"/>
      <w:bookmarkStart w:id="335" w:name="_Toc58603243"/>
      <w:bookmarkStart w:id="336" w:name="_Toc58604103"/>
      <w:bookmarkStart w:id="337" w:name="_Toc58605421"/>
      <w:bookmarkStart w:id="338" w:name="_Toc60734058"/>
      <w:bookmarkStart w:id="339" w:name="_Toc77844245"/>
      <w:bookmarkStart w:id="340" w:name="_Toc86391748"/>
      <w:r w:rsidRPr="00A00208">
        <w:t>3.</w:t>
      </w:r>
      <w:r w:rsidRPr="00A00208">
        <w:tab/>
      </w:r>
      <w:r w:rsidR="00EA45F9" w:rsidRPr="009B5734">
        <w:rPr>
          <w:noProof/>
        </w:rPr>
        <w:t>Consultation of the RSB</w:t>
      </w:r>
      <w:bookmarkEnd w:id="332"/>
      <w:bookmarkEnd w:id="333"/>
      <w:bookmarkEnd w:id="334"/>
      <w:bookmarkEnd w:id="335"/>
      <w:bookmarkEnd w:id="336"/>
      <w:bookmarkEnd w:id="337"/>
      <w:bookmarkEnd w:id="338"/>
      <w:bookmarkEnd w:id="339"/>
      <w:bookmarkEnd w:id="340"/>
    </w:p>
    <w:p w:rsidR="00EA45F9" w:rsidRPr="009B5734" w:rsidRDefault="00EA45F9" w:rsidP="00EA45F9">
      <w:pPr>
        <w:pStyle w:val="ListBullet"/>
        <w:tabs>
          <w:tab w:val="clear" w:pos="283"/>
        </w:tabs>
        <w:spacing w:after="120"/>
        <w:ind w:left="0" w:firstLine="0"/>
        <w:rPr>
          <w:noProof/>
        </w:rPr>
      </w:pPr>
      <w:r w:rsidRPr="009B5734">
        <w:rPr>
          <w:noProof/>
        </w:rPr>
        <w:t xml:space="preserve">An upstream meeting was held with the Regulatory Scrutiny Board (RSB) on 15 July 2020 to informally discuss questions concerning how to prepare the best possible report for this initiative. The IA report was submitted to the RSB on 6 January 2021 with a subsequent RSB hearing scheduled on 3 February 2021. The RSB provided a negative opinion on 5 February 2021. Taking into account the RSB comments, a revised Impact Assessment report was resubmitted on </w:t>
      </w:r>
      <w:r w:rsidR="001352BD">
        <w:rPr>
          <w:noProof/>
        </w:rPr>
        <w:t>22</w:t>
      </w:r>
      <w:r w:rsidRPr="009B5734">
        <w:rPr>
          <w:noProof/>
        </w:rPr>
        <w:t xml:space="preserve"> July 2021, </w:t>
      </w:r>
      <w:r w:rsidR="001352BD">
        <w:rPr>
          <w:noProof/>
        </w:rPr>
        <w:t xml:space="preserve">following the </w:t>
      </w:r>
      <w:r w:rsidR="00E01824">
        <w:rPr>
          <w:noProof/>
        </w:rPr>
        <w:t xml:space="preserve">first </w:t>
      </w:r>
      <w:r w:rsidR="001352BD">
        <w:rPr>
          <w:noProof/>
        </w:rPr>
        <w:t>submission</w:t>
      </w:r>
      <w:r w:rsidR="00E01824">
        <w:rPr>
          <w:noProof/>
        </w:rPr>
        <w:t>s</w:t>
      </w:r>
      <w:r w:rsidR="001352BD">
        <w:rPr>
          <w:noProof/>
        </w:rPr>
        <w:t xml:space="preserve"> of</w:t>
      </w:r>
      <w:r w:rsidRPr="009B5734">
        <w:rPr>
          <w:noProof/>
        </w:rPr>
        <w:t xml:space="preserve"> the</w:t>
      </w:r>
      <w:r w:rsidR="004F377D">
        <w:rPr>
          <w:noProof/>
        </w:rPr>
        <w:t xml:space="preserve"> </w:t>
      </w:r>
      <w:r w:rsidRPr="009B5734">
        <w:rPr>
          <w:noProof/>
        </w:rPr>
        <w:t>IA reports of the Sustainable Products and Green Claims Initiatives</w:t>
      </w:r>
      <w:r w:rsidR="001352BD">
        <w:rPr>
          <w:noProof/>
        </w:rPr>
        <w:t xml:space="preserve"> on 20 July 2021</w:t>
      </w:r>
      <w:r w:rsidRPr="009B5734">
        <w:rPr>
          <w:noProof/>
        </w:rPr>
        <w:t xml:space="preserve">. </w:t>
      </w:r>
      <w:r w:rsidR="008F4C9E">
        <w:rPr>
          <w:noProof/>
        </w:rPr>
        <w:t>The RSB provided a positive opinion with reservation</w:t>
      </w:r>
      <w:r w:rsidR="00801EE2">
        <w:rPr>
          <w:noProof/>
        </w:rPr>
        <w:t>s</w:t>
      </w:r>
      <w:r w:rsidR="008F4C9E">
        <w:rPr>
          <w:noProof/>
        </w:rPr>
        <w:t xml:space="preserve"> on 17 September 2021</w:t>
      </w:r>
      <w:r w:rsidR="00801EE2">
        <w:rPr>
          <w:noProof/>
        </w:rPr>
        <w:t>.</w:t>
      </w:r>
    </w:p>
    <w:tbl>
      <w:tblPr>
        <w:tblStyle w:val="GridTable4-Accent1"/>
        <w:tblW w:w="0" w:type="auto"/>
        <w:jc w:val="center"/>
        <w:tblLook w:val="04A0" w:firstRow="1" w:lastRow="0" w:firstColumn="1" w:lastColumn="0" w:noHBand="0" w:noVBand="1"/>
      </w:tblPr>
      <w:tblGrid>
        <w:gridCol w:w="4506"/>
        <w:gridCol w:w="4222"/>
      </w:tblGrid>
      <w:tr w:rsidR="00EA45F9" w:rsidRPr="009B5734" w:rsidTr="00C84A99">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4506" w:type="dxa"/>
          </w:tcPr>
          <w:p w:rsidR="00EA45F9" w:rsidRPr="009B5734" w:rsidRDefault="00EA45F9" w:rsidP="00981615">
            <w:pPr>
              <w:pStyle w:val="Text1"/>
              <w:ind w:left="0" w:firstLine="0"/>
              <w:rPr>
                <w:noProof/>
              </w:rPr>
            </w:pPr>
            <w:r w:rsidRPr="009B5734">
              <w:rPr>
                <w:noProof/>
              </w:rPr>
              <w:t>RSB Comments</w:t>
            </w:r>
            <w:r w:rsidR="00801EE2">
              <w:rPr>
                <w:noProof/>
              </w:rPr>
              <w:t xml:space="preserve"> of 3 February 2021</w:t>
            </w:r>
          </w:p>
        </w:tc>
        <w:tc>
          <w:tcPr>
            <w:tcW w:w="4222" w:type="dxa"/>
          </w:tcPr>
          <w:p w:rsidR="00EA45F9" w:rsidRPr="009B5734" w:rsidRDefault="00EA45F9" w:rsidP="00981615">
            <w:pPr>
              <w:pStyle w:val="Text1"/>
              <w:ind w:left="0" w:firstLine="0"/>
              <w:cnfStyle w:val="100000000000" w:firstRow="1" w:lastRow="0" w:firstColumn="0" w:lastColumn="0" w:oddVBand="0" w:evenVBand="0" w:oddHBand="0" w:evenHBand="0" w:firstRowFirstColumn="0" w:firstRowLastColumn="0" w:lastRowFirstColumn="0" w:lastRowLastColumn="0"/>
              <w:rPr>
                <w:noProof/>
              </w:rPr>
            </w:pPr>
            <w:r w:rsidRPr="009B5734">
              <w:rPr>
                <w:noProof/>
              </w:rPr>
              <w:t>How RSB comments have been addressed in the IA</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4506" w:type="dxa"/>
            <w:shd w:val="clear" w:color="auto" w:fill="auto"/>
          </w:tcPr>
          <w:p w:rsidR="00EA45F9" w:rsidRPr="009B5734" w:rsidRDefault="00EA45F9" w:rsidP="00981615">
            <w:pPr>
              <w:pStyle w:val="ListBullet"/>
              <w:tabs>
                <w:tab w:val="clear" w:pos="283"/>
              </w:tabs>
              <w:spacing w:after="120"/>
              <w:ind w:left="0" w:firstLine="0"/>
              <w:rPr>
                <w:b w:val="0"/>
                <w:bCs w:val="0"/>
                <w:noProof/>
              </w:rPr>
            </w:pPr>
            <w:r w:rsidRPr="009B5734">
              <w:rPr>
                <w:b w:val="0"/>
                <w:bCs w:val="0"/>
                <w:noProof/>
              </w:rPr>
              <w:t>The Board notes the useful additional information provided in advance of the meeting and commitments to make changes to the report.</w:t>
            </w:r>
          </w:p>
          <w:p w:rsidR="00EA45F9" w:rsidRPr="009B5734" w:rsidRDefault="00EA45F9" w:rsidP="00981615">
            <w:pPr>
              <w:pStyle w:val="ListBullet"/>
              <w:tabs>
                <w:tab w:val="clear" w:pos="283"/>
              </w:tabs>
              <w:spacing w:after="120"/>
              <w:ind w:left="0" w:firstLine="0"/>
              <w:rPr>
                <w:b w:val="0"/>
                <w:noProof/>
              </w:rPr>
            </w:pPr>
            <w:r w:rsidRPr="009B5734">
              <w:rPr>
                <w:b w:val="0"/>
                <w:bCs w:val="0"/>
                <w:noProof/>
              </w:rPr>
              <w:t>However, the Board gives a negative opinion, because the report contains the following significant shortcomings:</w:t>
            </w:r>
          </w:p>
        </w:tc>
        <w:tc>
          <w:tcPr>
            <w:tcW w:w="4222" w:type="dxa"/>
            <w:shd w:val="clear" w:color="auto" w:fill="auto"/>
          </w:tcPr>
          <w:p w:rsidR="00EA45F9" w:rsidRPr="009B5734" w:rsidRDefault="00EA45F9" w:rsidP="00981615">
            <w:pPr>
              <w:pStyle w:val="Text1"/>
              <w:ind w:left="0" w:firstLine="0"/>
              <w:cnfStyle w:val="000000100000" w:firstRow="0" w:lastRow="0" w:firstColumn="0" w:lastColumn="0" w:oddVBand="0" w:evenVBand="0" w:oddHBand="1" w:evenHBand="0" w:firstRowFirstColumn="0" w:firstRowLastColumn="0" w:lastRowFirstColumn="0" w:lastRowLastColumn="0"/>
              <w:rPr>
                <w:noProof/>
                <w:szCs w:val="24"/>
              </w:rPr>
            </w:pPr>
            <w:r w:rsidRPr="009B5734">
              <w:rPr>
                <w:noProof/>
              </w:rPr>
              <w:t xml:space="preserve">Overall, </w:t>
            </w:r>
            <w:r w:rsidR="002E08BB">
              <w:rPr>
                <w:noProof/>
              </w:rPr>
              <w:t xml:space="preserve">the </w:t>
            </w:r>
            <w:r w:rsidRPr="009B5734">
              <w:rPr>
                <w:noProof/>
              </w:rPr>
              <w:t xml:space="preserve">IA report has been revised, shortened and streamlined following the RSB Opinion as well as the Impact Assessment Quality Checklist, improving </w:t>
            </w:r>
            <w:r w:rsidRPr="009B5734">
              <w:rPr>
                <w:noProof/>
                <w:szCs w:val="24"/>
              </w:rPr>
              <w:t xml:space="preserve">its presentation as well as its content. The report notably further clarifies the interaction between this initiative, existing (consumer) legislation and forthcoming initiatives. It now identifies a preferred set of policy options. The report also further explains the product scope of this initiative and the concept of sustainability followed. The criteria and sub-criteria used for the assessment of the options has been further clarified.  Several annexes have been streamlined, re-organised and further developed. </w:t>
            </w:r>
          </w:p>
        </w:tc>
      </w:tr>
      <w:tr w:rsidR="00EA45F9" w:rsidRPr="009B5734" w:rsidTr="00C84A99">
        <w:trPr>
          <w:trHeight w:val="645"/>
          <w:jc w:val="center"/>
        </w:trPr>
        <w:tc>
          <w:tcPr>
            <w:cnfStyle w:val="001000000000" w:firstRow="0" w:lastRow="0" w:firstColumn="1" w:lastColumn="0" w:oddVBand="0" w:evenVBand="0" w:oddHBand="0" w:evenHBand="0" w:firstRowFirstColumn="0" w:firstRowLastColumn="0" w:lastRowFirstColumn="0" w:lastRowLastColumn="0"/>
            <w:tcW w:w="4506" w:type="dxa"/>
          </w:tcPr>
          <w:p w:rsidR="00EA45F9" w:rsidRPr="009B5734" w:rsidRDefault="00EA45F9" w:rsidP="00981615">
            <w:pPr>
              <w:pStyle w:val="ListBullet"/>
              <w:tabs>
                <w:tab w:val="clear" w:pos="283"/>
              </w:tabs>
              <w:spacing w:after="120"/>
              <w:ind w:left="0" w:firstLine="0"/>
              <w:rPr>
                <w:b w:val="0"/>
                <w:noProof/>
              </w:rPr>
            </w:pPr>
            <w:r w:rsidRPr="009B5734">
              <w:rPr>
                <w:b w:val="0"/>
                <w:bCs w:val="0"/>
                <w:noProof/>
              </w:rPr>
              <w:t>1) It is unclear how this initiative relates to existing consumer legislation and forthcoming proposals on environmentally sustainable products. It does not sufficiently explain how these measures will complement each other and how overlaps will be avoided.</w:t>
            </w:r>
          </w:p>
        </w:tc>
        <w:tc>
          <w:tcPr>
            <w:tcW w:w="4222" w:type="dxa"/>
          </w:tcPr>
          <w:p w:rsidR="00EA45F9" w:rsidRPr="009B5734" w:rsidRDefault="00EA45F9" w:rsidP="00981615">
            <w:pPr>
              <w:pStyle w:val="Text1"/>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The revised IA report explains how this initiative relates to existing consumer legislation, including the targeted amendments of certain consumer directives as part of this initiative, and to the parallel initiatives in preparation such as the Sustainable Products Initiative and the Green Claims Initiative.  It provides further explanation how the measures complement each other and how overlaps are avoided.</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4506" w:type="dxa"/>
            <w:shd w:val="clear" w:color="auto" w:fill="auto"/>
          </w:tcPr>
          <w:p w:rsidR="00EA45F9" w:rsidRPr="009B5734" w:rsidRDefault="00EA45F9" w:rsidP="00981615">
            <w:pPr>
              <w:pStyle w:val="ListBullet"/>
              <w:tabs>
                <w:tab w:val="clear" w:pos="283"/>
              </w:tabs>
              <w:spacing w:after="120"/>
              <w:ind w:left="0" w:firstLine="0"/>
              <w:rPr>
                <w:b w:val="0"/>
                <w:bCs w:val="0"/>
                <w:noProof/>
              </w:rPr>
            </w:pPr>
            <w:r w:rsidRPr="009B5734">
              <w:rPr>
                <w:b w:val="0"/>
                <w:bCs w:val="0"/>
                <w:noProof/>
              </w:rPr>
              <w:t>(2) The report does not sufficiently demonstrate the size of the problem and its relation to sustainability objectives. The scope of concerned products is unclear.</w:t>
            </w:r>
          </w:p>
        </w:tc>
        <w:tc>
          <w:tcPr>
            <w:tcW w:w="4222" w:type="dxa"/>
            <w:shd w:val="clear" w:color="auto" w:fill="auto"/>
          </w:tcPr>
          <w:p w:rsidR="00EA45F9" w:rsidRPr="009B5734" w:rsidRDefault="00EA45F9" w:rsidP="00981615">
            <w:pPr>
              <w:pStyle w:val="Text1"/>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The relation to the various sustainability objectives has been clarified as well as the scope of concerned products for each of the options assessed. The chapter on problem definition has been also revised and streamlined.</w:t>
            </w:r>
          </w:p>
        </w:tc>
      </w:tr>
      <w:tr w:rsidR="00EA45F9" w:rsidRPr="009B5734" w:rsidTr="00C84A99">
        <w:trPr>
          <w:trHeight w:val="645"/>
          <w:jc w:val="center"/>
        </w:trPr>
        <w:tc>
          <w:tcPr>
            <w:cnfStyle w:val="001000000000" w:firstRow="0" w:lastRow="0" w:firstColumn="1" w:lastColumn="0" w:oddVBand="0" w:evenVBand="0" w:oddHBand="0" w:evenHBand="0" w:firstRowFirstColumn="0" w:firstRowLastColumn="0" w:lastRowFirstColumn="0" w:lastRowLastColumn="0"/>
            <w:tcW w:w="4506" w:type="dxa"/>
            <w:shd w:val="clear" w:color="auto" w:fill="auto"/>
          </w:tcPr>
          <w:p w:rsidR="00EA45F9" w:rsidRPr="009B5734" w:rsidRDefault="00EA45F9" w:rsidP="00981615">
            <w:pPr>
              <w:pStyle w:val="ListBullet"/>
              <w:tabs>
                <w:tab w:val="clear" w:pos="283"/>
              </w:tabs>
              <w:spacing w:after="120"/>
              <w:ind w:left="0" w:firstLine="0"/>
              <w:rPr>
                <w:b w:val="0"/>
                <w:bCs w:val="0"/>
                <w:noProof/>
              </w:rPr>
            </w:pPr>
            <w:r w:rsidRPr="009B5734">
              <w:rPr>
                <w:b w:val="0"/>
                <w:bCs w:val="0"/>
                <w:noProof/>
              </w:rPr>
              <w:t>(3) The report is not sufficiently precise on the content and foreseen functioning of the options. The justification for favouring some options over others is not always clear.</w:t>
            </w:r>
          </w:p>
        </w:tc>
        <w:tc>
          <w:tcPr>
            <w:tcW w:w="4222" w:type="dxa"/>
            <w:shd w:val="clear" w:color="auto" w:fill="auto"/>
          </w:tcPr>
          <w:p w:rsidR="00EA45F9" w:rsidRPr="009B5734" w:rsidRDefault="00EA45F9" w:rsidP="00981615">
            <w:pPr>
              <w:pStyle w:val="Text1"/>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 xml:space="preserve">The policy options have been better described with a new table in the dedicated chapter, clarifying content and foreseen functioning. The justification for favouring some options has been made clear. </w:t>
            </w:r>
          </w:p>
        </w:tc>
      </w:tr>
      <w:tr w:rsidR="00EA45F9" w:rsidRPr="009B5734" w:rsidTr="008D65D2">
        <w:trPr>
          <w:cnfStyle w:val="000000100000" w:firstRow="0" w:lastRow="0" w:firstColumn="0" w:lastColumn="0" w:oddVBand="0" w:evenVBand="0" w:oddHBand="1" w:evenHBand="0" w:firstRowFirstColumn="0" w:firstRowLastColumn="0" w:lastRowFirstColumn="0" w:lastRowLastColumn="0"/>
          <w:trHeight w:val="1384"/>
          <w:jc w:val="center"/>
        </w:trPr>
        <w:tc>
          <w:tcPr>
            <w:cnfStyle w:val="001000000000" w:firstRow="0" w:lastRow="0" w:firstColumn="1" w:lastColumn="0" w:oddVBand="0" w:evenVBand="0" w:oddHBand="0" w:evenHBand="0" w:firstRowFirstColumn="0" w:firstRowLastColumn="0" w:lastRowFirstColumn="0" w:lastRowLastColumn="0"/>
            <w:tcW w:w="4506" w:type="dxa"/>
            <w:shd w:val="clear" w:color="auto" w:fill="auto"/>
          </w:tcPr>
          <w:p w:rsidR="00EA45F9" w:rsidRPr="002E08BB" w:rsidRDefault="002E08BB" w:rsidP="002E08BB">
            <w:pPr>
              <w:autoSpaceDE w:val="0"/>
              <w:autoSpaceDN w:val="0"/>
              <w:adjustRightInd w:val="0"/>
              <w:ind w:left="0" w:firstLine="0"/>
              <w:rPr>
                <w:rFonts w:ascii="CIDFont+F3" w:hAnsi="CIDFont+F3"/>
                <w:b w:val="0"/>
                <w:noProof/>
                <w:sz w:val="24"/>
              </w:rPr>
            </w:pPr>
            <w:r w:rsidRPr="002E08BB">
              <w:rPr>
                <w:rFonts w:ascii="Times New Roman" w:hAnsi="Times New Roman"/>
                <w:b w:val="0"/>
                <w:noProof/>
                <w:sz w:val="24"/>
                <w:szCs w:val="20"/>
              </w:rPr>
              <w:t xml:space="preserve">(4) </w:t>
            </w:r>
            <w:r w:rsidR="00EA45F9" w:rsidRPr="002E08BB">
              <w:rPr>
                <w:rFonts w:ascii="Times New Roman" w:hAnsi="Times New Roman"/>
                <w:b w:val="0"/>
                <w:noProof/>
                <w:sz w:val="24"/>
                <w:szCs w:val="20"/>
              </w:rPr>
              <w:t>The analysis fails to draw clear conclusions for political decision-making.</w:t>
            </w:r>
          </w:p>
        </w:tc>
        <w:tc>
          <w:tcPr>
            <w:tcW w:w="4222" w:type="dxa"/>
            <w:shd w:val="clear" w:color="auto" w:fill="auto"/>
          </w:tcPr>
          <w:p w:rsidR="00EA45F9" w:rsidRPr="009B5734" w:rsidRDefault="00EA45F9" w:rsidP="00981615">
            <w:pPr>
              <w:pStyle w:val="Text1"/>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The report identifies now a preferred set of policy option</w:t>
            </w:r>
            <w:r w:rsidR="0046084D" w:rsidRPr="009B5734">
              <w:rPr>
                <w:noProof/>
              </w:rPr>
              <w:t>s</w:t>
            </w:r>
            <w:r w:rsidRPr="009B5734">
              <w:rPr>
                <w:noProof/>
              </w:rPr>
              <w:t xml:space="preserve"> and provides clear conclusions for political decision-making. </w:t>
            </w:r>
          </w:p>
        </w:tc>
      </w:tr>
      <w:tr w:rsidR="00B32614" w:rsidRPr="009B5734" w:rsidTr="00BC2A97">
        <w:trPr>
          <w:trHeight w:val="645"/>
          <w:jc w:val="center"/>
        </w:trPr>
        <w:tc>
          <w:tcPr>
            <w:cnfStyle w:val="001000000000" w:firstRow="0" w:lastRow="0" w:firstColumn="1" w:lastColumn="0" w:oddVBand="0" w:evenVBand="0" w:oddHBand="0" w:evenHBand="0" w:firstRowFirstColumn="0" w:firstRowLastColumn="0" w:lastRowFirstColumn="0" w:lastRowLastColumn="0"/>
            <w:tcW w:w="4506" w:type="dxa"/>
            <w:shd w:val="clear" w:color="auto" w:fill="4F81BD" w:themeFill="accent1"/>
          </w:tcPr>
          <w:p w:rsidR="00B32614" w:rsidRPr="00BC2A97" w:rsidRDefault="00B32614" w:rsidP="00B32614">
            <w:pPr>
              <w:pStyle w:val="Text1"/>
              <w:ind w:left="0" w:firstLine="0"/>
              <w:rPr>
                <w:noProof/>
                <w:color w:val="FFFFFF" w:themeColor="background1"/>
              </w:rPr>
            </w:pPr>
            <w:r w:rsidRPr="00BC2A97">
              <w:rPr>
                <w:noProof/>
                <w:color w:val="FFFFFF" w:themeColor="background1"/>
              </w:rPr>
              <w:t>RSB Comments of 17 September 2021</w:t>
            </w:r>
          </w:p>
        </w:tc>
        <w:tc>
          <w:tcPr>
            <w:tcW w:w="4222" w:type="dxa"/>
            <w:shd w:val="clear" w:color="auto" w:fill="4F81BD" w:themeFill="accent1"/>
          </w:tcPr>
          <w:p w:rsidR="00B32614" w:rsidRPr="00BC2A97" w:rsidRDefault="00B32614" w:rsidP="00B32614">
            <w:pPr>
              <w:pStyle w:val="Text1"/>
              <w:ind w:left="0" w:firstLine="0"/>
              <w:cnfStyle w:val="000000000000" w:firstRow="0" w:lastRow="0" w:firstColumn="0" w:lastColumn="0" w:oddVBand="0" w:evenVBand="0" w:oddHBand="0" w:evenHBand="0" w:firstRowFirstColumn="0" w:firstRowLastColumn="0" w:lastRowFirstColumn="0" w:lastRowLastColumn="0"/>
              <w:rPr>
                <w:noProof/>
                <w:color w:val="FFFFFF" w:themeColor="background1"/>
              </w:rPr>
            </w:pPr>
            <w:r w:rsidRPr="00BC2A97">
              <w:rPr>
                <w:noProof/>
                <w:color w:val="FFFFFF" w:themeColor="background1"/>
              </w:rPr>
              <w:t xml:space="preserve">How </w:t>
            </w:r>
            <w:r w:rsidRPr="00BC2A97">
              <w:rPr>
                <w:b/>
                <w:noProof/>
                <w:color w:val="FFFFFF" w:themeColor="background1"/>
              </w:rPr>
              <w:t>RSB</w:t>
            </w:r>
            <w:r w:rsidRPr="00BC2A97">
              <w:rPr>
                <w:noProof/>
                <w:color w:val="FFFFFF" w:themeColor="background1"/>
              </w:rPr>
              <w:t xml:space="preserve"> comments have been addressed in the IA? </w:t>
            </w:r>
          </w:p>
        </w:tc>
      </w:tr>
      <w:tr w:rsidR="00B32614" w:rsidRPr="009B5734" w:rsidTr="00BC2A97">
        <w:trPr>
          <w:cnfStyle w:val="000000100000" w:firstRow="0" w:lastRow="0" w:firstColumn="0" w:lastColumn="0" w:oddVBand="0" w:evenVBand="0" w:oddHBand="1"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4506" w:type="dxa"/>
            <w:shd w:val="clear" w:color="auto" w:fill="FFFFFF" w:themeFill="background1"/>
          </w:tcPr>
          <w:p w:rsidR="00B32614" w:rsidRPr="008D65D2" w:rsidRDefault="00B32614" w:rsidP="008D65D2">
            <w:pPr>
              <w:pStyle w:val="ListBullet"/>
              <w:tabs>
                <w:tab w:val="clear" w:pos="283"/>
              </w:tabs>
              <w:spacing w:after="120"/>
              <w:ind w:left="0" w:firstLine="0"/>
              <w:rPr>
                <w:rFonts w:ascii="CIDFont+F3" w:hAnsi="CIDFont+F3"/>
                <w:noProof/>
              </w:rPr>
            </w:pPr>
            <w:r w:rsidRPr="00B32614">
              <w:rPr>
                <w:b w:val="0"/>
                <w:bCs w:val="0"/>
                <w:noProof/>
              </w:rPr>
              <w:t xml:space="preserve">(1) </w:t>
            </w:r>
            <w:r w:rsidRPr="001C2CE3">
              <w:rPr>
                <w:b w:val="0"/>
                <w:bCs w:val="0"/>
                <w:noProof/>
              </w:rPr>
              <w:t>Although this initiative intends to set the overall framework for empowering, consumers to play an active role in the green transition, the report does not explain why it does not cover all environmental sustainability issues</w:t>
            </w:r>
          </w:p>
        </w:tc>
        <w:tc>
          <w:tcPr>
            <w:tcW w:w="4222" w:type="dxa"/>
            <w:shd w:val="clear" w:color="auto" w:fill="FFFFFF" w:themeFill="background1"/>
          </w:tcPr>
          <w:p w:rsidR="00B32614" w:rsidRPr="00B32614" w:rsidRDefault="00B32614" w:rsidP="00125511">
            <w:pPr>
              <w:pStyle w:val="Text1"/>
              <w:ind w:left="0" w:firstLine="0"/>
              <w:cnfStyle w:val="000000100000" w:firstRow="0" w:lastRow="0" w:firstColumn="0" w:lastColumn="0" w:oddVBand="0" w:evenVBand="0" w:oddHBand="1" w:evenHBand="0" w:firstRowFirstColumn="0" w:firstRowLastColumn="0" w:lastRowFirstColumn="0" w:lastRowLastColumn="0"/>
              <w:rPr>
                <w:noProof/>
              </w:rPr>
            </w:pPr>
            <w:r w:rsidRPr="001C2CE3">
              <w:rPr>
                <w:noProof/>
              </w:rPr>
              <w:t>The reasons for addressing the particular aspects of environmental sustainability covered by this initiative are further elaborated and clarified in section 1.</w:t>
            </w:r>
            <w:r w:rsidR="00CE2B23">
              <w:rPr>
                <w:noProof/>
              </w:rPr>
              <w:t xml:space="preserve"> </w:t>
            </w:r>
            <w:r w:rsidR="0064022C">
              <w:rPr>
                <w:noProof/>
              </w:rPr>
              <w:t xml:space="preserve"> </w:t>
            </w:r>
            <w:r w:rsidR="00CE2B23" w:rsidRPr="00CE2B23">
              <w:rPr>
                <w:noProof/>
              </w:rPr>
              <w:t>Within the area of environmental sustainability, this initiative focuses on those aspects of environmental sustainability which can be most appropriately addressed by</w:t>
            </w:r>
            <w:r w:rsidR="00CE2B23">
              <w:rPr>
                <w:noProof/>
              </w:rPr>
              <w:t xml:space="preserve"> consumer law, as </w:t>
            </w:r>
            <w:r w:rsidR="00125511">
              <w:rPr>
                <w:noProof/>
              </w:rPr>
              <w:t>foreseen</w:t>
            </w:r>
            <w:r w:rsidR="00CE2B23" w:rsidRPr="00CE2B23">
              <w:rPr>
                <w:noProof/>
              </w:rPr>
              <w:t xml:space="preserve"> in the CEAP and the New Consumer Agenda. It therefore focus</w:t>
            </w:r>
            <w:r w:rsidR="00CE2B23">
              <w:rPr>
                <w:noProof/>
              </w:rPr>
              <w:t>es</w:t>
            </w:r>
            <w:r w:rsidR="00CE2B23" w:rsidRPr="00CE2B23">
              <w:rPr>
                <w:noProof/>
              </w:rPr>
              <w:t xml:space="preserve"> on empowering consumers in their decision-making process, and does not consider the use of  other non-consumer law instruments that may in addition provide further solutions for better empowering consumers for the green transition</w:t>
            </w:r>
            <w:r w:rsidR="00CE2B23">
              <w:rPr>
                <w:noProof/>
              </w:rPr>
              <w:t>.</w:t>
            </w:r>
          </w:p>
        </w:tc>
      </w:tr>
      <w:tr w:rsidR="00B32614" w:rsidRPr="009B5734" w:rsidTr="00BC2A97">
        <w:trPr>
          <w:trHeight w:val="645"/>
          <w:jc w:val="center"/>
        </w:trPr>
        <w:tc>
          <w:tcPr>
            <w:cnfStyle w:val="001000000000" w:firstRow="0" w:lastRow="0" w:firstColumn="1" w:lastColumn="0" w:oddVBand="0" w:evenVBand="0" w:oddHBand="0" w:evenHBand="0" w:firstRowFirstColumn="0" w:firstRowLastColumn="0" w:lastRowFirstColumn="0" w:lastRowLastColumn="0"/>
            <w:tcW w:w="4506" w:type="dxa"/>
            <w:shd w:val="clear" w:color="auto" w:fill="FFFFFF" w:themeFill="background1"/>
          </w:tcPr>
          <w:p w:rsidR="00B32614" w:rsidRPr="00B32614" w:rsidRDefault="00B32614" w:rsidP="00B32614">
            <w:pPr>
              <w:pStyle w:val="ListBullet"/>
              <w:tabs>
                <w:tab w:val="clear" w:pos="283"/>
              </w:tabs>
              <w:spacing w:after="120"/>
              <w:ind w:left="0" w:firstLine="0"/>
              <w:rPr>
                <w:noProof/>
              </w:rPr>
            </w:pPr>
            <w:r w:rsidRPr="00B32614">
              <w:rPr>
                <w:b w:val="0"/>
                <w:bCs w:val="0"/>
                <w:noProof/>
              </w:rPr>
              <w:t xml:space="preserve">(2) </w:t>
            </w:r>
            <w:r w:rsidRPr="001C2CE3">
              <w:rPr>
                <w:b w:val="0"/>
                <w:bCs w:val="0"/>
                <w:noProof/>
              </w:rPr>
              <w:t>The structure of the options is not always clear. Most options do not seem to be real alternatives, but are complementary and could be combined. It is not clear why the report considers such combination of options for some problems only. The report does not propose any options to tackle the lack of reliable information on the environmental characteristics of products</w:t>
            </w:r>
          </w:p>
        </w:tc>
        <w:tc>
          <w:tcPr>
            <w:tcW w:w="4222" w:type="dxa"/>
            <w:shd w:val="clear" w:color="auto" w:fill="FFFFFF" w:themeFill="background1"/>
          </w:tcPr>
          <w:p w:rsidR="00B32614" w:rsidRPr="00B32614" w:rsidRDefault="00B32614" w:rsidP="00B32614">
            <w:pPr>
              <w:pStyle w:val="Text1"/>
              <w:ind w:left="0" w:firstLine="0"/>
              <w:cnfStyle w:val="000000000000" w:firstRow="0" w:lastRow="0" w:firstColumn="0" w:lastColumn="0" w:oddVBand="0" w:evenVBand="0" w:oddHBand="0" w:evenHBand="0" w:firstRowFirstColumn="0" w:firstRowLastColumn="0" w:lastRowFirstColumn="0" w:lastRowLastColumn="0"/>
              <w:rPr>
                <w:noProof/>
              </w:rPr>
            </w:pPr>
            <w:r w:rsidRPr="001C2CE3">
              <w:rPr>
                <w:bCs/>
                <w:noProof/>
              </w:rPr>
              <w:t xml:space="preserve">The report now clarifies in section 5.2 the rationale behind the structuring of the options, namely so as to allow for a clear decision as to the preferred policy options. In the case of each of the sub-problems, the report also now clarifies in section 5.2 which of the options are potentially complimentary and which are mutually exclusive. The reasons for not selecting any options to tackle the lack of reliable information on environmental characteristics of products are further </w:t>
            </w:r>
            <w:r w:rsidR="00014F08">
              <w:rPr>
                <w:bCs/>
                <w:noProof/>
              </w:rPr>
              <w:t>elaborated.</w:t>
            </w:r>
          </w:p>
        </w:tc>
      </w:tr>
      <w:tr w:rsidR="00B32614" w:rsidRPr="009B5734" w:rsidTr="00BC2A97">
        <w:trPr>
          <w:cnfStyle w:val="000000100000" w:firstRow="0" w:lastRow="0" w:firstColumn="0" w:lastColumn="0" w:oddVBand="0" w:evenVBand="0" w:oddHBand="1"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4506" w:type="dxa"/>
            <w:shd w:val="clear" w:color="auto" w:fill="FFFFFF" w:themeFill="background1"/>
          </w:tcPr>
          <w:p w:rsidR="00B32614" w:rsidRPr="00B32614" w:rsidRDefault="00B32614" w:rsidP="00B32614">
            <w:pPr>
              <w:pStyle w:val="ListBullet"/>
              <w:tabs>
                <w:tab w:val="clear" w:pos="283"/>
              </w:tabs>
              <w:spacing w:after="120"/>
              <w:ind w:left="0" w:firstLine="0"/>
              <w:rPr>
                <w:noProof/>
              </w:rPr>
            </w:pPr>
            <w:r w:rsidRPr="001C2CE3">
              <w:rPr>
                <w:b w:val="0"/>
                <w:bCs w:val="0"/>
                <w:noProof/>
              </w:rPr>
              <w:t>(3) The report does not clearly demonstrate the proportionality of the preferred option. It is not clear that the preferred option proposes the best</w:t>
            </w:r>
            <w:r w:rsidRPr="00B32614">
              <w:rPr>
                <w:b w:val="0"/>
                <w:bCs w:val="0"/>
                <w:noProof/>
              </w:rPr>
              <w:t xml:space="preserve"> solution</w:t>
            </w:r>
            <w:r w:rsidRPr="001C2CE3">
              <w:rPr>
                <w:b w:val="0"/>
                <w:bCs w:val="0"/>
                <w:noProof/>
              </w:rPr>
              <w:t>.</w:t>
            </w:r>
          </w:p>
        </w:tc>
        <w:tc>
          <w:tcPr>
            <w:tcW w:w="4222" w:type="dxa"/>
            <w:shd w:val="clear" w:color="auto" w:fill="FFFFFF" w:themeFill="background1"/>
          </w:tcPr>
          <w:p w:rsidR="00B32614" w:rsidRPr="00B32614" w:rsidRDefault="00B32614" w:rsidP="00B32614">
            <w:pPr>
              <w:pStyle w:val="Text1"/>
              <w:ind w:left="0" w:firstLine="0"/>
              <w:cnfStyle w:val="000000100000" w:firstRow="0" w:lastRow="0" w:firstColumn="0" w:lastColumn="0" w:oddVBand="0" w:evenVBand="0" w:oddHBand="1" w:evenHBand="0" w:firstRowFirstColumn="0" w:firstRowLastColumn="0" w:lastRowFirstColumn="0" w:lastRowLastColumn="0"/>
              <w:rPr>
                <w:noProof/>
              </w:rPr>
            </w:pPr>
            <w:r w:rsidRPr="001C2CE3">
              <w:rPr>
                <w:bCs/>
                <w:noProof/>
              </w:rPr>
              <w:t>A detailed discussion of the proportionality of each of the preferred policy options for each of the sub-problems is added to section 7.</w:t>
            </w:r>
          </w:p>
        </w:tc>
      </w:tr>
    </w:tbl>
    <w:p w:rsidR="00EA45F9" w:rsidRPr="009B5734" w:rsidRDefault="00EA45F9" w:rsidP="00EA45F9">
      <w:pPr>
        <w:pStyle w:val="Text1"/>
        <w:rPr>
          <w:noProof/>
        </w:rPr>
      </w:pPr>
    </w:p>
    <w:p w:rsidR="00EA45F9" w:rsidRPr="009B5734" w:rsidRDefault="00A00208" w:rsidP="00A00208">
      <w:pPr>
        <w:pStyle w:val="Heading2"/>
        <w:rPr>
          <w:noProof/>
        </w:rPr>
      </w:pPr>
      <w:bookmarkStart w:id="341" w:name="_Toc471997758"/>
      <w:bookmarkStart w:id="342" w:name="_Toc58149098"/>
      <w:bookmarkStart w:id="343" w:name="_Toc58222476"/>
      <w:bookmarkStart w:id="344" w:name="_Toc58603244"/>
      <w:bookmarkStart w:id="345" w:name="_Toc58604104"/>
      <w:bookmarkStart w:id="346" w:name="_Toc58605422"/>
      <w:bookmarkStart w:id="347" w:name="_Toc60734059"/>
      <w:bookmarkStart w:id="348" w:name="_Toc77844246"/>
      <w:bookmarkStart w:id="349" w:name="_Toc86391749"/>
      <w:r w:rsidRPr="00A00208">
        <w:t>4.</w:t>
      </w:r>
      <w:r w:rsidRPr="00A00208">
        <w:tab/>
      </w:r>
      <w:r w:rsidR="00EA45F9" w:rsidRPr="009B5734">
        <w:rPr>
          <w:noProof/>
        </w:rPr>
        <w:t>Evidence, sources and quality</w:t>
      </w:r>
      <w:bookmarkEnd w:id="341"/>
      <w:bookmarkEnd w:id="342"/>
      <w:bookmarkEnd w:id="343"/>
      <w:bookmarkEnd w:id="344"/>
      <w:bookmarkEnd w:id="345"/>
      <w:bookmarkEnd w:id="346"/>
      <w:bookmarkEnd w:id="347"/>
      <w:bookmarkEnd w:id="348"/>
      <w:bookmarkEnd w:id="349"/>
    </w:p>
    <w:p w:rsidR="00EA45F9" w:rsidRPr="009B5734" w:rsidRDefault="00EA45F9" w:rsidP="00EA45F9">
      <w:pPr>
        <w:pStyle w:val="Heading4"/>
        <w:rPr>
          <w:b/>
          <w:smallCaps/>
          <w:noProof/>
        </w:rPr>
      </w:pPr>
      <w:bookmarkStart w:id="350" w:name="_Toc58149099"/>
      <w:bookmarkStart w:id="351" w:name="_Toc58222477"/>
      <w:bookmarkStart w:id="352" w:name="_Toc58603245"/>
      <w:bookmarkStart w:id="353" w:name="_Toc58604105"/>
      <w:bookmarkStart w:id="354" w:name="_Toc58605423"/>
      <w:bookmarkStart w:id="355" w:name="_Toc60734060"/>
      <w:r w:rsidRPr="009B5734">
        <w:rPr>
          <w:b/>
          <w:noProof/>
        </w:rPr>
        <w:t>External expertise</w:t>
      </w:r>
      <w:bookmarkEnd w:id="350"/>
      <w:bookmarkEnd w:id="351"/>
      <w:bookmarkEnd w:id="352"/>
      <w:bookmarkEnd w:id="353"/>
      <w:bookmarkEnd w:id="354"/>
      <w:bookmarkEnd w:id="355"/>
    </w:p>
    <w:p w:rsidR="00EA45F9" w:rsidRPr="009B5734" w:rsidRDefault="00EA45F9" w:rsidP="006E7284">
      <w:pPr>
        <w:pStyle w:val="BodyTextEC"/>
        <w:spacing w:line="240" w:lineRule="auto"/>
        <w:jc w:val="both"/>
        <w:rPr>
          <w:rFonts w:ascii="Times New Roman" w:hAnsi="Times New Roman" w:cs="Times New Roman"/>
          <w:noProof/>
          <w:sz w:val="24"/>
        </w:rPr>
      </w:pPr>
      <w:bookmarkStart w:id="356" w:name="_Toc58149100"/>
      <w:bookmarkStart w:id="357" w:name="_Toc58222478"/>
      <w:bookmarkStart w:id="358" w:name="_Toc58603246"/>
      <w:bookmarkStart w:id="359" w:name="_Toc58604106"/>
      <w:bookmarkStart w:id="360" w:name="_Toc58605424"/>
      <w:bookmarkStart w:id="361" w:name="_Toc60734061"/>
      <w:r w:rsidRPr="009B5734">
        <w:rPr>
          <w:rFonts w:ascii="Times New Roman" w:hAnsi="Times New Roman" w:cs="Times New Roman"/>
          <w:noProof/>
          <w:sz w:val="24"/>
        </w:rPr>
        <w:t>A study was outsourced to a consortium led by ICF S.A. to feed into the preparation of this Impact Assessment. The study, which took place between February 2020 and June 2021, relied on a combination of sources and methods, including extensive in-depth consultation with stakeholders both at the national and EU level, a consumer survey, industry surveys, desk research, legal analysis, literature review, mystery shopping exercises, stakeholder and expert workshops and a combination of approaches to assess the impacts of the policy options (including agent-based simulation, cost-benefit analysis, multi-criteria analysis).</w:t>
      </w:r>
      <w:bookmarkEnd w:id="356"/>
      <w:bookmarkEnd w:id="357"/>
      <w:bookmarkEnd w:id="358"/>
      <w:bookmarkEnd w:id="359"/>
      <w:bookmarkEnd w:id="360"/>
      <w:bookmarkEnd w:id="361"/>
      <w:r w:rsidRPr="009B5734">
        <w:rPr>
          <w:rFonts w:ascii="Times New Roman" w:hAnsi="Times New Roman" w:cs="Times New Roman"/>
          <w:noProof/>
          <w:sz w:val="24"/>
        </w:rPr>
        <w:t xml:space="preserve"> </w:t>
      </w:r>
    </w:p>
    <w:p w:rsidR="00EA45F9" w:rsidRPr="009B5734" w:rsidRDefault="00EA45F9" w:rsidP="00EA45F9">
      <w:pPr>
        <w:pStyle w:val="Heading4"/>
        <w:rPr>
          <w:b/>
          <w:smallCaps/>
          <w:noProof/>
        </w:rPr>
      </w:pPr>
      <w:bookmarkStart w:id="362" w:name="_Toc58149101"/>
      <w:bookmarkStart w:id="363" w:name="_Toc58222479"/>
      <w:bookmarkStart w:id="364" w:name="_Toc58603247"/>
      <w:bookmarkStart w:id="365" w:name="_Toc58604107"/>
      <w:bookmarkStart w:id="366" w:name="_Toc58605425"/>
      <w:bookmarkStart w:id="367" w:name="_Toc60734062"/>
      <w:r w:rsidRPr="009B5734">
        <w:rPr>
          <w:b/>
          <w:noProof/>
        </w:rPr>
        <w:t>Stakeholder consultation</w:t>
      </w:r>
      <w:bookmarkEnd w:id="362"/>
      <w:bookmarkEnd w:id="363"/>
      <w:bookmarkEnd w:id="364"/>
      <w:bookmarkEnd w:id="365"/>
      <w:bookmarkEnd w:id="366"/>
      <w:bookmarkEnd w:id="367"/>
    </w:p>
    <w:p w:rsidR="00EA45F9" w:rsidRPr="009B5734" w:rsidRDefault="00EA45F9" w:rsidP="006E7284">
      <w:pPr>
        <w:pStyle w:val="BodyTextEC"/>
        <w:spacing w:line="240" w:lineRule="auto"/>
        <w:jc w:val="both"/>
        <w:rPr>
          <w:rFonts w:ascii="Times New Roman" w:hAnsi="Times New Roman" w:cs="Times New Roman"/>
          <w:noProof/>
          <w:sz w:val="24"/>
          <w:szCs w:val="24"/>
        </w:rPr>
      </w:pPr>
      <w:bookmarkStart w:id="368" w:name="_Toc58149102"/>
      <w:bookmarkStart w:id="369" w:name="_Toc58222480"/>
      <w:bookmarkStart w:id="370" w:name="_Toc58603248"/>
      <w:bookmarkStart w:id="371" w:name="_Toc58604108"/>
      <w:bookmarkStart w:id="372" w:name="_Toc58605426"/>
      <w:bookmarkStart w:id="373" w:name="_Toc60734063"/>
      <w:r w:rsidRPr="009B5734">
        <w:rPr>
          <w:rFonts w:ascii="Times New Roman" w:hAnsi="Times New Roman" w:cs="Times New Roman"/>
          <w:noProof/>
          <w:sz w:val="24"/>
          <w:szCs w:val="24"/>
        </w:rPr>
        <w:t>This IA relies on an extensive stakeholder consultation, which includes several strands to achieve complementarity, representativeness and comprehensiveness in the views collected.</w:t>
      </w:r>
      <w:bookmarkEnd w:id="368"/>
      <w:bookmarkEnd w:id="369"/>
      <w:bookmarkEnd w:id="370"/>
      <w:bookmarkEnd w:id="371"/>
      <w:bookmarkEnd w:id="372"/>
      <w:bookmarkEnd w:id="373"/>
      <w:r w:rsidRPr="009B5734">
        <w:rPr>
          <w:rFonts w:ascii="Times New Roman" w:hAnsi="Times New Roman" w:cs="Times New Roman"/>
          <w:noProof/>
          <w:sz w:val="24"/>
          <w:szCs w:val="24"/>
        </w:rPr>
        <w:t xml:space="preserve"> </w:t>
      </w:r>
    </w:p>
    <w:p w:rsidR="00EA45F9" w:rsidRPr="009B5734" w:rsidRDefault="00EA45F9" w:rsidP="006E7284">
      <w:pPr>
        <w:pStyle w:val="BodyTextEC"/>
        <w:spacing w:line="240" w:lineRule="auto"/>
        <w:jc w:val="both"/>
        <w:rPr>
          <w:rFonts w:ascii="Times New Roman" w:hAnsi="Times New Roman" w:cs="Times New Roman"/>
          <w:noProof/>
          <w:sz w:val="24"/>
          <w:szCs w:val="24"/>
        </w:rPr>
      </w:pPr>
      <w:bookmarkStart w:id="374" w:name="_Toc58149103"/>
      <w:bookmarkStart w:id="375" w:name="_Toc58222481"/>
      <w:bookmarkStart w:id="376" w:name="_Toc58603249"/>
      <w:bookmarkStart w:id="377" w:name="_Toc58604109"/>
      <w:bookmarkStart w:id="378" w:name="_Toc58605427"/>
      <w:bookmarkStart w:id="379" w:name="_Toc60734064"/>
      <w:r w:rsidRPr="009B5734">
        <w:rPr>
          <w:rFonts w:ascii="Times New Roman" w:hAnsi="Times New Roman" w:cs="Times New Roman"/>
          <w:noProof/>
          <w:sz w:val="24"/>
          <w:szCs w:val="24"/>
        </w:rPr>
        <w:t>An Open Public Consultation ran between 30 June 2020 and 6 October 2020, covering both the</w:t>
      </w:r>
      <w:r w:rsidR="00125511">
        <w:rPr>
          <w:rFonts w:ascii="Times New Roman" w:hAnsi="Times New Roman" w:cs="Times New Roman"/>
          <w:noProof/>
          <w:sz w:val="24"/>
          <w:szCs w:val="24"/>
        </w:rPr>
        <w:t xml:space="preserve"> New</w:t>
      </w:r>
      <w:r w:rsidRPr="009B5734">
        <w:rPr>
          <w:rFonts w:ascii="Times New Roman" w:hAnsi="Times New Roman" w:cs="Times New Roman"/>
          <w:noProof/>
          <w:sz w:val="24"/>
          <w:szCs w:val="24"/>
        </w:rPr>
        <w:t xml:space="preserve"> Consumer Agenda but also 3 initiatives in the field of consumer law, including the one covered by this IA. The questionnaire of the public consultation was made available on</w:t>
      </w:r>
      <w:r w:rsidRPr="009B5734" w:rsidDel="00701102">
        <w:rPr>
          <w:rFonts w:ascii="Times New Roman" w:hAnsi="Times New Roman" w:cs="Times New Roman"/>
          <w:noProof/>
          <w:sz w:val="24"/>
          <w:szCs w:val="24"/>
        </w:rPr>
        <w:t xml:space="preserve"> </w:t>
      </w:r>
      <w:r w:rsidRPr="009B5734">
        <w:rPr>
          <w:rFonts w:ascii="Times New Roman" w:hAnsi="Times New Roman" w:cs="Times New Roman"/>
          <w:noProof/>
          <w:sz w:val="24"/>
          <w:szCs w:val="24"/>
        </w:rPr>
        <w:t>the</w:t>
      </w:r>
      <w:r w:rsidRPr="009B5734" w:rsidDel="00701102">
        <w:rPr>
          <w:rFonts w:ascii="Times New Roman" w:hAnsi="Times New Roman" w:cs="Times New Roman"/>
          <w:noProof/>
          <w:sz w:val="24"/>
          <w:szCs w:val="24"/>
        </w:rPr>
        <w:t xml:space="preserve"> </w:t>
      </w:r>
      <w:r w:rsidRPr="009B5734">
        <w:rPr>
          <w:rFonts w:ascii="Times New Roman" w:hAnsi="Times New Roman" w:cs="Times New Roman"/>
          <w:noProof/>
          <w:sz w:val="24"/>
          <w:szCs w:val="24"/>
        </w:rPr>
        <w:t>Commission's website</w:t>
      </w:r>
      <w:r w:rsidRPr="009B5734" w:rsidDel="00701102">
        <w:rPr>
          <w:rFonts w:ascii="Times New Roman" w:hAnsi="Times New Roman" w:cs="Times New Roman"/>
          <w:noProof/>
          <w:sz w:val="24"/>
          <w:szCs w:val="24"/>
        </w:rPr>
        <w:t xml:space="preserve"> </w:t>
      </w:r>
      <w:r w:rsidRPr="009B5734">
        <w:rPr>
          <w:rFonts w:ascii="Times New Roman" w:hAnsi="Times New Roman" w:cs="Times New Roman"/>
          <w:noProof/>
          <w:sz w:val="24"/>
          <w:szCs w:val="24"/>
        </w:rPr>
        <w:t>in</w:t>
      </w:r>
      <w:r w:rsidRPr="009B5734" w:rsidDel="00701102">
        <w:rPr>
          <w:rFonts w:ascii="Times New Roman" w:hAnsi="Times New Roman" w:cs="Times New Roman"/>
          <w:noProof/>
          <w:sz w:val="24"/>
          <w:szCs w:val="24"/>
        </w:rPr>
        <w:t xml:space="preserve"> </w:t>
      </w:r>
      <w:r w:rsidRPr="009B5734">
        <w:rPr>
          <w:rFonts w:ascii="Times New Roman" w:hAnsi="Times New Roman" w:cs="Times New Roman"/>
          <w:noProof/>
          <w:sz w:val="24"/>
          <w:szCs w:val="24"/>
        </w:rPr>
        <w:t>all 24</w:t>
      </w:r>
      <w:r w:rsidRPr="009B5734" w:rsidDel="00701102">
        <w:rPr>
          <w:rFonts w:ascii="Times New Roman" w:hAnsi="Times New Roman" w:cs="Times New Roman"/>
          <w:noProof/>
          <w:sz w:val="24"/>
          <w:szCs w:val="24"/>
        </w:rPr>
        <w:t xml:space="preserve"> </w:t>
      </w:r>
      <w:r w:rsidRPr="009B5734">
        <w:rPr>
          <w:rFonts w:ascii="Times New Roman" w:hAnsi="Times New Roman" w:cs="Times New Roman"/>
          <w:noProof/>
          <w:sz w:val="24"/>
          <w:szCs w:val="24"/>
        </w:rPr>
        <w:t xml:space="preserve">EU languages. The section of the OPC devoted to this initiative yielded 313 responses. A summary report </w:t>
      </w:r>
      <w:r w:rsidRPr="009B5734">
        <w:rPr>
          <w:rFonts w:ascii="Times New Roman" w:hAnsi="Times New Roman" w:cs="Times New Roman"/>
          <w:noProof/>
          <w:sz w:val="24"/>
          <w:szCs w:val="24"/>
        </w:rPr>
        <w:footnoteReference w:id="128"/>
      </w:r>
      <w:r w:rsidRPr="009B5734">
        <w:rPr>
          <w:rFonts w:ascii="Times New Roman" w:hAnsi="Times New Roman" w:cs="Times New Roman"/>
          <w:noProof/>
          <w:sz w:val="24"/>
          <w:szCs w:val="24"/>
        </w:rPr>
        <w:t xml:space="preserve"> of the findings was published in November 2020.</w:t>
      </w:r>
      <w:bookmarkEnd w:id="374"/>
      <w:bookmarkEnd w:id="375"/>
      <w:bookmarkEnd w:id="376"/>
      <w:bookmarkEnd w:id="377"/>
      <w:bookmarkEnd w:id="378"/>
      <w:bookmarkEnd w:id="379"/>
      <w:r w:rsidRPr="009B5734">
        <w:rPr>
          <w:rFonts w:ascii="Times New Roman" w:hAnsi="Times New Roman" w:cs="Times New Roman"/>
          <w:noProof/>
          <w:sz w:val="24"/>
          <w:szCs w:val="24"/>
        </w:rPr>
        <w:t xml:space="preserve"> </w:t>
      </w:r>
    </w:p>
    <w:p w:rsidR="00EA45F9" w:rsidRPr="009B5734" w:rsidRDefault="00EA45F9" w:rsidP="006E7284">
      <w:pPr>
        <w:pStyle w:val="BodyTextEC"/>
        <w:spacing w:line="240" w:lineRule="auto"/>
        <w:jc w:val="both"/>
        <w:rPr>
          <w:rFonts w:ascii="Times New Roman" w:hAnsi="Times New Roman" w:cs="Times New Roman"/>
          <w:noProof/>
          <w:sz w:val="24"/>
          <w:szCs w:val="24"/>
        </w:rPr>
      </w:pPr>
      <w:bookmarkStart w:id="380" w:name="_Toc58149104"/>
      <w:bookmarkStart w:id="381" w:name="_Toc58222482"/>
      <w:bookmarkStart w:id="382" w:name="_Toc58603250"/>
      <w:bookmarkStart w:id="383" w:name="_Toc58604110"/>
      <w:bookmarkStart w:id="384" w:name="_Toc58605428"/>
      <w:bookmarkStart w:id="385" w:name="_Toc60734065"/>
      <w:r w:rsidRPr="009B5734">
        <w:rPr>
          <w:rFonts w:ascii="Times New Roman" w:hAnsi="Times New Roman" w:cs="Times New Roman"/>
          <w:noProof/>
          <w:sz w:val="24"/>
          <w:szCs w:val="24"/>
        </w:rPr>
        <w:t>Targeted</w:t>
      </w:r>
      <w:r w:rsidRPr="009B5734" w:rsidDel="00701102">
        <w:rPr>
          <w:rFonts w:ascii="Times New Roman" w:hAnsi="Times New Roman" w:cs="Times New Roman"/>
          <w:noProof/>
          <w:sz w:val="24"/>
          <w:szCs w:val="24"/>
        </w:rPr>
        <w:t xml:space="preserve"> </w:t>
      </w:r>
      <w:r w:rsidRPr="009B5734">
        <w:rPr>
          <w:rFonts w:ascii="Times New Roman" w:hAnsi="Times New Roman" w:cs="Times New Roman"/>
          <w:noProof/>
          <w:sz w:val="24"/>
          <w:szCs w:val="24"/>
        </w:rPr>
        <w:t>consultation was conducted</w:t>
      </w:r>
      <w:r w:rsidRPr="009B5734" w:rsidDel="00701102">
        <w:rPr>
          <w:rFonts w:ascii="Times New Roman" w:hAnsi="Times New Roman" w:cs="Times New Roman"/>
          <w:noProof/>
          <w:sz w:val="24"/>
          <w:szCs w:val="24"/>
        </w:rPr>
        <w:t xml:space="preserve"> </w:t>
      </w:r>
      <w:r w:rsidRPr="009B5734">
        <w:rPr>
          <w:rFonts w:ascii="Times New Roman" w:hAnsi="Times New Roman" w:cs="Times New Roman"/>
          <w:noProof/>
          <w:sz w:val="24"/>
          <w:szCs w:val="24"/>
        </w:rPr>
        <w:t>by</w:t>
      </w:r>
      <w:r w:rsidRPr="009B5734" w:rsidDel="00701102">
        <w:rPr>
          <w:rFonts w:ascii="Times New Roman" w:hAnsi="Times New Roman" w:cs="Times New Roman"/>
          <w:noProof/>
          <w:sz w:val="24"/>
          <w:szCs w:val="24"/>
        </w:rPr>
        <w:t xml:space="preserve"> </w:t>
      </w:r>
      <w:r w:rsidRPr="009B5734">
        <w:rPr>
          <w:rFonts w:ascii="Times New Roman" w:hAnsi="Times New Roman" w:cs="Times New Roman"/>
          <w:noProof/>
          <w:sz w:val="24"/>
          <w:szCs w:val="24"/>
        </w:rPr>
        <w:t>the</w:t>
      </w:r>
      <w:r w:rsidRPr="009B5734" w:rsidDel="00701102">
        <w:rPr>
          <w:rFonts w:ascii="Times New Roman" w:hAnsi="Times New Roman" w:cs="Times New Roman"/>
          <w:noProof/>
          <w:sz w:val="24"/>
          <w:szCs w:val="24"/>
        </w:rPr>
        <w:t xml:space="preserve"> </w:t>
      </w:r>
      <w:r w:rsidRPr="009B5734">
        <w:rPr>
          <w:rFonts w:ascii="Times New Roman" w:hAnsi="Times New Roman" w:cs="Times New Roman"/>
          <w:noProof/>
          <w:sz w:val="24"/>
          <w:szCs w:val="24"/>
        </w:rPr>
        <w:t>external consultants</w:t>
      </w:r>
      <w:r w:rsidRPr="009B5734" w:rsidDel="00701102">
        <w:rPr>
          <w:rFonts w:ascii="Times New Roman" w:hAnsi="Times New Roman" w:cs="Times New Roman"/>
          <w:noProof/>
          <w:sz w:val="24"/>
          <w:szCs w:val="24"/>
        </w:rPr>
        <w:t xml:space="preserve"> </w:t>
      </w:r>
      <w:r w:rsidRPr="009B5734">
        <w:rPr>
          <w:rFonts w:ascii="Times New Roman" w:hAnsi="Times New Roman" w:cs="Times New Roman"/>
          <w:noProof/>
          <w:sz w:val="24"/>
          <w:szCs w:val="24"/>
        </w:rPr>
        <w:t>under</w:t>
      </w:r>
      <w:r w:rsidRPr="009B5734" w:rsidDel="00701102">
        <w:rPr>
          <w:rFonts w:ascii="Times New Roman" w:hAnsi="Times New Roman" w:cs="Times New Roman"/>
          <w:noProof/>
          <w:sz w:val="24"/>
          <w:szCs w:val="24"/>
        </w:rPr>
        <w:t xml:space="preserve"> </w:t>
      </w:r>
      <w:r w:rsidRPr="009B5734">
        <w:rPr>
          <w:rFonts w:ascii="Times New Roman" w:hAnsi="Times New Roman" w:cs="Times New Roman"/>
          <w:noProof/>
          <w:sz w:val="24"/>
          <w:szCs w:val="24"/>
        </w:rPr>
        <w:t>the study to complement</w:t>
      </w:r>
      <w:r w:rsidRPr="009B5734" w:rsidDel="00701102">
        <w:rPr>
          <w:rFonts w:ascii="Times New Roman" w:hAnsi="Times New Roman" w:cs="Times New Roman"/>
          <w:noProof/>
          <w:sz w:val="24"/>
          <w:szCs w:val="24"/>
        </w:rPr>
        <w:t xml:space="preserve"> </w:t>
      </w:r>
      <w:r w:rsidRPr="009B5734">
        <w:rPr>
          <w:rFonts w:ascii="Times New Roman" w:hAnsi="Times New Roman" w:cs="Times New Roman"/>
          <w:noProof/>
          <w:sz w:val="24"/>
          <w:szCs w:val="24"/>
        </w:rPr>
        <w:t>and</w:t>
      </w:r>
      <w:r w:rsidRPr="009B5734" w:rsidDel="00701102">
        <w:rPr>
          <w:rFonts w:ascii="Times New Roman" w:hAnsi="Times New Roman" w:cs="Times New Roman"/>
          <w:noProof/>
          <w:sz w:val="24"/>
          <w:szCs w:val="24"/>
        </w:rPr>
        <w:t xml:space="preserve"> </w:t>
      </w:r>
      <w:r w:rsidRPr="009B5734">
        <w:rPr>
          <w:rFonts w:ascii="Times New Roman" w:hAnsi="Times New Roman" w:cs="Times New Roman"/>
          <w:noProof/>
          <w:sz w:val="24"/>
          <w:szCs w:val="24"/>
        </w:rPr>
        <w:t>deepen the feedback collected</w:t>
      </w:r>
      <w:r w:rsidRPr="009B5734" w:rsidDel="00701102">
        <w:rPr>
          <w:rFonts w:ascii="Times New Roman" w:hAnsi="Times New Roman" w:cs="Times New Roman"/>
          <w:noProof/>
          <w:sz w:val="24"/>
          <w:szCs w:val="24"/>
        </w:rPr>
        <w:t xml:space="preserve"> </w:t>
      </w:r>
      <w:r w:rsidRPr="009B5734">
        <w:rPr>
          <w:rFonts w:ascii="Times New Roman" w:hAnsi="Times New Roman" w:cs="Times New Roman"/>
          <w:noProof/>
          <w:sz w:val="24"/>
          <w:szCs w:val="24"/>
        </w:rPr>
        <w:t>in</w:t>
      </w:r>
      <w:r w:rsidRPr="009B5734" w:rsidDel="00701102">
        <w:rPr>
          <w:rFonts w:ascii="Times New Roman" w:hAnsi="Times New Roman" w:cs="Times New Roman"/>
          <w:noProof/>
          <w:sz w:val="24"/>
          <w:szCs w:val="24"/>
        </w:rPr>
        <w:t xml:space="preserve"> </w:t>
      </w:r>
      <w:r w:rsidRPr="009B5734">
        <w:rPr>
          <w:rFonts w:ascii="Times New Roman" w:hAnsi="Times New Roman" w:cs="Times New Roman"/>
          <w:noProof/>
          <w:sz w:val="24"/>
          <w:szCs w:val="24"/>
        </w:rPr>
        <w:t>the</w:t>
      </w:r>
      <w:r w:rsidRPr="009B5734" w:rsidDel="00701102">
        <w:rPr>
          <w:rFonts w:ascii="Times New Roman" w:hAnsi="Times New Roman" w:cs="Times New Roman"/>
          <w:noProof/>
          <w:sz w:val="24"/>
          <w:szCs w:val="24"/>
        </w:rPr>
        <w:t xml:space="preserve"> </w:t>
      </w:r>
      <w:r w:rsidRPr="009B5734">
        <w:rPr>
          <w:rFonts w:ascii="Times New Roman" w:hAnsi="Times New Roman" w:cs="Times New Roman"/>
          <w:noProof/>
          <w:sz w:val="24"/>
          <w:szCs w:val="24"/>
        </w:rPr>
        <w:t>Open</w:t>
      </w:r>
      <w:r w:rsidRPr="009B5734" w:rsidDel="00701102">
        <w:rPr>
          <w:rFonts w:ascii="Times New Roman" w:hAnsi="Times New Roman" w:cs="Times New Roman"/>
          <w:noProof/>
          <w:sz w:val="24"/>
          <w:szCs w:val="24"/>
        </w:rPr>
        <w:t xml:space="preserve"> </w:t>
      </w:r>
      <w:r w:rsidRPr="009B5734">
        <w:rPr>
          <w:rFonts w:ascii="Times New Roman" w:hAnsi="Times New Roman" w:cs="Times New Roman"/>
          <w:noProof/>
          <w:sz w:val="24"/>
          <w:szCs w:val="24"/>
        </w:rPr>
        <w:t>Public</w:t>
      </w:r>
      <w:r w:rsidRPr="009B5734" w:rsidDel="00701102">
        <w:rPr>
          <w:rFonts w:ascii="Times New Roman" w:hAnsi="Times New Roman" w:cs="Times New Roman"/>
          <w:noProof/>
          <w:sz w:val="24"/>
          <w:szCs w:val="24"/>
        </w:rPr>
        <w:t xml:space="preserve"> </w:t>
      </w:r>
      <w:r w:rsidRPr="009B5734">
        <w:rPr>
          <w:rFonts w:ascii="Times New Roman" w:hAnsi="Times New Roman" w:cs="Times New Roman"/>
          <w:noProof/>
          <w:sz w:val="24"/>
          <w:szCs w:val="24"/>
        </w:rPr>
        <w:t>Consultation.</w:t>
      </w:r>
      <w:r w:rsidRPr="009B5734" w:rsidDel="00701102">
        <w:rPr>
          <w:rFonts w:ascii="Times New Roman" w:hAnsi="Times New Roman" w:cs="Times New Roman"/>
          <w:noProof/>
          <w:sz w:val="24"/>
          <w:szCs w:val="24"/>
        </w:rPr>
        <w:t xml:space="preserve"> </w:t>
      </w:r>
      <w:r w:rsidRPr="009B5734">
        <w:rPr>
          <w:rFonts w:ascii="Times New Roman" w:hAnsi="Times New Roman" w:cs="Times New Roman"/>
          <w:noProof/>
          <w:sz w:val="24"/>
          <w:szCs w:val="24"/>
        </w:rPr>
        <w:t>It included</w:t>
      </w:r>
      <w:r w:rsidRPr="009B5734" w:rsidDel="00701102">
        <w:rPr>
          <w:rFonts w:ascii="Times New Roman" w:hAnsi="Times New Roman" w:cs="Times New Roman"/>
          <w:noProof/>
          <w:sz w:val="24"/>
          <w:szCs w:val="24"/>
        </w:rPr>
        <w:t xml:space="preserve"> </w:t>
      </w:r>
      <w:r w:rsidRPr="009B5734">
        <w:rPr>
          <w:rFonts w:ascii="Times New Roman" w:hAnsi="Times New Roman" w:cs="Times New Roman"/>
          <w:noProof/>
          <w:sz w:val="24"/>
          <w:szCs w:val="24"/>
        </w:rPr>
        <w:t>149 in-depth interviews with selected</w:t>
      </w:r>
      <w:r w:rsidRPr="009B5734" w:rsidDel="00701102">
        <w:rPr>
          <w:rFonts w:ascii="Times New Roman" w:hAnsi="Times New Roman" w:cs="Times New Roman"/>
          <w:noProof/>
          <w:sz w:val="24"/>
          <w:szCs w:val="24"/>
        </w:rPr>
        <w:t xml:space="preserve"> </w:t>
      </w:r>
      <w:r w:rsidRPr="009B5734">
        <w:rPr>
          <w:rFonts w:ascii="Times New Roman" w:hAnsi="Times New Roman" w:cs="Times New Roman"/>
          <w:noProof/>
          <w:sz w:val="24"/>
          <w:szCs w:val="24"/>
        </w:rPr>
        <w:t>key stakeholders in the main</w:t>
      </w:r>
      <w:r w:rsidRPr="009B5734" w:rsidDel="00701102">
        <w:rPr>
          <w:rFonts w:ascii="Times New Roman" w:hAnsi="Times New Roman" w:cs="Times New Roman"/>
          <w:noProof/>
          <w:sz w:val="24"/>
          <w:szCs w:val="24"/>
        </w:rPr>
        <w:t xml:space="preserve"> </w:t>
      </w:r>
      <w:r w:rsidRPr="009B5734">
        <w:rPr>
          <w:rFonts w:ascii="Times New Roman" w:hAnsi="Times New Roman" w:cs="Times New Roman"/>
          <w:noProof/>
          <w:sz w:val="24"/>
          <w:szCs w:val="24"/>
        </w:rPr>
        <w:t>groups concerned by the initiative: national authorities, EU and national business associations and</w:t>
      </w:r>
      <w:r w:rsidRPr="009B5734" w:rsidDel="00701102">
        <w:rPr>
          <w:rFonts w:ascii="Times New Roman" w:hAnsi="Times New Roman" w:cs="Times New Roman"/>
          <w:noProof/>
          <w:sz w:val="24"/>
          <w:szCs w:val="24"/>
        </w:rPr>
        <w:t xml:space="preserve"> </w:t>
      </w:r>
      <w:r w:rsidRPr="009B5734">
        <w:rPr>
          <w:rFonts w:ascii="Times New Roman" w:hAnsi="Times New Roman" w:cs="Times New Roman"/>
          <w:noProof/>
          <w:sz w:val="24"/>
          <w:szCs w:val="24"/>
        </w:rPr>
        <w:t>EU and</w:t>
      </w:r>
      <w:r w:rsidRPr="009B5734" w:rsidDel="00701102">
        <w:rPr>
          <w:rFonts w:ascii="Times New Roman" w:hAnsi="Times New Roman" w:cs="Times New Roman"/>
          <w:noProof/>
          <w:sz w:val="24"/>
          <w:szCs w:val="24"/>
        </w:rPr>
        <w:t xml:space="preserve"> </w:t>
      </w:r>
      <w:r w:rsidRPr="009B5734">
        <w:rPr>
          <w:rFonts w:ascii="Times New Roman" w:hAnsi="Times New Roman" w:cs="Times New Roman"/>
          <w:noProof/>
          <w:sz w:val="24"/>
          <w:szCs w:val="24"/>
        </w:rPr>
        <w:t>national consume</w:t>
      </w:r>
      <w:r w:rsidR="006E7284">
        <w:rPr>
          <w:rFonts w:ascii="Times New Roman" w:hAnsi="Times New Roman" w:cs="Times New Roman"/>
          <w:noProof/>
          <w:sz w:val="24"/>
          <w:szCs w:val="24"/>
        </w:rPr>
        <w:t xml:space="preserve">r associations. In addition, an </w:t>
      </w:r>
      <w:r w:rsidRPr="009B5734">
        <w:rPr>
          <w:rFonts w:ascii="Times New Roman" w:hAnsi="Times New Roman" w:cs="Times New Roman"/>
          <w:noProof/>
          <w:sz w:val="24"/>
          <w:szCs w:val="24"/>
        </w:rPr>
        <w:t>online</w:t>
      </w:r>
      <w:r w:rsidRPr="009B5734" w:rsidDel="00701102">
        <w:rPr>
          <w:rFonts w:ascii="Times New Roman" w:hAnsi="Times New Roman" w:cs="Times New Roman"/>
          <w:noProof/>
          <w:sz w:val="24"/>
          <w:szCs w:val="24"/>
        </w:rPr>
        <w:t xml:space="preserve"> </w:t>
      </w:r>
      <w:r w:rsidRPr="009B5734">
        <w:rPr>
          <w:rFonts w:ascii="Times New Roman" w:hAnsi="Times New Roman" w:cs="Times New Roman"/>
          <w:noProof/>
          <w:sz w:val="24"/>
          <w:szCs w:val="24"/>
        </w:rPr>
        <w:t>industry survey allowed</w:t>
      </w:r>
      <w:r w:rsidRPr="009B5734" w:rsidDel="00701102">
        <w:rPr>
          <w:rFonts w:ascii="Times New Roman" w:hAnsi="Times New Roman" w:cs="Times New Roman"/>
          <w:noProof/>
          <w:sz w:val="24"/>
          <w:szCs w:val="24"/>
        </w:rPr>
        <w:t xml:space="preserve"> </w:t>
      </w:r>
      <w:r w:rsidRPr="009B5734">
        <w:rPr>
          <w:rFonts w:ascii="Times New Roman" w:hAnsi="Times New Roman" w:cs="Times New Roman"/>
          <w:noProof/>
          <w:sz w:val="24"/>
          <w:szCs w:val="24"/>
        </w:rPr>
        <w:t>to collect the views</w:t>
      </w:r>
      <w:r w:rsidRPr="009B5734" w:rsidDel="00701102">
        <w:rPr>
          <w:rFonts w:ascii="Times New Roman" w:hAnsi="Times New Roman" w:cs="Times New Roman"/>
          <w:noProof/>
          <w:sz w:val="24"/>
          <w:szCs w:val="24"/>
        </w:rPr>
        <w:t xml:space="preserve"> </w:t>
      </w:r>
      <w:r w:rsidRPr="009B5734">
        <w:rPr>
          <w:rFonts w:ascii="Times New Roman" w:hAnsi="Times New Roman" w:cs="Times New Roman"/>
          <w:noProof/>
          <w:sz w:val="24"/>
          <w:szCs w:val="24"/>
        </w:rPr>
        <w:t>of 110</w:t>
      </w:r>
      <w:r w:rsidRPr="009B5734" w:rsidDel="00701102">
        <w:rPr>
          <w:rFonts w:ascii="Times New Roman" w:hAnsi="Times New Roman" w:cs="Times New Roman"/>
          <w:noProof/>
          <w:sz w:val="24"/>
          <w:szCs w:val="24"/>
        </w:rPr>
        <w:t xml:space="preserve"> </w:t>
      </w:r>
      <w:r w:rsidRPr="009B5734">
        <w:rPr>
          <w:rFonts w:ascii="Times New Roman" w:hAnsi="Times New Roman" w:cs="Times New Roman"/>
          <w:noProof/>
          <w:sz w:val="24"/>
          <w:szCs w:val="24"/>
        </w:rPr>
        <w:t>companies. An online consumer survey was carried out in</w:t>
      </w:r>
      <w:r w:rsidRPr="009B5734" w:rsidDel="00701102">
        <w:rPr>
          <w:rFonts w:ascii="Times New Roman" w:hAnsi="Times New Roman" w:cs="Times New Roman"/>
          <w:noProof/>
          <w:sz w:val="24"/>
          <w:szCs w:val="24"/>
        </w:rPr>
        <w:t xml:space="preserve"> </w:t>
      </w:r>
      <w:r w:rsidRPr="009B5734">
        <w:rPr>
          <w:rFonts w:ascii="Times New Roman" w:hAnsi="Times New Roman" w:cs="Times New Roman"/>
          <w:noProof/>
          <w:sz w:val="24"/>
          <w:szCs w:val="24"/>
        </w:rPr>
        <w:t>all Member States to collect the views and experience of 11 805 consumers.</w:t>
      </w:r>
      <w:bookmarkEnd w:id="380"/>
      <w:bookmarkEnd w:id="381"/>
      <w:bookmarkEnd w:id="382"/>
      <w:bookmarkEnd w:id="383"/>
      <w:bookmarkEnd w:id="384"/>
      <w:bookmarkEnd w:id="385"/>
      <w:r w:rsidR="006E7284">
        <w:rPr>
          <w:rFonts w:ascii="Times New Roman" w:hAnsi="Times New Roman" w:cs="Times New Roman"/>
          <w:noProof/>
          <w:sz w:val="24"/>
          <w:szCs w:val="24"/>
        </w:rPr>
        <w:t xml:space="preserve"> </w:t>
      </w:r>
    </w:p>
    <w:p w:rsidR="00EA45F9" w:rsidRPr="009B5734" w:rsidRDefault="00EA45F9" w:rsidP="006E7284">
      <w:pPr>
        <w:pStyle w:val="BodyTextEC"/>
        <w:spacing w:line="240" w:lineRule="auto"/>
        <w:jc w:val="both"/>
        <w:rPr>
          <w:rFonts w:ascii="Times New Roman" w:hAnsi="Times New Roman" w:cs="Times New Roman"/>
          <w:noProof/>
          <w:sz w:val="24"/>
          <w:szCs w:val="24"/>
        </w:rPr>
      </w:pPr>
      <w:r w:rsidRPr="009B5734">
        <w:rPr>
          <w:rFonts w:ascii="Times New Roman" w:hAnsi="Times New Roman" w:cs="Times New Roman"/>
          <w:noProof/>
          <w:sz w:val="24"/>
          <w:szCs w:val="24"/>
        </w:rPr>
        <w:t xml:space="preserve">Four workshops have also been organised. The first one allowed to collect expert views on the extent of the problems and examples of effective actions. A second one with industry associations allowed to collect views on how digital means can be used to provide product information. The third one gathered all stakeholder groups to collect feedback on possible options to address the problem identified. Finally, the last one allowed to collect the view of consumer protection enforcement authorities (CPC authorities) to collect their views on enforcement challenges. </w:t>
      </w:r>
    </w:p>
    <w:p w:rsidR="00EA45F9" w:rsidRPr="009B5734" w:rsidRDefault="00EA45F9" w:rsidP="006E7284">
      <w:pPr>
        <w:pStyle w:val="Text1"/>
        <w:ind w:left="0" w:firstLine="0"/>
        <w:rPr>
          <w:noProof/>
        </w:rPr>
      </w:pPr>
      <w:r w:rsidRPr="009B5734">
        <w:rPr>
          <w:noProof/>
        </w:rPr>
        <w:t xml:space="preserve">Results from these stakeholder consultations are summarised in </w:t>
      </w:r>
      <w:hyperlink w:anchor="_Annex_2:_Stakeholder_1" w:history="1">
        <w:r w:rsidRPr="009B5734">
          <w:rPr>
            <w:rStyle w:val="Hyperlink"/>
            <w:noProof/>
          </w:rPr>
          <w:t>Annex 2</w:t>
        </w:r>
      </w:hyperlink>
      <w:r w:rsidRPr="009B5734">
        <w:rPr>
          <w:noProof/>
        </w:rPr>
        <w:t xml:space="preserve">. </w:t>
      </w:r>
    </w:p>
    <w:p w:rsidR="00EA45F9" w:rsidRPr="009B5734" w:rsidRDefault="00EA45F9" w:rsidP="00EA45F9">
      <w:pPr>
        <w:pStyle w:val="Heading4"/>
        <w:rPr>
          <w:b/>
          <w:smallCaps/>
          <w:noProof/>
        </w:rPr>
      </w:pPr>
      <w:bookmarkStart w:id="386" w:name="_Toc58149105"/>
      <w:bookmarkStart w:id="387" w:name="_Toc58222483"/>
      <w:bookmarkStart w:id="388" w:name="_Toc58603251"/>
      <w:bookmarkStart w:id="389" w:name="_Toc58604111"/>
      <w:bookmarkStart w:id="390" w:name="_Toc58605429"/>
      <w:bookmarkStart w:id="391" w:name="_Toc60734066"/>
      <w:r w:rsidRPr="009B5734">
        <w:rPr>
          <w:b/>
          <w:noProof/>
        </w:rPr>
        <w:t>Other studies and sources</w:t>
      </w:r>
      <w:bookmarkEnd w:id="386"/>
      <w:bookmarkEnd w:id="387"/>
      <w:bookmarkEnd w:id="388"/>
      <w:bookmarkEnd w:id="389"/>
      <w:bookmarkEnd w:id="390"/>
      <w:bookmarkEnd w:id="391"/>
    </w:p>
    <w:p w:rsidR="00EA45F9" w:rsidRPr="009B5734" w:rsidRDefault="00EA45F9" w:rsidP="00EA45F9">
      <w:pPr>
        <w:pStyle w:val="Text1"/>
        <w:ind w:left="0" w:firstLine="0"/>
        <w:rPr>
          <w:noProof/>
        </w:rPr>
      </w:pPr>
      <w:r w:rsidRPr="009B5734">
        <w:rPr>
          <w:noProof/>
        </w:rPr>
        <w:t xml:space="preserve">Further references, including recent market and behavioural studies commissioned by the European Commission on environmental claims and the role of consumers in the circular economy, have been used in the development of this Impact Assessment and are mentioned throughout the text. This Impact Assessment also cross-references studies and evaluations which have fed into the 2017 Fitness Check of Consumer and Marketing law and the follow-up New Deal for Consumers proposals as well as in the ongoing preparatory work for the SPI and Green Claims initiative. </w:t>
      </w:r>
    </w:p>
    <w:p w:rsidR="00EA45F9" w:rsidRPr="009B5734" w:rsidRDefault="00EA45F9" w:rsidP="00EA45F9">
      <w:pPr>
        <w:pStyle w:val="Heading4"/>
        <w:rPr>
          <w:b/>
          <w:smallCaps/>
          <w:noProof/>
        </w:rPr>
      </w:pPr>
      <w:bookmarkStart w:id="392" w:name="_Toc58149106"/>
      <w:bookmarkStart w:id="393" w:name="_Toc58222484"/>
      <w:bookmarkStart w:id="394" w:name="_Toc58603252"/>
      <w:bookmarkStart w:id="395" w:name="_Toc58604112"/>
      <w:bookmarkStart w:id="396" w:name="_Toc58605430"/>
      <w:bookmarkStart w:id="397" w:name="_Toc60734067"/>
      <w:r w:rsidRPr="009B5734">
        <w:rPr>
          <w:b/>
          <w:noProof/>
        </w:rPr>
        <w:t>Limitations and robustness of findings</w:t>
      </w:r>
      <w:bookmarkEnd w:id="392"/>
      <w:bookmarkEnd w:id="393"/>
      <w:bookmarkEnd w:id="394"/>
      <w:bookmarkEnd w:id="395"/>
      <w:bookmarkEnd w:id="396"/>
      <w:bookmarkEnd w:id="397"/>
    </w:p>
    <w:p w:rsidR="00EA45F9" w:rsidRPr="009B5734" w:rsidRDefault="00EA45F9" w:rsidP="006E7284">
      <w:pPr>
        <w:pStyle w:val="BodyTextEC"/>
        <w:spacing w:line="240" w:lineRule="auto"/>
        <w:jc w:val="both"/>
        <w:rPr>
          <w:b/>
          <w:smallCaps/>
          <w:noProof/>
        </w:rPr>
      </w:pPr>
      <w:bookmarkStart w:id="398" w:name="_Toc58149107"/>
      <w:bookmarkStart w:id="399" w:name="_Toc58222485"/>
      <w:bookmarkStart w:id="400" w:name="_Toc58603253"/>
      <w:bookmarkStart w:id="401" w:name="_Toc58604113"/>
      <w:bookmarkStart w:id="402" w:name="_Toc58605431"/>
      <w:bookmarkStart w:id="403" w:name="_Toc60734068"/>
      <w:r w:rsidRPr="009B5734">
        <w:rPr>
          <w:rFonts w:ascii="Times New Roman" w:hAnsi="Times New Roman" w:cs="Times New Roman"/>
          <w:noProof/>
          <w:sz w:val="24"/>
        </w:rPr>
        <w:t xml:space="preserve">The data collection and analysis </w:t>
      </w:r>
      <w:r w:rsidRPr="009B5734">
        <w:rPr>
          <w:rFonts w:ascii="Times New Roman" w:hAnsi="Times New Roman"/>
          <w:noProof/>
          <w:color w:val="auto"/>
          <w:sz w:val="24"/>
          <w:szCs w:val="22"/>
        </w:rPr>
        <w:t>carried out have a number of limitations, whose impact has been mitigated to a maximum possible extent.</w:t>
      </w:r>
      <w:bookmarkEnd w:id="398"/>
      <w:bookmarkEnd w:id="399"/>
      <w:bookmarkEnd w:id="400"/>
      <w:bookmarkEnd w:id="401"/>
      <w:bookmarkEnd w:id="402"/>
      <w:bookmarkEnd w:id="403"/>
    </w:p>
    <w:p w:rsidR="00EA45F9" w:rsidRPr="009B5734" w:rsidRDefault="00EA45F9" w:rsidP="006E7284">
      <w:pPr>
        <w:ind w:left="0" w:firstLine="0"/>
        <w:jc w:val="left"/>
        <w:rPr>
          <w:noProof/>
        </w:rPr>
      </w:pPr>
      <w:r w:rsidRPr="009B5734">
        <w:rPr>
          <w:rFonts w:ascii="Times New Roman" w:hAnsi="Times New Roman"/>
          <w:noProof/>
          <w:sz w:val="24"/>
        </w:rPr>
        <w:t xml:space="preserve">The estimations of consumer detriments and costs for businesses, while providing a sense of magnitude, have limitations which are explained in detail in </w:t>
      </w:r>
      <w:hyperlink w:anchor="_Annex_4:_Analytical_1" w:history="1">
        <w:r w:rsidRPr="009B5734">
          <w:rPr>
            <w:rStyle w:val="Hyperlink"/>
            <w:rFonts w:ascii="Times New Roman" w:hAnsi="Times New Roman"/>
            <w:noProof/>
            <w:sz w:val="24"/>
          </w:rPr>
          <w:t>Annex 4</w:t>
        </w:r>
      </w:hyperlink>
      <w:r w:rsidRPr="009B5734">
        <w:rPr>
          <w:rFonts w:ascii="Times New Roman" w:hAnsi="Times New Roman"/>
          <w:noProof/>
          <w:sz w:val="24"/>
        </w:rPr>
        <w:t>.</w:t>
      </w:r>
      <w:r w:rsidRPr="009B5734">
        <w:rPr>
          <w:noProof/>
        </w:rPr>
        <w:br w:type="page"/>
      </w:r>
    </w:p>
    <w:p w:rsidR="00EA45F9" w:rsidRPr="009B5734" w:rsidRDefault="00EA45F9" w:rsidP="00EA45F9">
      <w:pPr>
        <w:pStyle w:val="Heading1"/>
        <w:jc w:val="center"/>
        <w:rPr>
          <w:noProof/>
        </w:rPr>
      </w:pPr>
      <w:bookmarkStart w:id="404" w:name="_Annex_2:_Stakeholder_1"/>
      <w:bookmarkStart w:id="405" w:name="_Toc58149108"/>
      <w:bookmarkStart w:id="406" w:name="_Toc58604114"/>
      <w:bookmarkStart w:id="407" w:name="_Toc75440979"/>
      <w:bookmarkStart w:id="408" w:name="_Toc75446978"/>
      <w:bookmarkStart w:id="409" w:name="_Toc75448851"/>
      <w:bookmarkStart w:id="410" w:name="_Toc77844247"/>
      <w:bookmarkStart w:id="411" w:name="_Toc86391750"/>
      <w:bookmarkEnd w:id="404"/>
      <w:r w:rsidRPr="009B5734">
        <w:rPr>
          <w:noProof/>
        </w:rPr>
        <w:t>Annex 2: Stakeholder consultation</w:t>
      </w:r>
      <w:bookmarkEnd w:id="405"/>
      <w:bookmarkEnd w:id="406"/>
      <w:bookmarkEnd w:id="407"/>
      <w:bookmarkEnd w:id="408"/>
      <w:bookmarkEnd w:id="409"/>
      <w:bookmarkEnd w:id="410"/>
      <w:bookmarkEnd w:id="411"/>
    </w:p>
    <w:p w:rsidR="00EA45F9" w:rsidRPr="009B5734" w:rsidRDefault="00A00208" w:rsidP="00A00208">
      <w:pPr>
        <w:pStyle w:val="Heading2"/>
        <w:rPr>
          <w:noProof/>
        </w:rPr>
      </w:pPr>
      <w:bookmarkStart w:id="412" w:name="_Toc58603255"/>
      <w:bookmarkStart w:id="413" w:name="_Toc58604115"/>
      <w:bookmarkStart w:id="414" w:name="_Toc58605433"/>
      <w:bookmarkStart w:id="415" w:name="_Toc60734070"/>
      <w:bookmarkStart w:id="416" w:name="_Toc77844248"/>
      <w:bookmarkStart w:id="417" w:name="_Toc86391751"/>
      <w:r w:rsidRPr="00A00208">
        <w:t>1.</w:t>
      </w:r>
      <w:r w:rsidRPr="00A00208">
        <w:tab/>
      </w:r>
      <w:r w:rsidR="00EA45F9" w:rsidRPr="009B5734">
        <w:rPr>
          <w:noProof/>
        </w:rPr>
        <w:t>Introduction and overview of the consultation strategy</w:t>
      </w:r>
      <w:bookmarkEnd w:id="412"/>
      <w:bookmarkEnd w:id="413"/>
      <w:bookmarkEnd w:id="414"/>
      <w:bookmarkEnd w:id="415"/>
      <w:bookmarkEnd w:id="416"/>
      <w:bookmarkEnd w:id="417"/>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goal of the consultation strategy was to ensure that, across a series of consultation activities, all relevant stakeholders were given an opportunity to express their views on the initiative aimed at empowering consumers in the green transition. The primary stakeholders of this initiative are consumers and businesses (retailers and producers) across the EU. However, besides these two, other stakeholders are indirectly or potentially impacted. The following stakeholder categories were thus targeted as part of the consultation strategy:</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129"/>
      </w:tblGrid>
      <w:tr w:rsidR="00EA45F9" w:rsidRPr="009B5734" w:rsidTr="00981615">
        <w:trPr>
          <w:trHeight w:val="3197"/>
        </w:trPr>
        <w:tc>
          <w:tcPr>
            <w:tcW w:w="4649" w:type="dxa"/>
          </w:tcPr>
          <w:p w:rsidR="00EA45F9" w:rsidRPr="009B5734" w:rsidRDefault="00EA45F9" w:rsidP="00981615">
            <w:pPr>
              <w:pStyle w:val="Bullet1"/>
              <w:numPr>
                <w:ilvl w:val="0"/>
                <w:numId w:val="8"/>
              </w:numPr>
              <w:tabs>
                <w:tab w:val="num" w:pos="549"/>
              </w:tabs>
              <w:spacing w:before="120" w:after="120" w:line="240" w:lineRule="auto"/>
              <w:ind w:left="549"/>
              <w:contextualSpacing/>
              <w:rPr>
                <w:rFonts w:ascii="Times New Roman" w:hAnsi="Times New Roman"/>
                <w:noProof/>
                <w:sz w:val="24"/>
              </w:rPr>
            </w:pPr>
            <w:r w:rsidRPr="009B5734">
              <w:rPr>
                <w:rFonts w:ascii="Times New Roman" w:hAnsi="Times New Roman"/>
                <w:noProof/>
                <w:sz w:val="24"/>
              </w:rPr>
              <w:t>Consumers (including vulnerable ones);</w:t>
            </w:r>
          </w:p>
          <w:p w:rsidR="00EA45F9" w:rsidRPr="009B5734" w:rsidRDefault="00EA45F9" w:rsidP="00981615">
            <w:pPr>
              <w:pStyle w:val="Bullet1"/>
              <w:numPr>
                <w:ilvl w:val="0"/>
                <w:numId w:val="8"/>
              </w:numPr>
              <w:tabs>
                <w:tab w:val="num" w:pos="549"/>
              </w:tabs>
              <w:spacing w:before="120" w:after="120" w:line="240" w:lineRule="auto"/>
              <w:ind w:left="549"/>
              <w:contextualSpacing/>
              <w:rPr>
                <w:rFonts w:ascii="Times New Roman" w:hAnsi="Times New Roman"/>
                <w:noProof/>
                <w:sz w:val="24"/>
              </w:rPr>
            </w:pPr>
            <w:r w:rsidRPr="009B5734">
              <w:rPr>
                <w:rFonts w:ascii="Times New Roman" w:hAnsi="Times New Roman"/>
                <w:noProof/>
                <w:sz w:val="24"/>
              </w:rPr>
              <w:t>Producers (both large companies and SMEs);</w:t>
            </w:r>
          </w:p>
          <w:p w:rsidR="00EA45F9" w:rsidRPr="009B5734" w:rsidRDefault="00EA45F9" w:rsidP="00981615">
            <w:pPr>
              <w:pStyle w:val="Bullet1"/>
              <w:numPr>
                <w:ilvl w:val="0"/>
                <w:numId w:val="8"/>
              </w:numPr>
              <w:tabs>
                <w:tab w:val="num" w:pos="549"/>
              </w:tabs>
              <w:spacing w:before="120" w:after="120" w:line="240" w:lineRule="auto"/>
              <w:ind w:left="549"/>
              <w:contextualSpacing/>
              <w:rPr>
                <w:rFonts w:ascii="Times New Roman" w:hAnsi="Times New Roman"/>
                <w:noProof/>
                <w:sz w:val="24"/>
              </w:rPr>
            </w:pPr>
            <w:r w:rsidRPr="009B5734">
              <w:rPr>
                <w:rFonts w:ascii="Times New Roman" w:hAnsi="Times New Roman"/>
                <w:noProof/>
                <w:sz w:val="24"/>
              </w:rPr>
              <w:t>Retailers (both large companies and SMEs);</w:t>
            </w:r>
          </w:p>
          <w:p w:rsidR="00EA45F9" w:rsidRPr="009B5734" w:rsidRDefault="00EA45F9" w:rsidP="00981615">
            <w:pPr>
              <w:pStyle w:val="Bullet1"/>
              <w:numPr>
                <w:ilvl w:val="0"/>
                <w:numId w:val="8"/>
              </w:numPr>
              <w:tabs>
                <w:tab w:val="num" w:pos="549"/>
              </w:tabs>
              <w:spacing w:before="120" w:after="120" w:line="240" w:lineRule="auto"/>
              <w:ind w:left="549"/>
              <w:contextualSpacing/>
              <w:rPr>
                <w:rFonts w:ascii="Times New Roman" w:hAnsi="Times New Roman"/>
                <w:noProof/>
                <w:sz w:val="24"/>
              </w:rPr>
            </w:pPr>
            <w:r w:rsidRPr="009B5734">
              <w:rPr>
                <w:rFonts w:ascii="Times New Roman" w:hAnsi="Times New Roman"/>
                <w:noProof/>
                <w:sz w:val="24"/>
              </w:rPr>
              <w:t xml:space="preserve">Trade, business, and professional associations representing producers and retailers and also repair sector; </w:t>
            </w:r>
          </w:p>
          <w:p w:rsidR="00EA45F9" w:rsidRPr="009B5734" w:rsidRDefault="00EA45F9" w:rsidP="00981615">
            <w:pPr>
              <w:pStyle w:val="Bullet1"/>
              <w:numPr>
                <w:ilvl w:val="0"/>
                <w:numId w:val="8"/>
              </w:numPr>
              <w:tabs>
                <w:tab w:val="num" w:pos="549"/>
              </w:tabs>
              <w:spacing w:before="120" w:after="120" w:line="240" w:lineRule="auto"/>
              <w:ind w:left="549"/>
              <w:contextualSpacing/>
              <w:rPr>
                <w:rFonts w:ascii="Times New Roman" w:hAnsi="Times New Roman"/>
                <w:noProof/>
                <w:sz w:val="24"/>
              </w:rPr>
            </w:pPr>
            <w:r w:rsidRPr="009B5734">
              <w:rPr>
                <w:rFonts w:ascii="Times New Roman" w:hAnsi="Times New Roman"/>
                <w:noProof/>
                <w:sz w:val="24"/>
              </w:rPr>
              <w:t>Consumer organisations and groups, organisations of persons with disabilities and older persons;</w:t>
            </w:r>
          </w:p>
        </w:tc>
        <w:tc>
          <w:tcPr>
            <w:tcW w:w="4129" w:type="dxa"/>
          </w:tcPr>
          <w:p w:rsidR="00EA45F9" w:rsidRPr="009B5734" w:rsidRDefault="00EA45F9" w:rsidP="00981615">
            <w:pPr>
              <w:pStyle w:val="Bullet1"/>
              <w:numPr>
                <w:ilvl w:val="0"/>
                <w:numId w:val="8"/>
              </w:numPr>
              <w:tabs>
                <w:tab w:val="num" w:pos="549"/>
              </w:tabs>
              <w:spacing w:before="120" w:after="120" w:line="240" w:lineRule="auto"/>
              <w:ind w:left="549"/>
              <w:contextualSpacing/>
              <w:rPr>
                <w:rFonts w:ascii="Times New Roman" w:hAnsi="Times New Roman"/>
                <w:noProof/>
                <w:sz w:val="24"/>
              </w:rPr>
            </w:pPr>
            <w:r w:rsidRPr="009B5734">
              <w:rPr>
                <w:rFonts w:ascii="Times New Roman" w:hAnsi="Times New Roman"/>
                <w:noProof/>
                <w:sz w:val="24"/>
              </w:rPr>
              <w:t>Non-governmental organisations (including representing social, environment and other interests), platforms and networks;</w:t>
            </w:r>
          </w:p>
          <w:p w:rsidR="00EA45F9" w:rsidRPr="009B5734" w:rsidRDefault="00EA45F9" w:rsidP="00981615">
            <w:pPr>
              <w:pStyle w:val="Bullet1"/>
              <w:numPr>
                <w:ilvl w:val="0"/>
                <w:numId w:val="8"/>
              </w:numPr>
              <w:tabs>
                <w:tab w:val="num" w:pos="549"/>
              </w:tabs>
              <w:spacing w:before="120" w:after="120" w:line="240" w:lineRule="auto"/>
              <w:ind w:left="549"/>
              <w:contextualSpacing/>
              <w:rPr>
                <w:rFonts w:ascii="Times New Roman" w:hAnsi="Times New Roman"/>
                <w:noProof/>
                <w:sz w:val="24"/>
              </w:rPr>
            </w:pPr>
            <w:r w:rsidRPr="009B5734">
              <w:rPr>
                <w:rFonts w:ascii="Times New Roman" w:hAnsi="Times New Roman"/>
                <w:noProof/>
                <w:sz w:val="24"/>
              </w:rPr>
              <w:t>Certification and labelling schemes;</w:t>
            </w:r>
          </w:p>
          <w:p w:rsidR="00EA45F9" w:rsidRPr="009B5734" w:rsidRDefault="00EA45F9" w:rsidP="00981615">
            <w:pPr>
              <w:pStyle w:val="Bullet1"/>
              <w:numPr>
                <w:ilvl w:val="0"/>
                <w:numId w:val="8"/>
              </w:numPr>
              <w:tabs>
                <w:tab w:val="num" w:pos="549"/>
              </w:tabs>
              <w:spacing w:before="120" w:after="120" w:line="240" w:lineRule="auto"/>
              <w:ind w:left="549"/>
              <w:contextualSpacing/>
              <w:rPr>
                <w:rFonts w:ascii="Times New Roman" w:hAnsi="Times New Roman"/>
                <w:noProof/>
                <w:sz w:val="24"/>
              </w:rPr>
            </w:pPr>
            <w:r w:rsidRPr="009B5734">
              <w:rPr>
                <w:rFonts w:ascii="Times New Roman" w:hAnsi="Times New Roman"/>
                <w:noProof/>
                <w:sz w:val="24"/>
              </w:rPr>
              <w:t>Local, national, and international public authorities;</w:t>
            </w:r>
          </w:p>
          <w:p w:rsidR="00EA45F9" w:rsidRPr="009B5734" w:rsidRDefault="00EA45F9" w:rsidP="00981615">
            <w:pPr>
              <w:pStyle w:val="Bullet1"/>
              <w:numPr>
                <w:ilvl w:val="0"/>
                <w:numId w:val="8"/>
              </w:numPr>
              <w:tabs>
                <w:tab w:val="num" w:pos="549"/>
              </w:tabs>
              <w:spacing w:before="120" w:after="120" w:line="240" w:lineRule="auto"/>
              <w:ind w:left="549"/>
              <w:contextualSpacing/>
              <w:rPr>
                <w:rFonts w:ascii="Times New Roman" w:hAnsi="Times New Roman"/>
                <w:noProof/>
                <w:sz w:val="24"/>
              </w:rPr>
            </w:pPr>
            <w:r w:rsidRPr="009B5734">
              <w:rPr>
                <w:rFonts w:ascii="Times New Roman" w:hAnsi="Times New Roman"/>
                <w:noProof/>
                <w:sz w:val="24"/>
              </w:rPr>
              <w:t>Researchers and academics;</w:t>
            </w:r>
          </w:p>
          <w:p w:rsidR="00EA45F9" w:rsidRPr="009B5734" w:rsidRDefault="00EA45F9" w:rsidP="00981615">
            <w:pPr>
              <w:pStyle w:val="Bullet1"/>
              <w:numPr>
                <w:ilvl w:val="0"/>
                <w:numId w:val="8"/>
              </w:numPr>
              <w:tabs>
                <w:tab w:val="num" w:pos="549"/>
              </w:tabs>
              <w:spacing w:before="120" w:after="120" w:line="240" w:lineRule="auto"/>
              <w:ind w:left="549"/>
              <w:contextualSpacing/>
              <w:rPr>
                <w:rFonts w:ascii="Times New Roman" w:hAnsi="Times New Roman"/>
                <w:noProof/>
                <w:sz w:val="24"/>
              </w:rPr>
            </w:pPr>
            <w:r w:rsidRPr="009B5734">
              <w:rPr>
                <w:rFonts w:ascii="Times New Roman" w:hAnsi="Times New Roman"/>
                <w:noProof/>
                <w:sz w:val="24"/>
              </w:rPr>
              <w:t>Other public or mixed entities;</w:t>
            </w:r>
          </w:p>
          <w:p w:rsidR="00EA45F9" w:rsidRPr="009B5734" w:rsidRDefault="00EA45F9" w:rsidP="00981615">
            <w:pPr>
              <w:pStyle w:val="Bullet1"/>
              <w:numPr>
                <w:ilvl w:val="0"/>
                <w:numId w:val="8"/>
              </w:numPr>
              <w:tabs>
                <w:tab w:val="num" w:pos="549"/>
              </w:tabs>
              <w:spacing w:before="120" w:after="120" w:line="240" w:lineRule="auto"/>
              <w:ind w:left="549"/>
              <w:contextualSpacing/>
              <w:rPr>
                <w:rFonts w:ascii="Times New Roman" w:hAnsi="Times New Roman"/>
                <w:noProof/>
                <w:sz w:val="24"/>
              </w:rPr>
            </w:pPr>
            <w:r w:rsidRPr="009B5734">
              <w:rPr>
                <w:rFonts w:ascii="Times New Roman" w:hAnsi="Times New Roman"/>
                <w:noProof/>
                <w:sz w:val="24"/>
              </w:rPr>
              <w:t>Commission expert groups.</w:t>
            </w:r>
          </w:p>
        </w:tc>
      </w:tr>
    </w:tbl>
    <w:p w:rsidR="00EA45F9" w:rsidRPr="009B5734" w:rsidRDefault="00A00208" w:rsidP="00A00208">
      <w:pPr>
        <w:pStyle w:val="Heading2"/>
        <w:rPr>
          <w:noProof/>
        </w:rPr>
      </w:pPr>
      <w:bookmarkStart w:id="418" w:name="_Toc77844249"/>
      <w:bookmarkStart w:id="419" w:name="_Toc86391752"/>
      <w:r w:rsidRPr="00A00208">
        <w:t>2.</w:t>
      </w:r>
      <w:r w:rsidRPr="00A00208">
        <w:tab/>
      </w:r>
      <w:r w:rsidR="00EA45F9" w:rsidRPr="009B5734">
        <w:rPr>
          <w:noProof/>
        </w:rPr>
        <w:t>Consultation activities and tools</w:t>
      </w:r>
      <w:bookmarkEnd w:id="418"/>
      <w:bookmarkEnd w:id="419"/>
    </w:p>
    <w:p w:rsidR="00B73C39" w:rsidRDefault="00B73C39" w:rsidP="00B73C39">
      <w:pPr>
        <w:ind w:left="0" w:firstLine="0"/>
        <w:rPr>
          <w:rFonts w:ascii="Times New Roman" w:hAnsi="Times New Roman" w:cs="Times New Roman"/>
          <w:noProof/>
          <w:sz w:val="24"/>
          <w:szCs w:val="24"/>
        </w:rPr>
      </w:pPr>
      <w:r w:rsidRPr="00B73C39">
        <w:rPr>
          <w:rFonts w:ascii="Times New Roman" w:hAnsi="Times New Roman" w:cs="Times New Roman"/>
          <w:noProof/>
          <w:sz w:val="24"/>
          <w:szCs w:val="24"/>
        </w:rPr>
        <w:t>The consultation employed a mix of methods and tools to ensure a comprehensive and representative collection of views and experiences were gathered in relation to the problems aimed to be addressed by the initiative and the possible policy options.</w:t>
      </w:r>
    </w:p>
    <w:p w:rsidR="00B73C39" w:rsidRPr="00B73C39" w:rsidRDefault="00B73C39" w:rsidP="00B73C39">
      <w:pPr>
        <w:ind w:left="0" w:firstLine="0"/>
        <w:rPr>
          <w:rFonts w:ascii="Times New Roman" w:hAnsi="Times New Roman" w:cs="Times New Roman"/>
          <w:noProof/>
          <w:sz w:val="24"/>
          <w:szCs w:val="24"/>
        </w:rPr>
      </w:pPr>
    </w:p>
    <w:p w:rsidR="00EA45F9" w:rsidRPr="00F67503" w:rsidRDefault="00EA45F9">
      <w:pPr>
        <w:ind w:left="0" w:firstLine="0"/>
        <w:rPr>
          <w:rFonts w:ascii="Times New Roman" w:hAnsi="Times New Roman"/>
          <w:noProof/>
          <w:sz w:val="24"/>
          <w:szCs w:val="24"/>
        </w:rPr>
      </w:pPr>
      <w:r w:rsidRPr="009B5734">
        <w:rPr>
          <w:rFonts w:ascii="Times New Roman" w:hAnsi="Times New Roman" w:cs="Times New Roman"/>
          <w:noProof/>
          <w:sz w:val="24"/>
          <w:szCs w:val="24"/>
        </w:rPr>
        <w:t>The table below summarises the types and numbers of stakeholders consulted as part of the study, in line with the consultation strategy.</w:t>
      </w:r>
    </w:p>
    <w:tbl>
      <w:tblPr>
        <w:tblStyle w:val="GridTable5Dark-Accent1"/>
        <w:tblW w:w="10211" w:type="dxa"/>
        <w:tblInd w:w="-601" w:type="dxa"/>
        <w:tblLayout w:type="fixed"/>
        <w:tblLook w:val="04A0" w:firstRow="1" w:lastRow="0" w:firstColumn="1" w:lastColumn="0" w:noHBand="0" w:noVBand="1"/>
      </w:tblPr>
      <w:tblGrid>
        <w:gridCol w:w="2660"/>
        <w:gridCol w:w="1510"/>
        <w:gridCol w:w="1510"/>
        <w:gridCol w:w="1510"/>
        <w:gridCol w:w="1510"/>
        <w:gridCol w:w="1511"/>
      </w:tblGrid>
      <w:tr w:rsidR="00EA45F9" w:rsidRPr="009B5734" w:rsidTr="00C84A99">
        <w:trPr>
          <w:cnfStyle w:val="100000000000" w:firstRow="1" w:lastRow="0" w:firstColumn="0" w:lastColumn="0" w:oddVBand="0" w:evenVBand="0" w:oddHBand="0"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2660" w:type="dxa"/>
            <w:vAlign w:val="center"/>
          </w:tcPr>
          <w:p w:rsidR="00EA45F9" w:rsidRPr="009B5734" w:rsidRDefault="00EA45F9" w:rsidP="00981615">
            <w:pPr>
              <w:pStyle w:val="TableHeadingWhite"/>
              <w:jc w:val="center"/>
              <w:rPr>
                <w:rFonts w:ascii="Times New Roman" w:hAnsi="Times New Roman" w:cs="Times New Roman"/>
                <w:noProof/>
              </w:rPr>
            </w:pPr>
            <w:r w:rsidRPr="009B5734">
              <w:rPr>
                <w:rFonts w:ascii="Times New Roman" w:hAnsi="Times New Roman" w:cs="Times New Roman"/>
                <w:noProof/>
              </w:rPr>
              <w:t>Stakeholder type</w:t>
            </w:r>
          </w:p>
        </w:tc>
        <w:tc>
          <w:tcPr>
            <w:tcW w:w="1510" w:type="dxa"/>
            <w:vAlign w:val="center"/>
          </w:tcPr>
          <w:p w:rsidR="00EA45F9" w:rsidRPr="009B5734" w:rsidRDefault="00EA45F9" w:rsidP="00981615">
            <w:pPr>
              <w:pStyle w:val="TableHeadingWhite"/>
              <w:ind w:left="31"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9B5734">
              <w:rPr>
                <w:rFonts w:ascii="Times New Roman" w:hAnsi="Times New Roman" w:cs="Times New Roman"/>
                <w:noProof/>
              </w:rPr>
              <w:t>Feedback on the IIA</w:t>
            </w:r>
          </w:p>
        </w:tc>
        <w:tc>
          <w:tcPr>
            <w:tcW w:w="1510" w:type="dxa"/>
            <w:vAlign w:val="center"/>
          </w:tcPr>
          <w:p w:rsidR="00EA45F9" w:rsidRPr="009B5734" w:rsidRDefault="00EA45F9" w:rsidP="00981615">
            <w:pPr>
              <w:pStyle w:val="TableHeadingWhite"/>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9B5734">
              <w:rPr>
                <w:rFonts w:ascii="Times New Roman" w:hAnsi="Times New Roman" w:cs="Times New Roman"/>
                <w:noProof/>
              </w:rPr>
              <w:t>Open Public Consultation</w:t>
            </w:r>
          </w:p>
        </w:tc>
        <w:tc>
          <w:tcPr>
            <w:tcW w:w="1510" w:type="dxa"/>
            <w:vAlign w:val="center"/>
          </w:tcPr>
          <w:p w:rsidR="00EA45F9" w:rsidRPr="009B5734" w:rsidRDefault="00EA45F9" w:rsidP="00981615">
            <w:pPr>
              <w:pStyle w:val="TableHeadingWhite"/>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9B5734">
              <w:rPr>
                <w:rFonts w:ascii="Times New Roman" w:hAnsi="Times New Roman" w:cs="Times New Roman"/>
                <w:noProof/>
              </w:rPr>
              <w:t>Targeted stakeholder consultations</w:t>
            </w:r>
          </w:p>
        </w:tc>
        <w:tc>
          <w:tcPr>
            <w:tcW w:w="1510" w:type="dxa"/>
            <w:vAlign w:val="center"/>
          </w:tcPr>
          <w:p w:rsidR="00EA45F9" w:rsidRPr="009B5734" w:rsidRDefault="00EA45F9" w:rsidP="00981615">
            <w:pPr>
              <w:pStyle w:val="TableHeadingWhite"/>
              <w:ind w:left="11"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9B5734">
              <w:rPr>
                <w:rFonts w:ascii="Times New Roman" w:hAnsi="Times New Roman" w:cs="Times New Roman"/>
                <w:noProof/>
              </w:rPr>
              <w:t>Industry survey</w:t>
            </w:r>
          </w:p>
        </w:tc>
        <w:tc>
          <w:tcPr>
            <w:tcW w:w="1511" w:type="dxa"/>
            <w:vAlign w:val="center"/>
          </w:tcPr>
          <w:p w:rsidR="00EA45F9" w:rsidRPr="009B5734" w:rsidRDefault="00EA45F9" w:rsidP="00981615">
            <w:pPr>
              <w:pStyle w:val="TableHeadingWhite"/>
              <w:ind w:left="33" w:hanging="3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9B5734">
              <w:rPr>
                <w:rFonts w:ascii="Times New Roman" w:hAnsi="Times New Roman" w:cs="Times New Roman"/>
                <w:noProof/>
              </w:rPr>
              <w:t>Consumer survey</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660" w:type="dxa"/>
          </w:tcPr>
          <w:p w:rsidR="00EA45F9" w:rsidRPr="009B5734" w:rsidRDefault="00EA45F9" w:rsidP="00981615">
            <w:pPr>
              <w:pStyle w:val="TableTextNoSpace"/>
              <w:ind w:left="0" w:firstLine="0"/>
              <w:rPr>
                <w:rFonts w:ascii="Times New Roman" w:hAnsi="Times New Roman"/>
                <w:noProof/>
                <w:sz w:val="22"/>
                <w:szCs w:val="22"/>
              </w:rPr>
            </w:pPr>
            <w:r w:rsidRPr="009B5734">
              <w:rPr>
                <w:rFonts w:ascii="Times New Roman" w:hAnsi="Times New Roman"/>
                <w:noProof/>
                <w:sz w:val="22"/>
                <w:szCs w:val="22"/>
              </w:rPr>
              <w:t>Business associations</w:t>
            </w:r>
          </w:p>
        </w:tc>
        <w:tc>
          <w:tcPr>
            <w:tcW w:w="1510" w:type="dxa"/>
          </w:tcPr>
          <w:p w:rsidR="00EA45F9" w:rsidRPr="009B5734" w:rsidRDefault="00EA45F9" w:rsidP="00981615">
            <w:pPr>
              <w:pStyle w:val="TableTextNoSpace"/>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23</w:t>
            </w:r>
          </w:p>
        </w:tc>
        <w:tc>
          <w:tcPr>
            <w:tcW w:w="1510" w:type="dxa"/>
          </w:tcPr>
          <w:p w:rsidR="00EA45F9" w:rsidRPr="009B5734" w:rsidRDefault="00EA45F9" w:rsidP="00981615">
            <w:pPr>
              <w:pStyle w:val="TableTextNoSpace"/>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85</w:t>
            </w:r>
          </w:p>
        </w:tc>
        <w:tc>
          <w:tcPr>
            <w:tcW w:w="1510" w:type="dxa"/>
          </w:tcPr>
          <w:p w:rsidR="00EA45F9" w:rsidRPr="009B5734" w:rsidRDefault="00EA45F9" w:rsidP="00981615">
            <w:pPr>
              <w:pStyle w:val="TableTextNoSpace"/>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21</w:t>
            </w:r>
          </w:p>
        </w:tc>
        <w:tc>
          <w:tcPr>
            <w:tcW w:w="1510" w:type="dxa"/>
          </w:tcPr>
          <w:p w:rsidR="00EA45F9" w:rsidRPr="009B5734" w:rsidRDefault="00EA45F9" w:rsidP="00981615">
            <w:pPr>
              <w:pStyle w:val="TableTextNoSpace"/>
              <w:ind w:left="11"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w:t>
            </w:r>
          </w:p>
        </w:tc>
        <w:tc>
          <w:tcPr>
            <w:tcW w:w="1511" w:type="dxa"/>
          </w:tcPr>
          <w:p w:rsidR="00EA45F9" w:rsidRPr="009B5734" w:rsidRDefault="00EA45F9" w:rsidP="00981615">
            <w:pPr>
              <w:pStyle w:val="TableTextNoSpace"/>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w:t>
            </w:r>
          </w:p>
        </w:tc>
      </w:tr>
      <w:tr w:rsidR="00EA45F9" w:rsidRPr="009B5734" w:rsidTr="00C84A99">
        <w:trPr>
          <w:trHeight w:val="234"/>
        </w:trPr>
        <w:tc>
          <w:tcPr>
            <w:cnfStyle w:val="001000000000" w:firstRow="0" w:lastRow="0" w:firstColumn="1" w:lastColumn="0" w:oddVBand="0" w:evenVBand="0" w:oddHBand="0" w:evenHBand="0" w:firstRowFirstColumn="0" w:firstRowLastColumn="0" w:lastRowFirstColumn="0" w:lastRowLastColumn="0"/>
            <w:tcW w:w="2660" w:type="dxa"/>
          </w:tcPr>
          <w:p w:rsidR="00EA45F9" w:rsidRPr="009B5734" w:rsidRDefault="00EA45F9" w:rsidP="00981615">
            <w:pPr>
              <w:pStyle w:val="TableTextNoSpace"/>
              <w:ind w:left="0" w:firstLine="0"/>
              <w:rPr>
                <w:rFonts w:ascii="Times New Roman" w:hAnsi="Times New Roman"/>
                <w:noProof/>
                <w:sz w:val="22"/>
                <w:szCs w:val="22"/>
              </w:rPr>
            </w:pPr>
            <w:r w:rsidRPr="009B5734">
              <w:rPr>
                <w:rFonts w:ascii="Times New Roman" w:hAnsi="Times New Roman"/>
                <w:noProof/>
                <w:sz w:val="22"/>
                <w:szCs w:val="22"/>
              </w:rPr>
              <w:t>Companies</w:t>
            </w:r>
          </w:p>
        </w:tc>
        <w:tc>
          <w:tcPr>
            <w:tcW w:w="1510" w:type="dxa"/>
          </w:tcPr>
          <w:p w:rsidR="00EA45F9" w:rsidRPr="009B5734" w:rsidRDefault="00EA45F9" w:rsidP="00981615">
            <w:pPr>
              <w:pStyle w:val="TableTextNoSpace"/>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17</w:t>
            </w:r>
          </w:p>
        </w:tc>
        <w:tc>
          <w:tcPr>
            <w:tcW w:w="1510" w:type="dxa"/>
          </w:tcPr>
          <w:p w:rsidR="00EA45F9" w:rsidRPr="009B5734" w:rsidRDefault="00EA45F9" w:rsidP="00981615">
            <w:pPr>
              <w:pStyle w:val="TableTextNoSpace"/>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48</w:t>
            </w:r>
          </w:p>
        </w:tc>
        <w:tc>
          <w:tcPr>
            <w:tcW w:w="1510" w:type="dxa"/>
          </w:tcPr>
          <w:p w:rsidR="00EA45F9" w:rsidRPr="009B5734" w:rsidRDefault="00EA45F9" w:rsidP="00981615">
            <w:pPr>
              <w:pStyle w:val="TableTextNoSpace"/>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w:t>
            </w:r>
          </w:p>
        </w:tc>
        <w:tc>
          <w:tcPr>
            <w:tcW w:w="1510" w:type="dxa"/>
          </w:tcPr>
          <w:p w:rsidR="00EA45F9" w:rsidRPr="009B5734" w:rsidRDefault="00EA45F9" w:rsidP="00981615">
            <w:pPr>
              <w:pStyle w:val="TableTextNoSpace"/>
              <w:ind w:left="11"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174</w:t>
            </w:r>
            <w:r w:rsidRPr="009B5734">
              <w:rPr>
                <w:rStyle w:val="FootnoteReference"/>
                <w:rFonts w:ascii="Times New Roman" w:hAnsi="Times New Roman"/>
                <w:noProof/>
                <w:sz w:val="22"/>
                <w:szCs w:val="22"/>
              </w:rPr>
              <w:footnoteReference w:id="129"/>
            </w:r>
          </w:p>
        </w:tc>
        <w:tc>
          <w:tcPr>
            <w:tcW w:w="1511" w:type="dxa"/>
          </w:tcPr>
          <w:p w:rsidR="00EA45F9" w:rsidRPr="009B5734" w:rsidRDefault="00EA45F9" w:rsidP="00981615">
            <w:pPr>
              <w:pStyle w:val="TableTextNoSpace"/>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60" w:type="dxa"/>
          </w:tcPr>
          <w:p w:rsidR="00EA45F9" w:rsidRPr="009B5734" w:rsidRDefault="00EA45F9" w:rsidP="00981615">
            <w:pPr>
              <w:pStyle w:val="TableTextNoSpace"/>
              <w:ind w:left="0" w:firstLine="0"/>
              <w:rPr>
                <w:rFonts w:ascii="Times New Roman" w:hAnsi="Times New Roman"/>
                <w:noProof/>
                <w:sz w:val="22"/>
                <w:szCs w:val="22"/>
              </w:rPr>
            </w:pPr>
            <w:r w:rsidRPr="009B5734">
              <w:rPr>
                <w:rFonts w:ascii="Times New Roman" w:hAnsi="Times New Roman"/>
                <w:noProof/>
                <w:sz w:val="22"/>
                <w:szCs w:val="22"/>
              </w:rPr>
              <w:t>Consumer organisations</w:t>
            </w:r>
          </w:p>
        </w:tc>
        <w:tc>
          <w:tcPr>
            <w:tcW w:w="1510" w:type="dxa"/>
          </w:tcPr>
          <w:p w:rsidR="00EA45F9" w:rsidRPr="009B5734" w:rsidRDefault="00EA45F9" w:rsidP="00981615">
            <w:pPr>
              <w:pStyle w:val="TableTextNoSpace"/>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3</w:t>
            </w:r>
          </w:p>
        </w:tc>
        <w:tc>
          <w:tcPr>
            <w:tcW w:w="1510" w:type="dxa"/>
          </w:tcPr>
          <w:p w:rsidR="00EA45F9" w:rsidRPr="009B5734" w:rsidRDefault="00EA45F9" w:rsidP="00981615">
            <w:pPr>
              <w:pStyle w:val="TableTextNoSpace"/>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20</w:t>
            </w:r>
          </w:p>
        </w:tc>
        <w:tc>
          <w:tcPr>
            <w:tcW w:w="1510" w:type="dxa"/>
          </w:tcPr>
          <w:p w:rsidR="00EA45F9" w:rsidRPr="009B5734" w:rsidRDefault="00EA45F9" w:rsidP="00981615">
            <w:pPr>
              <w:pStyle w:val="TableTextNoSpace"/>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21</w:t>
            </w:r>
          </w:p>
        </w:tc>
        <w:tc>
          <w:tcPr>
            <w:tcW w:w="1510" w:type="dxa"/>
          </w:tcPr>
          <w:p w:rsidR="00EA45F9" w:rsidRPr="009B5734" w:rsidRDefault="00EA45F9" w:rsidP="00981615">
            <w:pPr>
              <w:pStyle w:val="TableTextNoSpace"/>
              <w:ind w:left="11"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w:t>
            </w:r>
          </w:p>
        </w:tc>
        <w:tc>
          <w:tcPr>
            <w:tcW w:w="1511" w:type="dxa"/>
          </w:tcPr>
          <w:p w:rsidR="00EA45F9" w:rsidRPr="009B5734" w:rsidRDefault="00EA45F9" w:rsidP="00981615">
            <w:pPr>
              <w:pStyle w:val="TableTextNoSpace"/>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w:t>
            </w:r>
          </w:p>
        </w:tc>
      </w:tr>
      <w:tr w:rsidR="00EA45F9" w:rsidRPr="009B5734" w:rsidTr="00C84A99">
        <w:trPr>
          <w:trHeight w:val="220"/>
        </w:trPr>
        <w:tc>
          <w:tcPr>
            <w:cnfStyle w:val="001000000000" w:firstRow="0" w:lastRow="0" w:firstColumn="1" w:lastColumn="0" w:oddVBand="0" w:evenVBand="0" w:oddHBand="0" w:evenHBand="0" w:firstRowFirstColumn="0" w:firstRowLastColumn="0" w:lastRowFirstColumn="0" w:lastRowLastColumn="0"/>
            <w:tcW w:w="2660" w:type="dxa"/>
          </w:tcPr>
          <w:p w:rsidR="00EA45F9" w:rsidRPr="009B5734" w:rsidRDefault="00EA45F9" w:rsidP="00981615">
            <w:pPr>
              <w:pStyle w:val="TableTextNoSpace"/>
              <w:ind w:left="0" w:firstLine="0"/>
              <w:rPr>
                <w:rFonts w:ascii="Times New Roman" w:hAnsi="Times New Roman"/>
                <w:noProof/>
                <w:sz w:val="22"/>
                <w:szCs w:val="22"/>
              </w:rPr>
            </w:pPr>
            <w:r w:rsidRPr="009B5734">
              <w:rPr>
                <w:rFonts w:ascii="Times New Roman" w:hAnsi="Times New Roman"/>
                <w:noProof/>
                <w:sz w:val="22"/>
                <w:szCs w:val="22"/>
              </w:rPr>
              <w:t>Public authorities</w:t>
            </w:r>
          </w:p>
        </w:tc>
        <w:tc>
          <w:tcPr>
            <w:tcW w:w="1510" w:type="dxa"/>
          </w:tcPr>
          <w:p w:rsidR="00EA45F9" w:rsidRPr="009B5734" w:rsidRDefault="00EA45F9" w:rsidP="00981615">
            <w:pPr>
              <w:pStyle w:val="TableTextNoSpace"/>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5</w:t>
            </w:r>
          </w:p>
        </w:tc>
        <w:tc>
          <w:tcPr>
            <w:tcW w:w="1510" w:type="dxa"/>
          </w:tcPr>
          <w:p w:rsidR="00EA45F9" w:rsidRPr="009B5734" w:rsidRDefault="00EA45F9" w:rsidP="00981615">
            <w:pPr>
              <w:pStyle w:val="TableTextNoSpace"/>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37</w:t>
            </w:r>
          </w:p>
        </w:tc>
        <w:tc>
          <w:tcPr>
            <w:tcW w:w="1510" w:type="dxa"/>
          </w:tcPr>
          <w:p w:rsidR="00EA45F9" w:rsidRPr="009B5734" w:rsidRDefault="00EA45F9" w:rsidP="00981615">
            <w:pPr>
              <w:pStyle w:val="TableTextNoSpace"/>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47</w:t>
            </w:r>
          </w:p>
        </w:tc>
        <w:tc>
          <w:tcPr>
            <w:tcW w:w="1510" w:type="dxa"/>
          </w:tcPr>
          <w:p w:rsidR="00EA45F9" w:rsidRPr="009B5734" w:rsidRDefault="00EA45F9" w:rsidP="00981615">
            <w:pPr>
              <w:pStyle w:val="TableTextNoSpace"/>
              <w:ind w:left="11"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w:t>
            </w:r>
          </w:p>
        </w:tc>
        <w:tc>
          <w:tcPr>
            <w:tcW w:w="1511" w:type="dxa"/>
          </w:tcPr>
          <w:p w:rsidR="00EA45F9" w:rsidRPr="009B5734" w:rsidRDefault="00EA45F9" w:rsidP="00981615">
            <w:pPr>
              <w:pStyle w:val="TableTextNoSpace"/>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660" w:type="dxa"/>
          </w:tcPr>
          <w:p w:rsidR="00EA45F9" w:rsidRPr="009B5734" w:rsidRDefault="00EA45F9" w:rsidP="00981615">
            <w:pPr>
              <w:pStyle w:val="TableTextNoSpace"/>
              <w:ind w:left="0" w:firstLine="0"/>
              <w:rPr>
                <w:rFonts w:ascii="Times New Roman" w:hAnsi="Times New Roman"/>
                <w:noProof/>
                <w:sz w:val="22"/>
                <w:szCs w:val="22"/>
              </w:rPr>
            </w:pPr>
            <w:r w:rsidRPr="009B5734">
              <w:rPr>
                <w:rFonts w:ascii="Times New Roman" w:hAnsi="Times New Roman"/>
                <w:noProof/>
                <w:sz w:val="22"/>
                <w:szCs w:val="22"/>
              </w:rPr>
              <w:t>EU citizens/consumers</w:t>
            </w:r>
          </w:p>
        </w:tc>
        <w:tc>
          <w:tcPr>
            <w:tcW w:w="1510" w:type="dxa"/>
          </w:tcPr>
          <w:p w:rsidR="00EA45F9" w:rsidRPr="009B5734" w:rsidRDefault="00EA45F9" w:rsidP="00981615">
            <w:pPr>
              <w:pStyle w:val="TableTextNoSpace"/>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3</w:t>
            </w:r>
          </w:p>
        </w:tc>
        <w:tc>
          <w:tcPr>
            <w:tcW w:w="1510" w:type="dxa"/>
          </w:tcPr>
          <w:p w:rsidR="00EA45F9" w:rsidRPr="009B5734" w:rsidRDefault="00EA45F9" w:rsidP="00981615">
            <w:pPr>
              <w:pStyle w:val="TableTextNoSpace"/>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74</w:t>
            </w:r>
          </w:p>
        </w:tc>
        <w:tc>
          <w:tcPr>
            <w:tcW w:w="1510" w:type="dxa"/>
          </w:tcPr>
          <w:p w:rsidR="00EA45F9" w:rsidRPr="009B5734" w:rsidRDefault="00EA45F9" w:rsidP="00981615">
            <w:pPr>
              <w:pStyle w:val="TableTextNoSpace"/>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w:t>
            </w:r>
          </w:p>
        </w:tc>
        <w:tc>
          <w:tcPr>
            <w:tcW w:w="1510" w:type="dxa"/>
          </w:tcPr>
          <w:p w:rsidR="00EA45F9" w:rsidRPr="009B5734" w:rsidRDefault="00EA45F9" w:rsidP="00981615">
            <w:pPr>
              <w:pStyle w:val="TableTextNoSpace"/>
              <w:ind w:left="11"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w:t>
            </w:r>
          </w:p>
        </w:tc>
        <w:tc>
          <w:tcPr>
            <w:tcW w:w="1511" w:type="dxa"/>
          </w:tcPr>
          <w:p w:rsidR="00EA45F9" w:rsidRPr="009B5734" w:rsidRDefault="00EA45F9" w:rsidP="00981615">
            <w:pPr>
              <w:pStyle w:val="TableTextNoSpace"/>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11 805</w:t>
            </w:r>
          </w:p>
        </w:tc>
      </w:tr>
      <w:tr w:rsidR="00EA45F9" w:rsidRPr="009B5734" w:rsidTr="00C84A99">
        <w:trPr>
          <w:trHeight w:val="442"/>
        </w:trPr>
        <w:tc>
          <w:tcPr>
            <w:cnfStyle w:val="001000000000" w:firstRow="0" w:lastRow="0" w:firstColumn="1" w:lastColumn="0" w:oddVBand="0" w:evenVBand="0" w:oddHBand="0" w:evenHBand="0" w:firstRowFirstColumn="0" w:firstRowLastColumn="0" w:lastRowFirstColumn="0" w:lastRowLastColumn="0"/>
            <w:tcW w:w="2660" w:type="dxa"/>
          </w:tcPr>
          <w:p w:rsidR="00EA45F9" w:rsidRPr="009B5734" w:rsidRDefault="00EA45F9" w:rsidP="00981615">
            <w:pPr>
              <w:pStyle w:val="TableTextNoSpace"/>
              <w:ind w:left="0" w:firstLine="0"/>
              <w:rPr>
                <w:rFonts w:ascii="Times New Roman" w:hAnsi="Times New Roman"/>
                <w:noProof/>
                <w:sz w:val="22"/>
                <w:szCs w:val="22"/>
              </w:rPr>
            </w:pPr>
            <w:r w:rsidRPr="009B5734">
              <w:rPr>
                <w:rFonts w:ascii="Times New Roman" w:hAnsi="Times New Roman"/>
                <w:noProof/>
                <w:sz w:val="22"/>
                <w:szCs w:val="22"/>
              </w:rPr>
              <w:t>Academic/research institutions</w:t>
            </w:r>
          </w:p>
        </w:tc>
        <w:tc>
          <w:tcPr>
            <w:tcW w:w="1510" w:type="dxa"/>
          </w:tcPr>
          <w:p w:rsidR="00EA45F9" w:rsidRPr="009B5734" w:rsidRDefault="00EA45F9" w:rsidP="00981615">
            <w:pPr>
              <w:pStyle w:val="TableTextNoSpace"/>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2</w:t>
            </w:r>
          </w:p>
        </w:tc>
        <w:tc>
          <w:tcPr>
            <w:tcW w:w="1510" w:type="dxa"/>
          </w:tcPr>
          <w:p w:rsidR="00EA45F9" w:rsidRPr="009B5734" w:rsidRDefault="00EA45F9" w:rsidP="00981615">
            <w:pPr>
              <w:pStyle w:val="TableTextNoSpace"/>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9</w:t>
            </w:r>
          </w:p>
        </w:tc>
        <w:tc>
          <w:tcPr>
            <w:tcW w:w="1510" w:type="dxa"/>
          </w:tcPr>
          <w:p w:rsidR="00EA45F9" w:rsidRPr="009B5734" w:rsidRDefault="00EA45F9" w:rsidP="00981615">
            <w:pPr>
              <w:pStyle w:val="TableTextNoSpace"/>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w:t>
            </w:r>
          </w:p>
        </w:tc>
        <w:tc>
          <w:tcPr>
            <w:tcW w:w="1510" w:type="dxa"/>
          </w:tcPr>
          <w:p w:rsidR="00EA45F9" w:rsidRPr="009B5734" w:rsidRDefault="00EA45F9" w:rsidP="00981615">
            <w:pPr>
              <w:pStyle w:val="TableTextNoSpace"/>
              <w:ind w:left="11"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w:t>
            </w:r>
          </w:p>
        </w:tc>
        <w:tc>
          <w:tcPr>
            <w:tcW w:w="1511" w:type="dxa"/>
          </w:tcPr>
          <w:p w:rsidR="00EA45F9" w:rsidRPr="009B5734" w:rsidRDefault="00EA45F9" w:rsidP="00981615">
            <w:pPr>
              <w:pStyle w:val="TableTextNoSpace"/>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660" w:type="dxa"/>
          </w:tcPr>
          <w:p w:rsidR="00EA45F9" w:rsidRPr="009B5734" w:rsidRDefault="00EA45F9" w:rsidP="00981615">
            <w:pPr>
              <w:pStyle w:val="TableTextNoSpace"/>
              <w:ind w:left="0" w:firstLine="0"/>
              <w:rPr>
                <w:rFonts w:ascii="Times New Roman" w:hAnsi="Times New Roman"/>
                <w:noProof/>
                <w:sz w:val="22"/>
                <w:szCs w:val="22"/>
              </w:rPr>
            </w:pPr>
            <w:r w:rsidRPr="009B5734">
              <w:rPr>
                <w:rFonts w:ascii="Times New Roman" w:hAnsi="Times New Roman"/>
                <w:noProof/>
                <w:sz w:val="22"/>
                <w:szCs w:val="22"/>
              </w:rPr>
              <w:t>NGOs</w:t>
            </w:r>
          </w:p>
        </w:tc>
        <w:tc>
          <w:tcPr>
            <w:tcW w:w="1510" w:type="dxa"/>
          </w:tcPr>
          <w:p w:rsidR="00EA45F9" w:rsidRPr="009B5734" w:rsidRDefault="00EA45F9" w:rsidP="00981615">
            <w:pPr>
              <w:pStyle w:val="TableTextNoSpace"/>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21</w:t>
            </w:r>
          </w:p>
        </w:tc>
        <w:tc>
          <w:tcPr>
            <w:tcW w:w="1510" w:type="dxa"/>
          </w:tcPr>
          <w:p w:rsidR="00EA45F9" w:rsidRPr="009B5734" w:rsidRDefault="00EA45F9" w:rsidP="00981615">
            <w:pPr>
              <w:pStyle w:val="TableTextNoSpace"/>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28</w:t>
            </w:r>
          </w:p>
        </w:tc>
        <w:tc>
          <w:tcPr>
            <w:tcW w:w="1510" w:type="dxa"/>
          </w:tcPr>
          <w:p w:rsidR="00EA45F9" w:rsidRPr="009B5734" w:rsidRDefault="00EA45F9" w:rsidP="00981615">
            <w:pPr>
              <w:pStyle w:val="TableTextNoSpace"/>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12</w:t>
            </w:r>
          </w:p>
        </w:tc>
        <w:tc>
          <w:tcPr>
            <w:tcW w:w="1510" w:type="dxa"/>
          </w:tcPr>
          <w:p w:rsidR="00EA45F9" w:rsidRPr="009B5734" w:rsidRDefault="00EA45F9" w:rsidP="00981615">
            <w:pPr>
              <w:pStyle w:val="TableTextNoSpace"/>
              <w:ind w:left="11"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w:t>
            </w:r>
          </w:p>
        </w:tc>
        <w:tc>
          <w:tcPr>
            <w:tcW w:w="1511" w:type="dxa"/>
          </w:tcPr>
          <w:p w:rsidR="00EA45F9" w:rsidRPr="009B5734" w:rsidRDefault="00EA45F9" w:rsidP="00981615">
            <w:pPr>
              <w:pStyle w:val="TableTextNoSpace"/>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w:t>
            </w:r>
          </w:p>
        </w:tc>
      </w:tr>
      <w:tr w:rsidR="00EA45F9" w:rsidRPr="009B5734" w:rsidTr="00C84A99">
        <w:trPr>
          <w:trHeight w:val="454"/>
        </w:trPr>
        <w:tc>
          <w:tcPr>
            <w:cnfStyle w:val="001000000000" w:firstRow="0" w:lastRow="0" w:firstColumn="1" w:lastColumn="0" w:oddVBand="0" w:evenVBand="0" w:oddHBand="0" w:evenHBand="0" w:firstRowFirstColumn="0" w:firstRowLastColumn="0" w:lastRowFirstColumn="0" w:lastRowLastColumn="0"/>
            <w:tcW w:w="2660" w:type="dxa"/>
          </w:tcPr>
          <w:p w:rsidR="00EA45F9" w:rsidRPr="009B5734" w:rsidRDefault="00EA45F9" w:rsidP="00981615">
            <w:pPr>
              <w:pStyle w:val="TableTextNoSpace"/>
              <w:ind w:left="0" w:firstLine="0"/>
              <w:rPr>
                <w:rFonts w:ascii="Times New Roman" w:hAnsi="Times New Roman"/>
                <w:noProof/>
                <w:sz w:val="22"/>
                <w:szCs w:val="22"/>
              </w:rPr>
            </w:pPr>
            <w:r w:rsidRPr="009B5734">
              <w:rPr>
                <w:rFonts w:ascii="Times New Roman" w:hAnsi="Times New Roman"/>
                <w:noProof/>
                <w:sz w:val="22"/>
                <w:szCs w:val="22"/>
              </w:rPr>
              <w:t>Environmental organisations</w:t>
            </w:r>
          </w:p>
        </w:tc>
        <w:tc>
          <w:tcPr>
            <w:tcW w:w="1510" w:type="dxa"/>
          </w:tcPr>
          <w:p w:rsidR="00EA45F9" w:rsidRPr="009B5734" w:rsidRDefault="00EA45F9" w:rsidP="00981615">
            <w:pPr>
              <w:pStyle w:val="TableTextNoSpace"/>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2</w:t>
            </w:r>
          </w:p>
        </w:tc>
        <w:tc>
          <w:tcPr>
            <w:tcW w:w="1510" w:type="dxa"/>
          </w:tcPr>
          <w:p w:rsidR="00EA45F9" w:rsidRPr="009B5734" w:rsidRDefault="00EA45F9" w:rsidP="00981615">
            <w:pPr>
              <w:pStyle w:val="TableTextNoSpace"/>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w:t>
            </w:r>
          </w:p>
        </w:tc>
        <w:tc>
          <w:tcPr>
            <w:tcW w:w="1510" w:type="dxa"/>
          </w:tcPr>
          <w:p w:rsidR="00EA45F9" w:rsidRPr="009B5734" w:rsidRDefault="00EA45F9" w:rsidP="00981615">
            <w:pPr>
              <w:pStyle w:val="TableTextNoSpace"/>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w:t>
            </w:r>
          </w:p>
        </w:tc>
        <w:tc>
          <w:tcPr>
            <w:tcW w:w="1510" w:type="dxa"/>
          </w:tcPr>
          <w:p w:rsidR="00EA45F9" w:rsidRPr="009B5734" w:rsidRDefault="00EA45F9" w:rsidP="00981615">
            <w:pPr>
              <w:pStyle w:val="TableTextNoSpace"/>
              <w:ind w:left="11"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w:t>
            </w:r>
          </w:p>
        </w:tc>
        <w:tc>
          <w:tcPr>
            <w:tcW w:w="1511" w:type="dxa"/>
          </w:tcPr>
          <w:p w:rsidR="00EA45F9" w:rsidRPr="009B5734" w:rsidRDefault="00EA45F9" w:rsidP="00981615">
            <w:pPr>
              <w:pStyle w:val="TableTextNoSpace"/>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660" w:type="dxa"/>
          </w:tcPr>
          <w:p w:rsidR="00EA45F9" w:rsidRPr="009B5734" w:rsidRDefault="00EA45F9" w:rsidP="00981615">
            <w:pPr>
              <w:pStyle w:val="TableTextNoSpace"/>
              <w:ind w:left="0" w:firstLine="0"/>
              <w:rPr>
                <w:rFonts w:ascii="Times New Roman" w:hAnsi="Times New Roman"/>
                <w:noProof/>
                <w:sz w:val="22"/>
                <w:szCs w:val="22"/>
              </w:rPr>
            </w:pPr>
            <w:r w:rsidRPr="009B5734">
              <w:rPr>
                <w:rFonts w:ascii="Times New Roman" w:hAnsi="Times New Roman"/>
                <w:noProof/>
                <w:sz w:val="22"/>
                <w:szCs w:val="22"/>
              </w:rPr>
              <w:t>Other</w:t>
            </w:r>
          </w:p>
        </w:tc>
        <w:tc>
          <w:tcPr>
            <w:tcW w:w="1510" w:type="dxa"/>
          </w:tcPr>
          <w:p w:rsidR="00EA45F9" w:rsidRPr="009B5734" w:rsidRDefault="00EA45F9" w:rsidP="00981615">
            <w:pPr>
              <w:pStyle w:val="TableTextNoSpace"/>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3</w:t>
            </w:r>
          </w:p>
        </w:tc>
        <w:tc>
          <w:tcPr>
            <w:tcW w:w="1510" w:type="dxa"/>
          </w:tcPr>
          <w:p w:rsidR="00EA45F9" w:rsidRPr="009B5734" w:rsidRDefault="00EA45F9" w:rsidP="00981615">
            <w:pPr>
              <w:pStyle w:val="TableTextNoSpace"/>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14</w:t>
            </w:r>
            <w:r w:rsidRPr="009B5734">
              <w:rPr>
                <w:rStyle w:val="FootnoteReference"/>
                <w:rFonts w:ascii="Times New Roman" w:hAnsi="Times New Roman"/>
                <w:noProof/>
                <w:szCs w:val="22"/>
              </w:rPr>
              <w:footnoteReference w:id="130"/>
            </w:r>
          </w:p>
        </w:tc>
        <w:tc>
          <w:tcPr>
            <w:tcW w:w="1510" w:type="dxa"/>
          </w:tcPr>
          <w:p w:rsidR="00EA45F9" w:rsidRPr="009B5734" w:rsidRDefault="00EA45F9" w:rsidP="00981615">
            <w:pPr>
              <w:pStyle w:val="TableTextNoSpace"/>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18</w:t>
            </w:r>
            <w:r w:rsidRPr="009B5734">
              <w:rPr>
                <w:rStyle w:val="FootnoteReference"/>
                <w:rFonts w:ascii="Times New Roman" w:hAnsi="Times New Roman"/>
                <w:noProof/>
                <w:sz w:val="22"/>
                <w:szCs w:val="22"/>
              </w:rPr>
              <w:footnoteReference w:id="131"/>
            </w:r>
          </w:p>
        </w:tc>
        <w:tc>
          <w:tcPr>
            <w:tcW w:w="1510" w:type="dxa"/>
          </w:tcPr>
          <w:p w:rsidR="00EA45F9" w:rsidRPr="009B5734" w:rsidRDefault="00EA45F9" w:rsidP="00981615">
            <w:pPr>
              <w:pStyle w:val="TableTextNoSpace"/>
              <w:ind w:left="11"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w:t>
            </w:r>
          </w:p>
        </w:tc>
        <w:tc>
          <w:tcPr>
            <w:tcW w:w="1511" w:type="dxa"/>
          </w:tcPr>
          <w:p w:rsidR="00EA45F9" w:rsidRPr="009B5734" w:rsidRDefault="00EA45F9" w:rsidP="00981615">
            <w:pPr>
              <w:pStyle w:val="TableTextNoSpace"/>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rPr>
            </w:pPr>
            <w:r w:rsidRPr="009B5734">
              <w:rPr>
                <w:rFonts w:ascii="Times New Roman" w:hAnsi="Times New Roman"/>
                <w:noProof/>
                <w:sz w:val="22"/>
                <w:szCs w:val="22"/>
              </w:rPr>
              <w:t>-</w:t>
            </w:r>
          </w:p>
        </w:tc>
      </w:tr>
      <w:tr w:rsidR="00EA45F9" w:rsidRPr="009B5734" w:rsidTr="00C84A99">
        <w:trPr>
          <w:trHeight w:val="220"/>
        </w:trPr>
        <w:tc>
          <w:tcPr>
            <w:cnfStyle w:val="001000000000" w:firstRow="0" w:lastRow="0" w:firstColumn="1" w:lastColumn="0" w:oddVBand="0" w:evenVBand="0" w:oddHBand="0" w:evenHBand="0" w:firstRowFirstColumn="0" w:firstRowLastColumn="0" w:lastRowFirstColumn="0" w:lastRowLastColumn="0"/>
            <w:tcW w:w="2660" w:type="dxa"/>
          </w:tcPr>
          <w:p w:rsidR="00EA45F9" w:rsidRPr="009B5734" w:rsidRDefault="00EA45F9" w:rsidP="00981615">
            <w:pPr>
              <w:pStyle w:val="TableTextNoSpace"/>
              <w:ind w:left="0" w:firstLine="0"/>
              <w:rPr>
                <w:rFonts w:ascii="Times New Roman" w:hAnsi="Times New Roman"/>
                <w:b w:val="0"/>
                <w:bCs w:val="0"/>
                <w:noProof/>
                <w:sz w:val="22"/>
                <w:szCs w:val="22"/>
              </w:rPr>
            </w:pPr>
            <w:r w:rsidRPr="009B5734">
              <w:rPr>
                <w:rFonts w:ascii="Times New Roman" w:hAnsi="Times New Roman"/>
                <w:noProof/>
                <w:sz w:val="22"/>
                <w:szCs w:val="22"/>
              </w:rPr>
              <w:t>Total</w:t>
            </w:r>
          </w:p>
        </w:tc>
        <w:tc>
          <w:tcPr>
            <w:tcW w:w="1510" w:type="dxa"/>
          </w:tcPr>
          <w:p w:rsidR="00EA45F9" w:rsidRPr="009B5734" w:rsidRDefault="00EA45F9" w:rsidP="00981615">
            <w:pPr>
              <w:pStyle w:val="TableTextNoSpace"/>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sz w:val="22"/>
                <w:szCs w:val="22"/>
              </w:rPr>
            </w:pPr>
            <w:r w:rsidRPr="009B5734">
              <w:rPr>
                <w:rFonts w:ascii="Times New Roman" w:hAnsi="Times New Roman"/>
                <w:b/>
                <w:bCs/>
                <w:noProof/>
                <w:sz w:val="22"/>
                <w:szCs w:val="22"/>
              </w:rPr>
              <w:t>77</w:t>
            </w:r>
          </w:p>
        </w:tc>
        <w:tc>
          <w:tcPr>
            <w:tcW w:w="1510" w:type="dxa"/>
          </w:tcPr>
          <w:p w:rsidR="00EA45F9" w:rsidRPr="009B5734" w:rsidRDefault="00EA45F9" w:rsidP="00981615">
            <w:pPr>
              <w:pStyle w:val="TableTextNoSpace"/>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sz w:val="22"/>
                <w:szCs w:val="22"/>
              </w:rPr>
            </w:pPr>
            <w:r w:rsidRPr="009B5734">
              <w:rPr>
                <w:rFonts w:ascii="Times New Roman" w:hAnsi="Times New Roman"/>
                <w:b/>
                <w:bCs/>
                <w:noProof/>
                <w:sz w:val="22"/>
                <w:szCs w:val="22"/>
              </w:rPr>
              <w:t>315</w:t>
            </w:r>
          </w:p>
        </w:tc>
        <w:tc>
          <w:tcPr>
            <w:tcW w:w="1510" w:type="dxa"/>
          </w:tcPr>
          <w:p w:rsidR="00EA45F9" w:rsidRPr="009B5734" w:rsidRDefault="00EA45F9" w:rsidP="00981615">
            <w:pPr>
              <w:pStyle w:val="TableTextNoSpace"/>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sz w:val="22"/>
                <w:szCs w:val="22"/>
              </w:rPr>
            </w:pPr>
            <w:r w:rsidRPr="009B5734">
              <w:rPr>
                <w:rFonts w:ascii="Times New Roman" w:hAnsi="Times New Roman"/>
                <w:b/>
                <w:bCs/>
                <w:noProof/>
                <w:sz w:val="22"/>
                <w:szCs w:val="22"/>
              </w:rPr>
              <w:t>119</w:t>
            </w:r>
          </w:p>
        </w:tc>
        <w:tc>
          <w:tcPr>
            <w:tcW w:w="1510" w:type="dxa"/>
          </w:tcPr>
          <w:p w:rsidR="00EA45F9" w:rsidRPr="009B5734" w:rsidRDefault="00EA45F9" w:rsidP="00981615">
            <w:pPr>
              <w:pStyle w:val="TableTextNoSpace"/>
              <w:ind w:left="11"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sz w:val="22"/>
                <w:szCs w:val="22"/>
              </w:rPr>
            </w:pPr>
            <w:r w:rsidRPr="009B5734">
              <w:rPr>
                <w:rFonts w:ascii="Times New Roman" w:hAnsi="Times New Roman"/>
                <w:b/>
                <w:bCs/>
                <w:noProof/>
                <w:sz w:val="22"/>
                <w:szCs w:val="22"/>
              </w:rPr>
              <w:t>174</w:t>
            </w:r>
          </w:p>
        </w:tc>
        <w:tc>
          <w:tcPr>
            <w:tcW w:w="1511" w:type="dxa"/>
          </w:tcPr>
          <w:p w:rsidR="00EA45F9" w:rsidRPr="009B5734" w:rsidRDefault="00EA45F9" w:rsidP="00981615">
            <w:pPr>
              <w:pStyle w:val="TableTextNoSpace"/>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sz w:val="22"/>
                <w:szCs w:val="22"/>
              </w:rPr>
            </w:pPr>
            <w:r w:rsidRPr="009B5734">
              <w:rPr>
                <w:rFonts w:ascii="Times New Roman" w:hAnsi="Times New Roman"/>
                <w:b/>
                <w:bCs/>
                <w:noProof/>
                <w:sz w:val="22"/>
                <w:szCs w:val="22"/>
              </w:rPr>
              <w:t>11 805</w:t>
            </w:r>
          </w:p>
        </w:tc>
      </w:tr>
    </w:tbl>
    <w:p w:rsidR="00EA45F9" w:rsidRPr="009B5734" w:rsidRDefault="00EA45F9" w:rsidP="00EA45F9">
      <w:pPr>
        <w:ind w:left="0" w:firstLine="0"/>
        <w:rPr>
          <w:rFonts w:ascii="Times New Roman" w:hAnsi="Times New Roman" w:cs="Times New Roman"/>
          <w:noProof/>
          <w:color w:val="000000" w:themeColor="text1"/>
          <w:sz w:val="24"/>
          <w:szCs w:val="24"/>
        </w:rPr>
      </w:pPr>
      <w:r w:rsidRPr="009B5734">
        <w:rPr>
          <w:rFonts w:ascii="Times New Roman" w:hAnsi="Times New Roman" w:cs="Times New Roman"/>
          <w:noProof/>
          <w:color w:val="000000" w:themeColor="text1"/>
          <w:sz w:val="24"/>
          <w:szCs w:val="24"/>
        </w:rPr>
        <w:t xml:space="preserve">The main consultation activities that were conducted were as follows: </w:t>
      </w:r>
    </w:p>
    <w:p w:rsidR="00EA45F9" w:rsidRPr="009B5734" w:rsidRDefault="00EA45F9" w:rsidP="00EA45F9">
      <w:pPr>
        <w:numPr>
          <w:ilvl w:val="0"/>
          <w:numId w:val="128"/>
        </w:numPr>
        <w:rPr>
          <w:rFonts w:ascii="Times New Roman" w:hAnsi="Times New Roman" w:cs="Times New Roman"/>
          <w:noProof/>
          <w:color w:val="000000" w:themeColor="text1"/>
          <w:sz w:val="24"/>
          <w:szCs w:val="24"/>
        </w:rPr>
      </w:pPr>
      <w:r w:rsidRPr="009B5734">
        <w:rPr>
          <w:rFonts w:ascii="Times New Roman" w:hAnsi="Times New Roman" w:cs="Times New Roman"/>
          <w:noProof/>
          <w:color w:val="000000" w:themeColor="text1"/>
          <w:sz w:val="24"/>
          <w:szCs w:val="24"/>
        </w:rPr>
        <w:t xml:space="preserve">A </w:t>
      </w:r>
      <w:r w:rsidRPr="009B5734">
        <w:rPr>
          <w:rFonts w:ascii="Times New Roman" w:hAnsi="Times New Roman" w:cs="Times New Roman"/>
          <w:b/>
          <w:bCs/>
          <w:noProof/>
          <w:color w:val="000000" w:themeColor="text1"/>
          <w:sz w:val="24"/>
          <w:szCs w:val="24"/>
        </w:rPr>
        <w:t>consultation on the inception IA</w:t>
      </w:r>
      <w:r w:rsidRPr="009B5734">
        <w:rPr>
          <w:rFonts w:ascii="Times New Roman" w:hAnsi="Times New Roman" w:cs="Times New Roman"/>
          <w:noProof/>
          <w:color w:val="000000" w:themeColor="text1"/>
          <w:sz w:val="24"/>
          <w:szCs w:val="24"/>
        </w:rPr>
        <w:t xml:space="preserve">, which was carried out by the Commission between 23 June 2020 and 1 September 2020. The purpose of this exercise was to collect views from stakeholders on the Commission’s initially intended direction of the </w:t>
      </w:r>
      <w:r w:rsidR="3941B320" w:rsidRPr="009B5734">
        <w:rPr>
          <w:rFonts w:ascii="Times New Roman" w:hAnsi="Times New Roman" w:cs="Times New Roman"/>
          <w:noProof/>
          <w:color w:val="000000" w:themeColor="text1"/>
          <w:sz w:val="24"/>
          <w:szCs w:val="24"/>
        </w:rPr>
        <w:t>I</w:t>
      </w:r>
      <w:r w:rsidRPr="009B5734">
        <w:rPr>
          <w:rFonts w:ascii="Times New Roman" w:hAnsi="Times New Roman" w:cs="Times New Roman"/>
          <w:noProof/>
          <w:color w:val="000000" w:themeColor="text1"/>
          <w:sz w:val="24"/>
          <w:szCs w:val="24"/>
        </w:rPr>
        <w:t xml:space="preserve">mpact </w:t>
      </w:r>
      <w:r w:rsidR="1BDF3928" w:rsidRPr="009B5734">
        <w:rPr>
          <w:rFonts w:ascii="Times New Roman" w:hAnsi="Times New Roman" w:cs="Times New Roman"/>
          <w:noProof/>
          <w:color w:val="000000" w:themeColor="text1"/>
          <w:sz w:val="24"/>
          <w:szCs w:val="24"/>
        </w:rPr>
        <w:t>A</w:t>
      </w:r>
      <w:r w:rsidRPr="009B5734">
        <w:rPr>
          <w:rFonts w:ascii="Times New Roman" w:hAnsi="Times New Roman" w:cs="Times New Roman"/>
          <w:noProof/>
          <w:color w:val="000000" w:themeColor="text1"/>
          <w:sz w:val="24"/>
          <w:szCs w:val="24"/>
        </w:rPr>
        <w:t>ssessment. In all, 77 entities submitted their feedback.</w:t>
      </w:r>
    </w:p>
    <w:p w:rsidR="00EA45F9" w:rsidRPr="009B5734" w:rsidRDefault="00EA45F9" w:rsidP="00EA45F9">
      <w:pPr>
        <w:numPr>
          <w:ilvl w:val="0"/>
          <w:numId w:val="128"/>
        </w:numPr>
        <w:rPr>
          <w:rFonts w:ascii="Times New Roman" w:hAnsi="Times New Roman" w:cs="Times New Roman"/>
          <w:noProof/>
          <w:color w:val="000000" w:themeColor="text1"/>
          <w:sz w:val="24"/>
          <w:szCs w:val="24"/>
        </w:rPr>
      </w:pPr>
      <w:r w:rsidRPr="009B5734">
        <w:rPr>
          <w:rFonts w:ascii="Times New Roman" w:hAnsi="Times New Roman" w:cs="Times New Roman"/>
          <w:noProof/>
          <w:color w:val="000000" w:themeColor="text1"/>
          <w:sz w:val="24"/>
          <w:szCs w:val="24"/>
        </w:rPr>
        <w:t xml:space="preserve">An </w:t>
      </w:r>
      <w:r w:rsidRPr="009B5734">
        <w:rPr>
          <w:rFonts w:ascii="Times New Roman" w:hAnsi="Times New Roman" w:cs="Times New Roman"/>
          <w:b/>
          <w:noProof/>
          <w:color w:val="000000" w:themeColor="text1"/>
          <w:sz w:val="24"/>
          <w:szCs w:val="24"/>
        </w:rPr>
        <w:t>Open Public</w:t>
      </w:r>
      <w:r w:rsidRPr="009B5734">
        <w:rPr>
          <w:rFonts w:ascii="Times New Roman" w:hAnsi="Times New Roman" w:cs="Times New Roman"/>
          <w:b/>
          <w:bCs/>
          <w:noProof/>
          <w:color w:val="000000" w:themeColor="text1"/>
          <w:sz w:val="24"/>
          <w:szCs w:val="24"/>
        </w:rPr>
        <w:t xml:space="preserve"> Consultation (OPC)</w:t>
      </w:r>
      <w:r w:rsidRPr="009B5734">
        <w:rPr>
          <w:rFonts w:ascii="Times New Roman" w:hAnsi="Times New Roman" w:cs="Times New Roman"/>
          <w:noProof/>
          <w:color w:val="000000" w:themeColor="text1"/>
          <w:sz w:val="24"/>
          <w:szCs w:val="24"/>
        </w:rPr>
        <w:t xml:space="preserve"> that was open to all stakeholders and which included six main questions on the main obstacles and problems faced by consumers in the EU that prevents them from having a more active role in the green transition. The OPC was conducted by the Commission between 30 June 2020 and 6 October 2020. It received 315 responses.</w:t>
      </w:r>
      <w:r w:rsidRPr="009B5734">
        <w:rPr>
          <w:rFonts w:ascii="Times New Roman" w:hAnsi="Times New Roman" w:cs="Times New Roman"/>
          <w:noProof/>
          <w:color w:val="000000" w:themeColor="text1"/>
          <w:sz w:val="24"/>
          <w:szCs w:val="24"/>
          <w:vertAlign w:val="superscript"/>
        </w:rPr>
        <w:footnoteReference w:id="132"/>
      </w:r>
      <w:r w:rsidRPr="009B5734">
        <w:rPr>
          <w:rFonts w:ascii="Times New Roman" w:hAnsi="Times New Roman" w:cs="Times New Roman"/>
          <w:noProof/>
          <w:color w:val="000000" w:themeColor="text1"/>
          <w:sz w:val="24"/>
          <w:szCs w:val="24"/>
        </w:rPr>
        <w:t xml:space="preserve"> .</w:t>
      </w:r>
    </w:p>
    <w:p w:rsidR="00EA45F9" w:rsidRPr="009B5734" w:rsidRDefault="00EA45F9" w:rsidP="00EA45F9">
      <w:pPr>
        <w:numPr>
          <w:ilvl w:val="0"/>
          <w:numId w:val="128"/>
        </w:numPr>
        <w:rPr>
          <w:rFonts w:ascii="Times New Roman" w:hAnsi="Times New Roman" w:cs="Times New Roman"/>
          <w:noProof/>
          <w:color w:val="000000" w:themeColor="text1"/>
          <w:sz w:val="24"/>
          <w:szCs w:val="24"/>
        </w:rPr>
      </w:pPr>
      <w:r w:rsidRPr="009B5734">
        <w:rPr>
          <w:rFonts w:ascii="Times New Roman" w:hAnsi="Times New Roman" w:cs="Times New Roman"/>
          <w:b/>
          <w:bCs/>
          <w:noProof/>
          <w:color w:val="000000" w:themeColor="text1"/>
          <w:sz w:val="24"/>
          <w:szCs w:val="24"/>
        </w:rPr>
        <w:t>Targeted stakeholder consultations</w:t>
      </w:r>
      <w:r w:rsidRPr="009B5734">
        <w:rPr>
          <w:rFonts w:ascii="Times New Roman" w:hAnsi="Times New Roman" w:cs="Times New Roman"/>
          <w:noProof/>
          <w:color w:val="000000" w:themeColor="text1"/>
          <w:sz w:val="24"/>
          <w:szCs w:val="24"/>
        </w:rPr>
        <w:t>, consisting of interviews and surveys,</w:t>
      </w:r>
      <w:r w:rsidRPr="009B5734">
        <w:rPr>
          <w:rFonts w:ascii="Times New Roman" w:hAnsi="Times New Roman" w:cs="Times New Roman"/>
          <w:b/>
          <w:bCs/>
          <w:noProof/>
          <w:color w:val="000000" w:themeColor="text1"/>
          <w:sz w:val="24"/>
          <w:szCs w:val="24"/>
        </w:rPr>
        <w:t xml:space="preserve"> </w:t>
      </w:r>
      <w:r w:rsidRPr="009B5734">
        <w:rPr>
          <w:rFonts w:ascii="Times New Roman" w:hAnsi="Times New Roman" w:cs="Times New Roman"/>
          <w:noProof/>
          <w:color w:val="000000" w:themeColor="text1"/>
          <w:sz w:val="24"/>
          <w:szCs w:val="24"/>
        </w:rPr>
        <w:t>which were conducted with relevant EU and Member State level stakeholders between June and October 2020. Five targeted questionnaires</w:t>
      </w:r>
      <w:r w:rsidRPr="009B5734">
        <w:rPr>
          <w:rFonts w:ascii="Times New Roman" w:hAnsi="Times New Roman" w:cs="Times New Roman"/>
          <w:noProof/>
          <w:color w:val="000000" w:themeColor="text1"/>
          <w:sz w:val="24"/>
          <w:szCs w:val="24"/>
          <w:vertAlign w:val="superscript"/>
        </w:rPr>
        <w:footnoteReference w:id="133"/>
      </w:r>
      <w:r w:rsidRPr="009B5734">
        <w:rPr>
          <w:rFonts w:ascii="Times New Roman" w:hAnsi="Times New Roman" w:cs="Times New Roman"/>
          <w:noProof/>
          <w:color w:val="000000" w:themeColor="text1"/>
          <w:sz w:val="24"/>
          <w:szCs w:val="24"/>
        </w:rPr>
        <w:t xml:space="preserve"> and targeted interviews gathered feedback on the relevant aspects of the initiative and elements of the </w:t>
      </w:r>
      <w:r w:rsidR="1BDF3928" w:rsidRPr="009B5734">
        <w:rPr>
          <w:rFonts w:ascii="Times New Roman" w:hAnsi="Times New Roman" w:cs="Times New Roman"/>
          <w:noProof/>
          <w:color w:val="000000" w:themeColor="text1"/>
          <w:sz w:val="24"/>
          <w:szCs w:val="24"/>
        </w:rPr>
        <w:t>I</w:t>
      </w:r>
      <w:r w:rsidRPr="009B5734">
        <w:rPr>
          <w:rFonts w:ascii="Times New Roman" w:hAnsi="Times New Roman" w:cs="Times New Roman"/>
          <w:noProof/>
          <w:color w:val="000000" w:themeColor="text1"/>
          <w:sz w:val="24"/>
          <w:szCs w:val="24"/>
        </w:rPr>
        <w:t xml:space="preserve">mpact </w:t>
      </w:r>
      <w:r w:rsidR="1BDF3928" w:rsidRPr="009B5734">
        <w:rPr>
          <w:rFonts w:ascii="Times New Roman" w:hAnsi="Times New Roman" w:cs="Times New Roman"/>
          <w:noProof/>
          <w:color w:val="000000" w:themeColor="text1"/>
          <w:sz w:val="24"/>
          <w:szCs w:val="24"/>
        </w:rPr>
        <w:t>A</w:t>
      </w:r>
      <w:r w:rsidRPr="009B5734">
        <w:rPr>
          <w:rFonts w:ascii="Times New Roman" w:hAnsi="Times New Roman" w:cs="Times New Roman"/>
          <w:noProof/>
          <w:color w:val="000000" w:themeColor="text1"/>
          <w:sz w:val="24"/>
          <w:szCs w:val="24"/>
        </w:rPr>
        <w:t xml:space="preserve">ssessment. In all, 119 stakeholders participated. </w:t>
      </w:r>
    </w:p>
    <w:p w:rsidR="00EA45F9" w:rsidRPr="009B5734" w:rsidRDefault="00EA45F9" w:rsidP="00EA45F9">
      <w:pPr>
        <w:numPr>
          <w:ilvl w:val="0"/>
          <w:numId w:val="128"/>
        </w:numPr>
        <w:rPr>
          <w:rFonts w:ascii="Times New Roman" w:hAnsi="Times New Roman" w:cs="Times New Roman"/>
          <w:noProof/>
          <w:color w:val="000000" w:themeColor="text1"/>
          <w:sz w:val="24"/>
          <w:szCs w:val="24"/>
        </w:rPr>
      </w:pPr>
      <w:r w:rsidRPr="009B5734">
        <w:rPr>
          <w:rFonts w:ascii="Times New Roman" w:hAnsi="Times New Roman" w:cs="Times New Roman"/>
          <w:noProof/>
          <w:color w:val="000000" w:themeColor="text1"/>
          <w:sz w:val="24"/>
          <w:szCs w:val="24"/>
        </w:rPr>
        <w:t xml:space="preserve">An </w:t>
      </w:r>
      <w:r w:rsidRPr="009B5734">
        <w:rPr>
          <w:rFonts w:ascii="Times New Roman" w:hAnsi="Times New Roman" w:cs="Times New Roman"/>
          <w:b/>
          <w:bCs/>
          <w:noProof/>
          <w:color w:val="000000" w:themeColor="text1"/>
          <w:sz w:val="24"/>
          <w:szCs w:val="24"/>
        </w:rPr>
        <w:t>industry survey</w:t>
      </w:r>
      <w:r w:rsidRPr="009B5734">
        <w:rPr>
          <w:rFonts w:ascii="Times New Roman" w:hAnsi="Times New Roman" w:cs="Times New Roman"/>
          <w:noProof/>
          <w:color w:val="000000" w:themeColor="text1"/>
          <w:sz w:val="24"/>
          <w:szCs w:val="24"/>
        </w:rPr>
        <w:t xml:space="preserve"> consisting of (i) </w:t>
      </w:r>
      <w:r w:rsidRPr="009B5734">
        <w:rPr>
          <w:rFonts w:ascii="Times New Roman" w:hAnsi="Times New Roman" w:cs="Times New Roman"/>
          <w:b/>
          <w:bCs/>
          <w:noProof/>
          <w:color w:val="000000" w:themeColor="text1"/>
          <w:sz w:val="24"/>
          <w:szCs w:val="24"/>
        </w:rPr>
        <w:t>a long online survey</w:t>
      </w:r>
      <w:r w:rsidRPr="009B5734">
        <w:rPr>
          <w:rFonts w:ascii="Times New Roman" w:hAnsi="Times New Roman" w:cs="Times New Roman"/>
          <w:noProof/>
          <w:color w:val="000000" w:themeColor="text1"/>
          <w:sz w:val="24"/>
          <w:szCs w:val="24"/>
        </w:rPr>
        <w:t xml:space="preserve"> that was distributed to more than 500 companies but which, despite all efforts, only yielded 10 responses (seven from manufacturers and three from retailers) and (ii) </w:t>
      </w:r>
      <w:r w:rsidRPr="009B5734">
        <w:rPr>
          <w:rFonts w:ascii="Times New Roman" w:hAnsi="Times New Roman" w:cs="Times New Roman"/>
          <w:b/>
          <w:bCs/>
          <w:noProof/>
          <w:color w:val="000000" w:themeColor="text1"/>
          <w:sz w:val="24"/>
          <w:szCs w:val="24"/>
        </w:rPr>
        <w:t>a CATI survey</w:t>
      </w:r>
      <w:r w:rsidRPr="009B5734">
        <w:rPr>
          <w:rFonts w:ascii="Times New Roman" w:hAnsi="Times New Roman" w:cs="Times New Roman"/>
          <w:noProof/>
          <w:color w:val="000000" w:themeColor="text1"/>
          <w:sz w:val="24"/>
          <w:szCs w:val="24"/>
        </w:rPr>
        <w:t xml:space="preserve"> which was conducted to complement the online survey in view of the low response rate. The CATI survey was conducted in August/September 2020 and gathered responses from 164 companies.  The CATI survey focussed on the impact and cost on industry of the different possible policy options.</w:t>
      </w:r>
    </w:p>
    <w:p w:rsidR="00EA45F9" w:rsidRPr="009B5734" w:rsidRDefault="00EA45F9" w:rsidP="00EA45F9">
      <w:pPr>
        <w:numPr>
          <w:ilvl w:val="0"/>
          <w:numId w:val="128"/>
        </w:numPr>
        <w:rPr>
          <w:rFonts w:ascii="Times New Roman" w:hAnsi="Times New Roman" w:cs="Times New Roman"/>
          <w:noProof/>
          <w:color w:val="000000" w:themeColor="text1"/>
          <w:sz w:val="24"/>
          <w:szCs w:val="24"/>
        </w:rPr>
      </w:pPr>
      <w:r w:rsidRPr="009B5734">
        <w:rPr>
          <w:rFonts w:ascii="Times New Roman" w:hAnsi="Times New Roman" w:cs="Times New Roman"/>
          <w:noProof/>
          <w:color w:val="000000" w:themeColor="text1"/>
          <w:sz w:val="24"/>
          <w:szCs w:val="24"/>
        </w:rPr>
        <w:t xml:space="preserve">A </w:t>
      </w:r>
      <w:r w:rsidRPr="009B5734">
        <w:rPr>
          <w:rFonts w:ascii="Times New Roman" w:hAnsi="Times New Roman" w:cs="Times New Roman"/>
          <w:b/>
          <w:bCs/>
          <w:noProof/>
          <w:color w:val="000000" w:themeColor="text1"/>
          <w:sz w:val="24"/>
          <w:szCs w:val="24"/>
        </w:rPr>
        <w:t xml:space="preserve">consumer survey </w:t>
      </w:r>
      <w:r w:rsidRPr="009B5734">
        <w:rPr>
          <w:rFonts w:ascii="Times New Roman" w:hAnsi="Times New Roman" w:cs="Times New Roman"/>
          <w:noProof/>
          <w:color w:val="000000" w:themeColor="text1"/>
          <w:sz w:val="24"/>
          <w:szCs w:val="24"/>
        </w:rPr>
        <w:t>that ran between 6 and 30 August 2020 and which was targeted at consumers across all EU27 Member States plus the UK. A total of 11 805 consumers participated. The survey consisted of 45 questions covering respondents views on the problems and options covered by the initiative; experiences related to failures of goods from various categories; experiences with goods that did not last as long as expected; willingness to pay for information on durability and reparability and for goods that will last longer or that are easier to repair; behaviour related to and willingness to pay for sustainable products.</w:t>
      </w:r>
    </w:p>
    <w:p w:rsidR="00EA45F9" w:rsidRPr="009B5734" w:rsidRDefault="00EA45F9" w:rsidP="00EA45F9">
      <w:pPr>
        <w:numPr>
          <w:ilvl w:val="0"/>
          <w:numId w:val="128"/>
        </w:numPr>
        <w:spacing w:after="240"/>
        <w:rPr>
          <w:rFonts w:ascii="Times New Roman" w:hAnsi="Times New Roman" w:cs="Times New Roman"/>
          <w:noProof/>
          <w:color w:val="000000" w:themeColor="text1"/>
          <w:sz w:val="24"/>
          <w:szCs w:val="24"/>
        </w:rPr>
      </w:pPr>
      <w:r w:rsidRPr="009B5734">
        <w:rPr>
          <w:rFonts w:ascii="Times New Roman" w:hAnsi="Times New Roman" w:cs="Times New Roman"/>
          <w:noProof/>
          <w:color w:val="000000" w:themeColor="text1"/>
          <w:sz w:val="24"/>
          <w:szCs w:val="24"/>
        </w:rPr>
        <w:t xml:space="preserve">A series of </w:t>
      </w:r>
      <w:r w:rsidRPr="009B5734">
        <w:rPr>
          <w:rFonts w:ascii="Times New Roman" w:hAnsi="Times New Roman" w:cs="Times New Roman"/>
          <w:b/>
          <w:bCs/>
          <w:noProof/>
          <w:color w:val="000000" w:themeColor="text1"/>
          <w:sz w:val="24"/>
          <w:szCs w:val="24"/>
        </w:rPr>
        <w:t>four workshops</w:t>
      </w:r>
      <w:r w:rsidRPr="009B5734">
        <w:rPr>
          <w:rFonts w:ascii="Times New Roman" w:hAnsi="Times New Roman" w:cs="Times New Roman"/>
          <w:noProof/>
          <w:color w:val="000000" w:themeColor="text1"/>
          <w:sz w:val="24"/>
          <w:szCs w:val="24"/>
        </w:rPr>
        <w:t xml:space="preserve">, including (i) </w:t>
      </w:r>
      <w:r w:rsidRPr="009B5734">
        <w:rPr>
          <w:rFonts w:ascii="Times New Roman" w:hAnsi="Times New Roman" w:cs="Times New Roman"/>
          <w:b/>
          <w:bCs/>
          <w:noProof/>
          <w:color w:val="000000" w:themeColor="text1"/>
          <w:sz w:val="24"/>
          <w:szCs w:val="24"/>
        </w:rPr>
        <w:t>an expert workshop</w:t>
      </w:r>
      <w:r w:rsidRPr="009B5734">
        <w:rPr>
          <w:rFonts w:ascii="Times New Roman" w:hAnsi="Times New Roman" w:cs="Times New Roman"/>
          <w:noProof/>
          <w:color w:val="000000" w:themeColor="text1"/>
          <w:sz w:val="24"/>
          <w:szCs w:val="24"/>
        </w:rPr>
        <w:t xml:space="preserve"> with 10 independent experts, held on 9 July 2020; (ii) a workshop with 39 industry representatives to discuss the use of </w:t>
      </w:r>
      <w:r w:rsidRPr="009B5734">
        <w:rPr>
          <w:rFonts w:ascii="Times New Roman" w:hAnsi="Times New Roman" w:cs="Times New Roman"/>
          <w:b/>
          <w:bCs/>
          <w:noProof/>
          <w:color w:val="000000" w:themeColor="text1"/>
          <w:sz w:val="24"/>
          <w:szCs w:val="24"/>
        </w:rPr>
        <w:t>digital means</w:t>
      </w:r>
      <w:r w:rsidRPr="009B5734">
        <w:rPr>
          <w:rFonts w:ascii="Times New Roman" w:hAnsi="Times New Roman" w:cs="Times New Roman"/>
          <w:noProof/>
          <w:color w:val="000000" w:themeColor="text1"/>
          <w:sz w:val="24"/>
          <w:szCs w:val="24"/>
        </w:rPr>
        <w:t xml:space="preserve"> to provide product information to consumers, held on 14 September 2020; (iii) a </w:t>
      </w:r>
      <w:r w:rsidRPr="009B5734">
        <w:rPr>
          <w:rFonts w:ascii="Times New Roman" w:hAnsi="Times New Roman" w:cs="Times New Roman"/>
          <w:b/>
          <w:bCs/>
          <w:noProof/>
          <w:color w:val="000000" w:themeColor="text1"/>
          <w:sz w:val="24"/>
          <w:szCs w:val="24"/>
        </w:rPr>
        <w:t>stakeholder workshop</w:t>
      </w:r>
      <w:r w:rsidRPr="009B5734">
        <w:rPr>
          <w:rFonts w:ascii="Times New Roman" w:hAnsi="Times New Roman" w:cs="Times New Roman"/>
          <w:noProof/>
          <w:color w:val="000000" w:themeColor="text1"/>
          <w:sz w:val="24"/>
          <w:szCs w:val="24"/>
        </w:rPr>
        <w:t xml:space="preserve"> open to all stakeholders which involved 72 participants (from consumer associations, NGOs, industry associations and others) on 6 October 2020; and (iv) a </w:t>
      </w:r>
      <w:r w:rsidRPr="009B5734">
        <w:rPr>
          <w:rFonts w:ascii="Times New Roman" w:hAnsi="Times New Roman" w:cs="Times New Roman"/>
          <w:b/>
          <w:bCs/>
          <w:noProof/>
          <w:color w:val="000000" w:themeColor="text1"/>
          <w:sz w:val="24"/>
          <w:szCs w:val="24"/>
        </w:rPr>
        <w:t>workshop with CPC authorities</w:t>
      </w:r>
      <w:r w:rsidRPr="009B5734">
        <w:rPr>
          <w:rFonts w:ascii="Times New Roman" w:hAnsi="Times New Roman" w:cs="Times New Roman"/>
          <w:noProof/>
          <w:color w:val="000000" w:themeColor="text1"/>
          <w:sz w:val="24"/>
          <w:szCs w:val="24"/>
        </w:rPr>
        <w:t xml:space="preserve"> on 14 October 2020 to delve into their experience in enforcement relating to green issues under EU consumer law, in particular greenwashing and premature obsolescence practices as well as on possible improvements.</w:t>
      </w:r>
    </w:p>
    <w:p w:rsidR="00EA45F9" w:rsidRPr="009B5734" w:rsidRDefault="00A00208" w:rsidP="00A00208">
      <w:pPr>
        <w:pStyle w:val="Heading2"/>
        <w:rPr>
          <w:noProof/>
        </w:rPr>
      </w:pPr>
      <w:bookmarkStart w:id="420" w:name="_Toc58603257"/>
      <w:bookmarkStart w:id="421" w:name="_Toc58604117"/>
      <w:bookmarkStart w:id="422" w:name="_Toc58605435"/>
      <w:bookmarkStart w:id="423" w:name="_Toc60734072"/>
      <w:bookmarkStart w:id="424" w:name="_Toc77844250"/>
      <w:bookmarkStart w:id="425" w:name="_Toc86391753"/>
      <w:r w:rsidRPr="00A00208">
        <w:t>3.</w:t>
      </w:r>
      <w:r w:rsidRPr="00A00208">
        <w:tab/>
      </w:r>
      <w:r w:rsidR="00EA45F9" w:rsidRPr="009B5734">
        <w:rPr>
          <w:noProof/>
        </w:rPr>
        <w:t>Evidence, sources and quality</w:t>
      </w:r>
      <w:bookmarkEnd w:id="420"/>
      <w:bookmarkEnd w:id="421"/>
      <w:bookmarkEnd w:id="422"/>
      <w:bookmarkEnd w:id="423"/>
      <w:bookmarkEnd w:id="424"/>
      <w:bookmarkEnd w:id="425"/>
    </w:p>
    <w:p w:rsidR="00EA45F9" w:rsidRPr="009B5734" w:rsidRDefault="00EA45F9" w:rsidP="00EA45F9">
      <w:pPr>
        <w:spacing w:after="120"/>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The </w:t>
      </w:r>
      <w:r w:rsidRPr="009B5734">
        <w:rPr>
          <w:rFonts w:ascii="Times New Roman" w:hAnsi="Times New Roman" w:cs="Times New Roman"/>
          <w:b/>
          <w:noProof/>
          <w:sz w:val="24"/>
          <w:szCs w:val="24"/>
        </w:rPr>
        <w:t xml:space="preserve">Inception Impact Assessment (IA) </w:t>
      </w:r>
      <w:r w:rsidRPr="009B5734">
        <w:rPr>
          <w:rFonts w:ascii="Times New Roman" w:hAnsi="Times New Roman" w:cs="Times New Roman"/>
          <w:noProof/>
          <w:sz w:val="24"/>
          <w:szCs w:val="24"/>
        </w:rPr>
        <w:t xml:space="preserve">was published on the Commission’s website on 23 June 2020 and feedback from consumers, industry and other stakeholders were invited until 1 September 2020. 77 responses were received, the majority from business associations (30%), NGOs (25%) and companies/business organisations (22%). Limited feedback was also received from public authorities (6%), consumer organisations (4%), EU citizens (4%), academic/research institutions (3%), environmental organisations (3%) and others (4%). The responses are publicly available. </w:t>
      </w:r>
    </w:p>
    <w:p w:rsidR="00EA45F9" w:rsidRPr="009B5734" w:rsidRDefault="00EA45F9" w:rsidP="00EA45F9">
      <w:pPr>
        <w:spacing w:after="120"/>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The </w:t>
      </w:r>
      <w:r w:rsidRPr="009B5734">
        <w:rPr>
          <w:rFonts w:ascii="Times New Roman" w:hAnsi="Times New Roman" w:cs="Times New Roman"/>
          <w:b/>
          <w:noProof/>
          <w:sz w:val="24"/>
          <w:szCs w:val="24"/>
        </w:rPr>
        <w:t>industry survey</w:t>
      </w:r>
      <w:r w:rsidRPr="009B5734">
        <w:rPr>
          <w:rFonts w:ascii="Times New Roman" w:hAnsi="Times New Roman" w:cs="Times New Roman"/>
          <w:noProof/>
          <w:sz w:val="24"/>
          <w:szCs w:val="24"/>
        </w:rPr>
        <w:t xml:space="preserve"> was originally intended to be an online survey with follow-up interviews. Over 500 companies were contacted through various means, but despite significant effort, only ten replied. In view of the low response rate, a CATI survey was launched. This yielded a higher level of participation, with 164 replies from retailers (50%), manufacturers (40%) and service providers (14%). To ensure maximum coverage and geographical balance, the survey was conducted across five markets: Italy (24%), Poland (22%), France (20%), Germany (18%) and Sweden (16%). It was carried out on an anonymous basis and results were processed and comprehensively analysed. </w:t>
      </w:r>
    </w:p>
    <w:p w:rsidR="00EA45F9" w:rsidRPr="009B5734" w:rsidRDefault="00EA45F9" w:rsidP="00EA45F9">
      <w:pPr>
        <w:spacing w:after="120"/>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The </w:t>
      </w:r>
      <w:r w:rsidRPr="005D24D2">
        <w:rPr>
          <w:rFonts w:ascii="Times New Roman" w:hAnsi="Times New Roman" w:cs="Times New Roman"/>
          <w:b/>
          <w:bCs/>
          <w:noProof/>
          <w:sz w:val="24"/>
          <w:szCs w:val="24"/>
        </w:rPr>
        <w:t>targeted consultation</w:t>
      </w:r>
      <w:r w:rsidRPr="009B5734">
        <w:rPr>
          <w:rFonts w:ascii="Times New Roman" w:hAnsi="Times New Roman" w:cs="Times New Roman"/>
          <w:noProof/>
          <w:sz w:val="24"/>
          <w:szCs w:val="24"/>
        </w:rPr>
        <w:t xml:space="preserve"> was based on (i) semi-structured questionnaires (interviews) and (ii) an online questionnaire (survey). Stakeholders were selected based on their role and relevance to the study as per the consultation strategy. Careful attention was given to ensure a balanced representation between Member States and stakeholder categories. There were 119 respondents; over a third (37%) represented national authorities/bodies, 18% EU and national consumer organisations, 18% EU and national industry/business associations, 15% other stakeholders involved with labels, logos, information tools and other certification schemes, 10% other NGOs and research organisations and 3% EU and international authorities. The number of stakeholders initially contacted was significantly higher than the final numbers surveyed and interviewed, which may be the result of some ‘stakeholder fatigue’ and unavailability due to challenges related to Covid-19 and the timing of the consultation which ran during the summer period. The deadline of this consultation was extended (to October 2020) to allow more stakeholders to respond.</w:t>
      </w:r>
    </w:p>
    <w:p w:rsidR="00EA45F9" w:rsidRPr="009B5734" w:rsidRDefault="00EA45F9" w:rsidP="00EA45F9">
      <w:pPr>
        <w:spacing w:after="120"/>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The </w:t>
      </w:r>
      <w:r w:rsidRPr="009B5734">
        <w:rPr>
          <w:rFonts w:ascii="Times New Roman" w:hAnsi="Times New Roman" w:cs="Times New Roman"/>
          <w:b/>
          <w:noProof/>
          <w:sz w:val="24"/>
          <w:szCs w:val="24"/>
        </w:rPr>
        <w:t>O</w:t>
      </w:r>
      <w:r w:rsidR="00C36B76">
        <w:rPr>
          <w:rFonts w:ascii="Times New Roman" w:hAnsi="Times New Roman" w:cs="Times New Roman"/>
          <w:b/>
          <w:noProof/>
          <w:sz w:val="24"/>
          <w:szCs w:val="24"/>
        </w:rPr>
        <w:t xml:space="preserve">pen </w:t>
      </w:r>
      <w:r w:rsidRPr="009B5734">
        <w:rPr>
          <w:rFonts w:ascii="Times New Roman" w:hAnsi="Times New Roman" w:cs="Times New Roman"/>
          <w:b/>
          <w:noProof/>
          <w:sz w:val="24"/>
          <w:szCs w:val="24"/>
        </w:rPr>
        <w:t>P</w:t>
      </w:r>
      <w:r w:rsidR="00C36B76">
        <w:rPr>
          <w:rFonts w:ascii="Times New Roman" w:hAnsi="Times New Roman" w:cs="Times New Roman"/>
          <w:b/>
          <w:noProof/>
          <w:sz w:val="24"/>
          <w:szCs w:val="24"/>
        </w:rPr>
        <w:t xml:space="preserve">ublic </w:t>
      </w:r>
      <w:r w:rsidRPr="009B5734">
        <w:rPr>
          <w:rFonts w:ascii="Times New Roman" w:hAnsi="Times New Roman" w:cs="Times New Roman"/>
          <w:b/>
          <w:noProof/>
          <w:sz w:val="24"/>
          <w:szCs w:val="24"/>
        </w:rPr>
        <w:t>C</w:t>
      </w:r>
      <w:r w:rsidR="00C36B76">
        <w:rPr>
          <w:rFonts w:ascii="Times New Roman" w:hAnsi="Times New Roman" w:cs="Times New Roman"/>
          <w:b/>
          <w:noProof/>
          <w:sz w:val="24"/>
          <w:szCs w:val="24"/>
        </w:rPr>
        <w:t>onsultation</w:t>
      </w:r>
      <w:r w:rsidRPr="009B5734">
        <w:rPr>
          <w:rFonts w:ascii="Times New Roman" w:hAnsi="Times New Roman" w:cs="Times New Roman"/>
          <w:noProof/>
          <w:sz w:val="24"/>
          <w:szCs w:val="24"/>
        </w:rPr>
        <w:t xml:space="preserve"> yielded a relatively high response rate (315 replies). Nearly three quarters (73%) of the company/business organisations that responded were SMEs. </w:t>
      </w:r>
    </w:p>
    <w:p w:rsidR="00EA45F9" w:rsidRPr="009B5734" w:rsidRDefault="00EA45F9" w:rsidP="00EA45F9">
      <w:pPr>
        <w:spacing w:after="120"/>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The </w:t>
      </w:r>
      <w:r w:rsidRPr="009B5734">
        <w:rPr>
          <w:rFonts w:ascii="Times New Roman" w:hAnsi="Times New Roman" w:cs="Times New Roman"/>
          <w:b/>
          <w:noProof/>
          <w:sz w:val="24"/>
          <w:szCs w:val="24"/>
        </w:rPr>
        <w:t>consumer survey</w:t>
      </w:r>
      <w:r w:rsidRPr="009B5734">
        <w:rPr>
          <w:rFonts w:ascii="Times New Roman" w:hAnsi="Times New Roman" w:cs="Times New Roman"/>
          <w:noProof/>
          <w:sz w:val="24"/>
          <w:szCs w:val="24"/>
        </w:rPr>
        <w:t>, with 11,805 participants, was representative of the EU27+UK population with a confidence level of 99%. The composition of the survey sample reflects the population in terms of share, age group and gender. The consumer survey was also undertaken on an anonymous basis and the results have been comprehensively processed and analysed.</w:t>
      </w:r>
    </w:p>
    <w:p w:rsidR="00EA45F9" w:rsidRPr="009B5734" w:rsidRDefault="00EA45F9" w:rsidP="00EA45F9">
      <w:pPr>
        <w:spacing w:after="120"/>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The </w:t>
      </w:r>
      <w:r w:rsidRPr="009B5734">
        <w:rPr>
          <w:rFonts w:ascii="Times New Roman" w:hAnsi="Times New Roman" w:cs="Times New Roman"/>
          <w:b/>
          <w:noProof/>
          <w:sz w:val="24"/>
          <w:szCs w:val="24"/>
        </w:rPr>
        <w:t>workshops</w:t>
      </w:r>
      <w:r w:rsidRPr="009B5734">
        <w:rPr>
          <w:rFonts w:ascii="Times New Roman" w:hAnsi="Times New Roman" w:cs="Times New Roman"/>
          <w:noProof/>
          <w:sz w:val="24"/>
          <w:szCs w:val="24"/>
        </w:rPr>
        <w:t xml:space="preserve"> provided an opportunity to validate the findings from the earlier consultation activities and to ensure the robustness of the results.</w:t>
      </w:r>
    </w:p>
    <w:p w:rsidR="00EA45F9" w:rsidRPr="009B5734" w:rsidRDefault="00A00208" w:rsidP="00A00208">
      <w:pPr>
        <w:pStyle w:val="Heading2"/>
        <w:rPr>
          <w:noProof/>
        </w:rPr>
      </w:pPr>
      <w:bookmarkStart w:id="426" w:name="_Toc58603258"/>
      <w:bookmarkStart w:id="427" w:name="_Toc58604118"/>
      <w:bookmarkStart w:id="428" w:name="_Toc58605436"/>
      <w:bookmarkStart w:id="429" w:name="_Toc60734073"/>
      <w:bookmarkStart w:id="430" w:name="_Toc77844251"/>
      <w:bookmarkStart w:id="431" w:name="_Toc86391754"/>
      <w:r w:rsidRPr="00A00208">
        <w:t>4.</w:t>
      </w:r>
      <w:r w:rsidRPr="00A00208">
        <w:tab/>
      </w:r>
      <w:r w:rsidR="00EA45F9" w:rsidRPr="009B5734">
        <w:rPr>
          <w:noProof/>
        </w:rPr>
        <w:t>Main stakeholder feedback per consultation activity</w:t>
      </w:r>
      <w:bookmarkEnd w:id="426"/>
      <w:bookmarkEnd w:id="427"/>
      <w:bookmarkEnd w:id="428"/>
      <w:bookmarkEnd w:id="429"/>
      <w:bookmarkEnd w:id="430"/>
      <w:bookmarkEnd w:id="431"/>
    </w:p>
    <w:p w:rsidR="00EA45F9" w:rsidRPr="009B5734" w:rsidRDefault="00EA45F9" w:rsidP="00EA45F9">
      <w:pPr>
        <w:spacing w:after="120"/>
        <w:ind w:left="0" w:firstLine="0"/>
        <w:rPr>
          <w:rFonts w:ascii="Times New Roman" w:hAnsi="Times New Roman"/>
          <w:noProof/>
          <w:sz w:val="24"/>
        </w:rPr>
      </w:pPr>
      <w:r w:rsidRPr="009B5734">
        <w:rPr>
          <w:rFonts w:ascii="Times New Roman" w:hAnsi="Times New Roman" w:cs="Times New Roman"/>
          <w:noProof/>
          <w:sz w:val="24"/>
          <w:szCs w:val="24"/>
        </w:rPr>
        <w:t xml:space="preserve">The results from the consultation have been fed into the wider study, both to substantiate the assessment of the problems and for the assessment of possible solutions. The main feedback, per strand of consultation, is described concisely below. The main results per problem and per possible option/policy intervention are presented in more detail in </w:t>
      </w:r>
      <w:hyperlink w:anchor="_Feeding_the_consultation_1" w:history="1">
        <w:r w:rsidRPr="009B5734">
          <w:rPr>
            <w:rStyle w:val="Hyperlink"/>
            <w:rFonts w:ascii="Times New Roman" w:hAnsi="Times New Roman" w:cs="Times New Roman"/>
            <w:noProof/>
            <w:sz w:val="24"/>
            <w:szCs w:val="24"/>
          </w:rPr>
          <w:t>Section 5</w:t>
        </w:r>
        <w:r w:rsidR="007977DA" w:rsidRPr="009B5734">
          <w:rPr>
            <w:rStyle w:val="Hyperlink"/>
            <w:rFonts w:ascii="Times New Roman" w:hAnsi="Times New Roman" w:cs="Times New Roman"/>
            <w:noProof/>
            <w:sz w:val="24"/>
            <w:szCs w:val="24"/>
          </w:rPr>
          <w:t xml:space="preserve"> of this Annex</w:t>
        </w:r>
      </w:hyperlink>
      <w:r w:rsidRPr="009B5734">
        <w:rPr>
          <w:rFonts w:ascii="Times New Roman" w:hAnsi="Times New Roman" w:cs="Times New Roman"/>
          <w:noProof/>
          <w:sz w:val="24"/>
          <w:szCs w:val="24"/>
        </w:rPr>
        <w:t>.</w:t>
      </w:r>
    </w:p>
    <w:p w:rsidR="00EA45F9" w:rsidRPr="009B5734" w:rsidRDefault="00A00208" w:rsidP="00A00208">
      <w:pPr>
        <w:pStyle w:val="Heading4"/>
        <w:rPr>
          <w:i/>
          <w:noProof/>
        </w:rPr>
      </w:pPr>
      <w:bookmarkStart w:id="432" w:name="_Toc58603259"/>
      <w:bookmarkStart w:id="433" w:name="_Toc58604119"/>
      <w:bookmarkStart w:id="434" w:name="_Toc58605437"/>
      <w:bookmarkStart w:id="435" w:name="_Toc60734074"/>
      <w:r w:rsidRPr="00A00208">
        <w:t>4.1.</w:t>
      </w:r>
      <w:r w:rsidRPr="00A00208">
        <w:tab/>
      </w:r>
      <w:r w:rsidR="00EA45F9" w:rsidRPr="009B5734">
        <w:rPr>
          <w:noProof/>
        </w:rPr>
        <w:t>Inception Impact Assessment</w:t>
      </w:r>
      <w:bookmarkEnd w:id="432"/>
      <w:bookmarkEnd w:id="433"/>
      <w:bookmarkEnd w:id="434"/>
      <w:bookmarkEnd w:id="435"/>
    </w:p>
    <w:p w:rsidR="00EA45F9" w:rsidRPr="009B5734" w:rsidRDefault="00EA45F9" w:rsidP="00EA45F9">
      <w:pPr>
        <w:spacing w:after="120"/>
        <w:ind w:left="0" w:firstLine="0"/>
        <w:rPr>
          <w:rFonts w:ascii="Times New Roman" w:hAnsi="Times New Roman" w:cs="Times New Roman"/>
          <w:noProof/>
          <w:sz w:val="24"/>
          <w:szCs w:val="24"/>
        </w:rPr>
      </w:pPr>
      <w:bookmarkStart w:id="436" w:name="_Hlk57906955"/>
      <w:r w:rsidRPr="009B5734">
        <w:rPr>
          <w:rFonts w:ascii="Times New Roman" w:hAnsi="Times New Roman" w:cs="Times New Roman"/>
          <w:noProof/>
          <w:sz w:val="24"/>
          <w:szCs w:val="24"/>
        </w:rPr>
        <w:t>Feedback on the proposed EU initiative was generally very positive and most respondents believed it would help, over the longer term, to foster more sustainable behaviours. There was particularly strong support for EU action capable of (i) bringing about a common/harmonised approach to the provision of consumer information and (ii) removing unsustainable products from EU markets by, for example, making it easy for consumers to recognise such products. There was support for limiting the proliferation of environmental labels and claims to build credibility and limit confusion among consumers. Opinions were divided as to the various options presented in the Inception Impact Assessment, with stakeholders showing a slight preference for Option 2 (“a new stand-alone consumer protection instrument”) over Option 1 (“amend existing consumer protection legislation”) and over a combination of both Options 1 and 2.</w:t>
      </w:r>
      <w:bookmarkEnd w:id="436"/>
      <w:r w:rsidRPr="009B5734">
        <w:rPr>
          <w:rFonts w:ascii="Times New Roman" w:hAnsi="Times New Roman" w:cs="Times New Roman"/>
          <w:noProof/>
          <w:sz w:val="24"/>
          <w:szCs w:val="24"/>
        </w:rPr>
        <w:t xml:space="preserve"> </w:t>
      </w:r>
    </w:p>
    <w:p w:rsidR="00EA45F9" w:rsidRPr="009B5734" w:rsidRDefault="00A00208" w:rsidP="00A00208">
      <w:pPr>
        <w:pStyle w:val="Heading4"/>
        <w:rPr>
          <w:i/>
          <w:noProof/>
        </w:rPr>
      </w:pPr>
      <w:bookmarkStart w:id="437" w:name="_Toc58603260"/>
      <w:bookmarkStart w:id="438" w:name="_Toc58604120"/>
      <w:bookmarkStart w:id="439" w:name="_Toc58605438"/>
      <w:bookmarkStart w:id="440" w:name="_Toc60734075"/>
      <w:r w:rsidRPr="00A00208">
        <w:t>4.2.</w:t>
      </w:r>
      <w:r w:rsidRPr="00A00208">
        <w:tab/>
      </w:r>
      <w:r w:rsidR="00EA45F9" w:rsidRPr="009B5734">
        <w:rPr>
          <w:noProof/>
        </w:rPr>
        <w:t>Open Public Consultation</w:t>
      </w:r>
      <w:bookmarkEnd w:id="437"/>
      <w:bookmarkEnd w:id="438"/>
      <w:bookmarkEnd w:id="439"/>
      <w:bookmarkEnd w:id="440"/>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‘difficulty to verify the reliability of environmental claims (including climate related) on products’ was identified as the biggest obstacle to enhanced consumer participation in the green transition and towards a more sustainable consumption behaviour, though the extent to which this poses a barrier was perceived differently among stakeholder groups (58% of consumer organisations agreed, versus 23% of company/business organisations). The perception that environmentally-friendly products are more expensive was also identified as an important obstacle.</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A large share of respondents (44%) had found it too expensive to repair (or cheaper to replace) products; thought there was a significant divergence in views among stakeholder groups. 76% of consumer organisations identified cost as the main barrier to repair, but only 12% of business associations agreed. Common problems that stakeholders had encountered when trying to repair products themselves included the price of spare parts being too high (23%), lack of user-friendly repair manuals (22%) and components being impossible to repair due to their product design (22%).</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Most respondents had experienced the unexpected failure of a product in the last three years (24% had not). ICT products were identified as most problematic (47%), followed by small household appliances (20%) and clothing and footwear (19%).</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‘Information about the reparability of the product’ was identified as the option most useful to enable consumers to choose more sustainable products and participate in the circular economy (selected by 41%). This was strongly favoured by public authorities (57%) and citizens (54%), but not by companies/business organisations (21%), who instead favoured the provision of ‘Information on the product’s life-cycle environmental and climate footprint’ (56%). This was also rated as the second-best option overall (39%).</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Providing better information on products’ durability/lifespan was identified as the best option to empower consumers for the green transition (33% agreed). This was strongly favoured by consumer organisations (75%) and citizens (52%), but not by company/business organisations (16%) or business associations (14%), who favoured ‘Raising awareness about the role of consumers on circular economy and green transition’.</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Providing ‘Detailed EU guidance for enforcement bodies against greenwashing and obsolescence practices and on enforcing consumer information rules’ was identified as the most effective option to improve enforcement of EU consumer laws to enhance participation of consumers in the green transition (selected by 36%).</w:t>
      </w:r>
    </w:p>
    <w:p w:rsidR="00EA45F9" w:rsidRPr="009B5734" w:rsidRDefault="00A00208" w:rsidP="00A00208">
      <w:pPr>
        <w:pStyle w:val="Heading4"/>
        <w:rPr>
          <w:i/>
          <w:noProof/>
        </w:rPr>
      </w:pPr>
      <w:bookmarkStart w:id="441" w:name="_Toc58603261"/>
      <w:bookmarkStart w:id="442" w:name="_Toc58604121"/>
      <w:bookmarkStart w:id="443" w:name="_Toc58605439"/>
      <w:bookmarkStart w:id="444" w:name="_Toc60734076"/>
      <w:r w:rsidRPr="00A00208">
        <w:t>4.3.</w:t>
      </w:r>
      <w:r w:rsidRPr="00A00208">
        <w:tab/>
      </w:r>
      <w:r w:rsidR="00EA45F9" w:rsidRPr="009B5734">
        <w:rPr>
          <w:noProof/>
        </w:rPr>
        <w:t>Targeted stakeholder consultations</w:t>
      </w:r>
      <w:bookmarkEnd w:id="441"/>
      <w:bookmarkEnd w:id="442"/>
      <w:bookmarkEnd w:id="443"/>
      <w:bookmarkEnd w:id="444"/>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 xml:space="preserve">In relation to Problem 1, almost all stakeholders (except those representing industry) concurred with the view that consumers are not given, or do not have access to, information on products’ environmental impact; on the lifespan of goods and product-specific features that may lead to early failure; and on the availability of repair services spare parts and software updates/upgrades. </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In relation to Problem 2, most consumer organisations and ‘other’ organisations considered that consumers’ are subjected to ‘greenwashing’ and that ‘premature obsolescence’ occurs to some extent; however, representatives from industry tended to disagree. The proliferation of sustainability labels and logos was also identified as a problem by stakeholders from most stakeholder groups.</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 xml:space="preserve">Views from stakeholders on the possible solutions are presented in </w:t>
      </w:r>
      <w:hyperlink w:anchor="_Views_on_possible_1" w:history="1">
        <w:r w:rsidRPr="009B5734">
          <w:rPr>
            <w:rStyle w:val="Hyperlink"/>
            <w:rFonts w:ascii="Times New Roman" w:hAnsi="Times New Roman"/>
            <w:noProof/>
            <w:sz w:val="24"/>
          </w:rPr>
          <w:t>section 5.2</w:t>
        </w:r>
        <w:r w:rsidR="00797E4E" w:rsidRPr="009B5734">
          <w:rPr>
            <w:rStyle w:val="Hyperlink"/>
            <w:rFonts w:ascii="Times New Roman" w:hAnsi="Times New Roman"/>
            <w:noProof/>
            <w:sz w:val="24"/>
          </w:rPr>
          <w:t xml:space="preserve"> of this Annex</w:t>
        </w:r>
      </w:hyperlink>
      <w:r w:rsidRPr="009B5734">
        <w:rPr>
          <w:rFonts w:ascii="Times New Roman" w:hAnsi="Times New Roman"/>
          <w:noProof/>
          <w:sz w:val="24"/>
        </w:rPr>
        <w:t xml:space="preserve"> below.  </w:t>
      </w:r>
    </w:p>
    <w:p w:rsidR="00EA45F9" w:rsidRPr="009B5734" w:rsidRDefault="00EA45F9" w:rsidP="00EA45F9">
      <w:pPr>
        <w:ind w:left="0" w:firstLine="0"/>
        <w:rPr>
          <w:rFonts w:ascii="Times New Roman" w:hAnsi="Times New Roman"/>
          <w:noProof/>
          <w:sz w:val="24"/>
        </w:rPr>
      </w:pPr>
    </w:p>
    <w:p w:rsidR="00EA45F9" w:rsidRPr="009B5734" w:rsidRDefault="00A00208" w:rsidP="00A00208">
      <w:pPr>
        <w:pStyle w:val="Heading4"/>
        <w:rPr>
          <w:i/>
          <w:noProof/>
        </w:rPr>
      </w:pPr>
      <w:bookmarkStart w:id="445" w:name="_Toc58603262"/>
      <w:bookmarkStart w:id="446" w:name="_Toc58604122"/>
      <w:bookmarkStart w:id="447" w:name="_Toc58605440"/>
      <w:bookmarkStart w:id="448" w:name="_Toc60734077"/>
      <w:r w:rsidRPr="00A00208">
        <w:t>4.4.</w:t>
      </w:r>
      <w:r w:rsidRPr="00A00208">
        <w:tab/>
      </w:r>
      <w:r w:rsidR="00EA45F9" w:rsidRPr="009B5734">
        <w:rPr>
          <w:noProof/>
        </w:rPr>
        <w:t>Industry survey</w:t>
      </w:r>
      <w:bookmarkEnd w:id="445"/>
      <w:bookmarkEnd w:id="446"/>
      <w:bookmarkEnd w:id="447"/>
      <w:bookmarkEnd w:id="448"/>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 xml:space="preserve">In the CATI survey, manufacturers and retailers were asked to indicate the scale of impact and cost on their organisation of the introduction of various legal requirements. Respondents were asked to provide a score on a scale of 0 to 5, where 0 represents ‘no impact’ and 5 indicates ‘very high impact’. Overall, it was indicated that an obligation to ‘Provide information on aspects in the product’s design that can cause its early failure’ would have the biggest impact (mean score of 2.61) and would be most costly (mean cost score of 2.25). In contrast, respondents indicated that ‘Stronger consumer protection against planned (intentional) obsolescence practices’ would have the lowest impact (scored 2.37) and that an ‘Obligation to provide </w:t>
      </w:r>
      <w:bookmarkStart w:id="449" w:name="_Hlk57906400"/>
      <w:r w:rsidRPr="009B5734">
        <w:rPr>
          <w:rFonts w:ascii="Times New Roman" w:hAnsi="Times New Roman"/>
          <w:noProof/>
          <w:sz w:val="24"/>
        </w:rPr>
        <w:t xml:space="preserve">information on the duration of the </w:t>
      </w:r>
      <w:bookmarkEnd w:id="449"/>
      <w:r w:rsidRPr="009B5734">
        <w:rPr>
          <w:rFonts w:ascii="Times New Roman" w:hAnsi="Times New Roman"/>
          <w:noProof/>
          <w:sz w:val="24"/>
        </w:rPr>
        <w:t>commercial guarantee for all products’ and an ‘Obligation to expressly inform the consumer that no commercial guarantee of durability is provided for the given product’ would be least costly (both with a mean cost score of 2.44).</w:t>
      </w:r>
    </w:p>
    <w:p w:rsidR="00EA45F9" w:rsidRPr="009B5734" w:rsidRDefault="00EA45F9" w:rsidP="00EA45F9">
      <w:pPr>
        <w:ind w:left="0" w:firstLine="0"/>
        <w:rPr>
          <w:rFonts w:ascii="Times New Roman" w:hAnsi="Times New Roman"/>
          <w:noProof/>
          <w:sz w:val="24"/>
        </w:rPr>
      </w:pPr>
    </w:p>
    <w:p w:rsidR="00EA45F9" w:rsidRPr="009B5734" w:rsidRDefault="00A00208" w:rsidP="00A00208">
      <w:pPr>
        <w:pStyle w:val="Heading4"/>
        <w:rPr>
          <w:i/>
          <w:noProof/>
        </w:rPr>
      </w:pPr>
      <w:bookmarkStart w:id="450" w:name="_Toc58603263"/>
      <w:bookmarkStart w:id="451" w:name="_Toc58604123"/>
      <w:bookmarkStart w:id="452" w:name="_Toc58605441"/>
      <w:bookmarkStart w:id="453" w:name="_Toc60734078"/>
      <w:r w:rsidRPr="00A00208">
        <w:t>4.5.</w:t>
      </w:r>
      <w:r w:rsidRPr="00A00208">
        <w:tab/>
      </w:r>
      <w:r w:rsidR="00EA45F9" w:rsidRPr="009B5734">
        <w:rPr>
          <w:noProof/>
        </w:rPr>
        <w:t>Consumer survey</w:t>
      </w:r>
      <w:bookmarkEnd w:id="450"/>
      <w:bookmarkEnd w:id="451"/>
      <w:bookmarkEnd w:id="452"/>
      <w:bookmarkEnd w:id="453"/>
    </w:p>
    <w:p w:rsidR="00EA45F9" w:rsidRPr="009B5734" w:rsidRDefault="00EA45F9" w:rsidP="00EA45F9">
      <w:pPr>
        <w:ind w:left="0" w:firstLine="0"/>
        <w:rPr>
          <w:rFonts w:ascii="Times New Roman" w:hAnsi="Times New Roman"/>
          <w:noProof/>
          <w:sz w:val="24"/>
        </w:rPr>
      </w:pPr>
      <w:r w:rsidRPr="009B5734">
        <w:rPr>
          <w:rFonts w:ascii="Times New Roman" w:hAnsi="Times New Roman" w:cs="Times New Roman"/>
          <w:noProof/>
          <w:sz w:val="24"/>
          <w:szCs w:val="24"/>
        </w:rPr>
        <w:t xml:space="preserve">Consumers are seemingly open to participating in the green transition. Almost half (49%) said they would be happy to have a product repaired, rather than replaced, if it breaks down within the legal guarantee period; mainly ‘To reduce my environmental impact’ (selected by 63%) or because ‘It is the fair thing to do (44%). Respondents who preferred a replacement were concerned that the product may not be properly repaired (54%) or that a new product would last longer (46%). </w:t>
      </w:r>
    </w:p>
    <w:p w:rsidR="00EA45F9" w:rsidRPr="009B5734" w:rsidRDefault="00EA45F9" w:rsidP="00EA45F9">
      <w:pPr>
        <w:ind w:left="0" w:firstLine="0"/>
        <w:rPr>
          <w:rFonts w:ascii="Times New Roman" w:hAnsi="Times New Roman"/>
          <w:noProof/>
          <w:sz w:val="24"/>
        </w:rPr>
      </w:pPr>
      <w:r w:rsidRPr="009B5734">
        <w:rPr>
          <w:rFonts w:ascii="Times New Roman" w:hAnsi="Times New Roman" w:cs="Times New Roman"/>
          <w:noProof/>
          <w:sz w:val="24"/>
          <w:szCs w:val="24"/>
        </w:rPr>
        <w:t>Most respondents were unwilling to pay for information (e.g. via an app) on the durability and reparability of ‘durable goods’</w:t>
      </w:r>
      <w:r w:rsidRPr="009B5734">
        <w:rPr>
          <w:rStyle w:val="FootnoteReference"/>
          <w:rFonts w:ascii="Times New Roman" w:hAnsi="Times New Roman" w:cs="Times New Roman"/>
          <w:noProof/>
          <w:sz w:val="24"/>
          <w:szCs w:val="24"/>
        </w:rPr>
        <w:footnoteReference w:id="134"/>
      </w:r>
      <w:r w:rsidRPr="009B5734">
        <w:rPr>
          <w:rFonts w:ascii="Times New Roman" w:hAnsi="Times New Roman" w:cs="Times New Roman"/>
          <w:noProof/>
          <w:sz w:val="24"/>
          <w:szCs w:val="24"/>
        </w:rPr>
        <w:t xml:space="preserve">. Around half (47% to 51% depending on the product type) were willing to pay extra on top of the initial price for a product that lasts longer without having to be repaired; and a similar proportion (41% to 47%) were willing to pay extra for an identical product that lasts longer with minor/reasonable repairs (paid by the consumer). An even larger share (61% to 68%) were willing to pay extra for an identical product covered by a commercial guarantee that would cover the cost of repairs. </w:t>
      </w:r>
    </w:p>
    <w:p w:rsidR="00EA45F9" w:rsidRPr="009B5734" w:rsidRDefault="00EA45F9" w:rsidP="00EA45F9">
      <w:pPr>
        <w:ind w:left="0" w:firstLine="0"/>
        <w:rPr>
          <w:rFonts w:ascii="Times New Roman" w:hAnsi="Times New Roman"/>
          <w:noProof/>
          <w:sz w:val="24"/>
        </w:rPr>
      </w:pPr>
      <w:r w:rsidRPr="009B5734">
        <w:rPr>
          <w:rFonts w:ascii="Times New Roman" w:hAnsi="Times New Roman" w:cs="Times New Roman"/>
          <w:noProof/>
          <w:sz w:val="24"/>
          <w:szCs w:val="24"/>
        </w:rPr>
        <w:t xml:space="preserve">The ‘Perceived higher price of environmentally-friendly products’ was identified as the main obstacle that prevents consumers from adopting more sustainable behaviours (39%) and ‘Providing better information on products’ durability/lifespan’ (26%) and ‘Providing better consumer information on the life-cycle environmental and climate footprint of the product’ (23%) were identified as the most effective options to help consumers choose more environmentally sustainable products. </w:t>
      </w:r>
    </w:p>
    <w:p w:rsidR="00EA45F9" w:rsidRPr="009B5734" w:rsidRDefault="00EA45F9" w:rsidP="00EA45F9">
      <w:pPr>
        <w:ind w:left="0" w:firstLine="0"/>
        <w:rPr>
          <w:rFonts w:ascii="Times New Roman" w:hAnsi="Times New Roman"/>
          <w:noProof/>
          <w:sz w:val="24"/>
        </w:rPr>
      </w:pPr>
      <w:r w:rsidRPr="009B5734">
        <w:rPr>
          <w:rFonts w:ascii="Times New Roman" w:hAnsi="Times New Roman" w:cs="Times New Roman"/>
          <w:noProof/>
          <w:sz w:val="24"/>
          <w:szCs w:val="24"/>
        </w:rPr>
        <w:t>Results indicate that consumers are willing to pay extra for environmentally sustainable products, and even more so for products with claims validated by a trustworthy independent body.</w:t>
      </w:r>
    </w:p>
    <w:p w:rsidR="00EA45F9" w:rsidRPr="009B5734" w:rsidRDefault="00A00208" w:rsidP="00A00208">
      <w:pPr>
        <w:pStyle w:val="Heading4"/>
        <w:rPr>
          <w:i/>
          <w:noProof/>
        </w:rPr>
      </w:pPr>
      <w:bookmarkStart w:id="454" w:name="_Toc58603264"/>
      <w:bookmarkStart w:id="455" w:name="_Toc58604124"/>
      <w:bookmarkStart w:id="456" w:name="_Toc58605442"/>
      <w:bookmarkStart w:id="457" w:name="_Toc60734079"/>
      <w:r w:rsidRPr="00A00208">
        <w:t>4.6.</w:t>
      </w:r>
      <w:r w:rsidRPr="00A00208">
        <w:tab/>
      </w:r>
      <w:r w:rsidR="00EA45F9" w:rsidRPr="009B5734">
        <w:rPr>
          <w:noProof/>
        </w:rPr>
        <w:t>Workshops</w:t>
      </w:r>
      <w:bookmarkEnd w:id="454"/>
      <w:bookmarkEnd w:id="455"/>
      <w:bookmarkEnd w:id="456"/>
      <w:bookmarkEnd w:id="457"/>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expert workshop (held 9 July 2020) validated many of the findings from the other strands of consultation. It was largely agreed that greenwashing occurs and that information on product durability can be difficult to obtain. Doubts were raised that products are intentionally designed to fail early. Various barriers to reparability were identified including speed of repair, cultural factors and availability of spare parts.</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The industry workshop on digital means (held 14 September 2020) highlighted some of the opportunities that digital tools (e.g. QR codes, e-labels) offer for conveying mandatory product information and simplifying product labels. It also highlighted some of the challenges, particularly for SMEs who may need financial support to implement these tools and for vulnerable consumers who do not have access to, or who cannot use, them. </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The stakeholder workshop (held 6 October 2020) again reiterated many of the same points that were raised in the previous consultation activities. </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Participants at the CPC workshop (14 October 2020) highlighted the difficulty of proving intent with regard to planned obsolescence. Public authorities noted that they lack the technical expertise to be able to enforce green claims, but were divided on whether enforcement of the current general EU consumer rules (UCPD) is effective.</w:t>
      </w:r>
    </w:p>
    <w:p w:rsidR="00EA45F9" w:rsidRPr="009B5734" w:rsidRDefault="00EA45F9" w:rsidP="00EA45F9">
      <w:pPr>
        <w:ind w:left="0" w:firstLine="0"/>
        <w:rPr>
          <w:noProof/>
        </w:rPr>
      </w:pPr>
    </w:p>
    <w:p w:rsidR="00EA45F9" w:rsidRPr="009B5734" w:rsidRDefault="00A00208" w:rsidP="00A00208">
      <w:pPr>
        <w:pStyle w:val="Heading2"/>
        <w:rPr>
          <w:noProof/>
        </w:rPr>
      </w:pPr>
      <w:bookmarkStart w:id="458" w:name="_Feeding_the_consultation_1"/>
      <w:bookmarkStart w:id="459" w:name="_Toc58603265"/>
      <w:bookmarkStart w:id="460" w:name="_Toc58604125"/>
      <w:bookmarkStart w:id="461" w:name="_Toc58605443"/>
      <w:bookmarkStart w:id="462" w:name="_Toc60734080"/>
      <w:bookmarkStart w:id="463" w:name="_Toc77844252"/>
      <w:bookmarkStart w:id="464" w:name="_Toc86391755"/>
      <w:bookmarkEnd w:id="458"/>
      <w:r w:rsidRPr="00A00208">
        <w:t>5.</w:t>
      </w:r>
      <w:r w:rsidRPr="00A00208">
        <w:tab/>
      </w:r>
      <w:r w:rsidR="00EA45F9" w:rsidRPr="009B5734">
        <w:rPr>
          <w:noProof/>
        </w:rPr>
        <w:t>Feeding the consultation results into the Impact Assessment</w:t>
      </w:r>
      <w:bookmarkEnd w:id="459"/>
      <w:bookmarkEnd w:id="460"/>
      <w:bookmarkEnd w:id="461"/>
      <w:bookmarkEnd w:id="462"/>
      <w:bookmarkEnd w:id="463"/>
      <w:bookmarkEnd w:id="464"/>
    </w:p>
    <w:p w:rsidR="00EA45F9" w:rsidRPr="009B5734" w:rsidRDefault="00A00208" w:rsidP="00A00208">
      <w:pPr>
        <w:pStyle w:val="Heading4"/>
        <w:rPr>
          <w:i/>
          <w:noProof/>
          <w:szCs w:val="24"/>
        </w:rPr>
      </w:pPr>
      <w:bookmarkStart w:id="465" w:name="_Toc57133110"/>
      <w:bookmarkStart w:id="466" w:name="_Toc58603266"/>
      <w:bookmarkStart w:id="467" w:name="_Toc58604126"/>
      <w:bookmarkStart w:id="468" w:name="_Toc58605444"/>
      <w:bookmarkStart w:id="469" w:name="_Toc60734081"/>
      <w:r w:rsidRPr="00A00208">
        <w:t>5.1.</w:t>
      </w:r>
      <w:r w:rsidRPr="00A00208">
        <w:tab/>
      </w:r>
      <w:r w:rsidR="00EA45F9" w:rsidRPr="009B5734">
        <w:rPr>
          <w:noProof/>
        </w:rPr>
        <w:t>Extent of the problems</w:t>
      </w:r>
      <w:bookmarkEnd w:id="465"/>
      <w:bookmarkEnd w:id="466"/>
      <w:bookmarkEnd w:id="467"/>
      <w:bookmarkEnd w:id="468"/>
      <w:bookmarkEnd w:id="469"/>
    </w:p>
    <w:p w:rsidR="00EA45F9" w:rsidRPr="009B5734" w:rsidRDefault="00A00208" w:rsidP="00A00208">
      <w:pPr>
        <w:pStyle w:val="Heading5"/>
        <w:rPr>
          <w:noProof/>
        </w:rPr>
      </w:pPr>
      <w:bookmarkStart w:id="470" w:name="_Toc58603267"/>
      <w:bookmarkStart w:id="471" w:name="_Toc58604127"/>
      <w:bookmarkStart w:id="472" w:name="_Toc58605445"/>
      <w:bookmarkStart w:id="473" w:name="_Toc60734082"/>
      <w:r w:rsidRPr="00A00208">
        <w:t>5.1.1.</w:t>
      </w:r>
      <w:r w:rsidRPr="00A00208">
        <w:tab/>
      </w:r>
      <w:r w:rsidR="00EA45F9" w:rsidRPr="009B5734">
        <w:rPr>
          <w:noProof/>
        </w:rPr>
        <w:t xml:space="preserve">Problem 1: Consumers lack </w:t>
      </w:r>
      <w:r w:rsidR="00D60C0B" w:rsidRPr="009B5734">
        <w:rPr>
          <w:noProof/>
        </w:rPr>
        <w:t xml:space="preserve">reliable </w:t>
      </w:r>
      <w:r w:rsidR="00EA45F9" w:rsidRPr="009B5734">
        <w:rPr>
          <w:noProof/>
        </w:rPr>
        <w:t xml:space="preserve">information at the point of sale to make environmentally sustainable </w:t>
      </w:r>
      <w:bookmarkEnd w:id="470"/>
      <w:bookmarkEnd w:id="471"/>
      <w:bookmarkEnd w:id="472"/>
      <w:bookmarkEnd w:id="473"/>
      <w:r w:rsidR="0080633B">
        <w:rPr>
          <w:noProof/>
        </w:rPr>
        <w:t>consumption choices</w:t>
      </w:r>
    </w:p>
    <w:p w:rsidR="00EA45F9" w:rsidRPr="009B5734" w:rsidRDefault="00EA45F9" w:rsidP="00EA45F9">
      <w:pPr>
        <w:pStyle w:val="Heading6"/>
        <w:spacing w:after="240"/>
        <w:rPr>
          <w:rFonts w:ascii="Times New Roman" w:hAnsi="Times New Roman" w:cs="Times New Roman"/>
          <w:noProof/>
          <w:color w:val="auto"/>
          <w:sz w:val="24"/>
          <w:szCs w:val="24"/>
          <w:u w:val="single"/>
        </w:rPr>
      </w:pPr>
      <w:r w:rsidRPr="009B5734">
        <w:rPr>
          <w:rStyle w:val="CommentReference"/>
          <w:rFonts w:ascii="Times New Roman" w:hAnsi="Times New Roman" w:cs="Times New Roman"/>
          <w:noProof/>
          <w:color w:val="auto"/>
          <w:sz w:val="24"/>
          <w:szCs w:val="24"/>
          <w:u w:val="single"/>
        </w:rPr>
        <w:t xml:space="preserve">Sub-problem </w:t>
      </w:r>
      <w:r w:rsidRPr="009B5734">
        <w:rPr>
          <w:rFonts w:ascii="Times New Roman" w:hAnsi="Times New Roman" w:cs="Times New Roman"/>
          <w:noProof/>
          <w:color w:val="auto"/>
          <w:sz w:val="24"/>
          <w:szCs w:val="24"/>
          <w:u w:val="single"/>
        </w:rPr>
        <w:t xml:space="preserve">1.1. </w:t>
      </w:r>
      <w:r w:rsidR="00D60C0B" w:rsidRPr="009B5734">
        <w:rPr>
          <w:rStyle w:val="CommentReference"/>
          <w:rFonts w:ascii="Times New Roman" w:hAnsi="Times New Roman" w:cs="Times New Roman"/>
          <w:noProof/>
          <w:color w:val="auto"/>
          <w:sz w:val="24"/>
          <w:szCs w:val="24"/>
          <w:u w:val="single"/>
        </w:rPr>
        <w:t>Lack of reliable information</w:t>
      </w:r>
      <w:r w:rsidRPr="009B5734">
        <w:rPr>
          <w:rStyle w:val="CommentReference"/>
          <w:rFonts w:ascii="Times New Roman" w:hAnsi="Times New Roman" w:cs="Times New Roman"/>
          <w:noProof/>
          <w:color w:val="auto"/>
          <w:sz w:val="24"/>
          <w:szCs w:val="24"/>
          <w:u w:val="single"/>
        </w:rPr>
        <w:t xml:space="preserve"> on the environmental characteristics of products</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Feedback received across the various strands of consultation strongly indicates that consumers lack information on the environmental characteristics and impacts of products, though this view was more strongly supported among consumers and their representatives than by industry.</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In the consultation on the inception IA, 20 respondents (26%) commented on this problem and all acknowledged that the quality of information provided to consumers on the environmental characteristics of products is not optimal. A notable share (27%) of respondents in the OPC similarly indicated that it is difficult to check if products are environmentally friendly; though a much larger share of consumers (31%) and consumer organisations (42%) identified this as a problem versus companies (32%) and business associations (13%).</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About a quarter of consumers that participated in the consumer survey identified “</w:t>
      </w:r>
      <w:r w:rsidRPr="009B5734">
        <w:rPr>
          <w:rFonts w:ascii="Times New Roman" w:hAnsi="Times New Roman" w:cs="Times New Roman"/>
          <w:i/>
          <w:iCs/>
          <w:noProof/>
          <w:sz w:val="24"/>
          <w:szCs w:val="24"/>
        </w:rPr>
        <w:t>difficulty to check if products are environmentally-friendly</w:t>
      </w:r>
      <w:r w:rsidRPr="009B5734">
        <w:rPr>
          <w:rFonts w:ascii="Times New Roman" w:hAnsi="Times New Roman" w:cs="Times New Roman"/>
          <w:noProof/>
          <w:sz w:val="24"/>
          <w:szCs w:val="24"/>
        </w:rPr>
        <w:t>” (29%) and “</w:t>
      </w:r>
      <w:r w:rsidRPr="009B5734">
        <w:rPr>
          <w:rFonts w:ascii="Times New Roman" w:hAnsi="Times New Roman" w:cs="Times New Roman"/>
          <w:i/>
          <w:iCs/>
          <w:noProof/>
          <w:sz w:val="24"/>
          <w:szCs w:val="24"/>
        </w:rPr>
        <w:t>difficulty to verify the reliability of environmental claims (including climate related) on products</w:t>
      </w:r>
      <w:r w:rsidRPr="009B5734">
        <w:rPr>
          <w:rFonts w:ascii="Times New Roman" w:hAnsi="Times New Roman" w:cs="Times New Roman"/>
          <w:noProof/>
          <w:sz w:val="24"/>
          <w:szCs w:val="24"/>
        </w:rPr>
        <w:t xml:space="preserve">” (25%) as key obstacles that prevent them from adopting more sustainable consumption behaviours. Only </w:t>
      </w:r>
      <w:r w:rsidRPr="009B5734">
        <w:rPr>
          <w:rFonts w:ascii="Times New Roman" w:hAnsi="Times New Roman" w:cs="Times New Roman"/>
          <w:i/>
          <w:iCs/>
          <w:noProof/>
          <w:sz w:val="24"/>
          <w:szCs w:val="24"/>
        </w:rPr>
        <w:t>“perceived higher prices of environmentally-friendly products compared to less environmentally-friendly alternatives</w:t>
      </w:r>
      <w:r w:rsidRPr="009B5734">
        <w:rPr>
          <w:rFonts w:ascii="Times New Roman" w:hAnsi="Times New Roman" w:cs="Times New Roman"/>
          <w:noProof/>
          <w:sz w:val="24"/>
          <w:szCs w:val="24"/>
        </w:rPr>
        <w:t>” was identified as a greater obstacle (39%). The OPC yielded a similar result, with “</w:t>
      </w:r>
      <w:r w:rsidRPr="009B5734">
        <w:rPr>
          <w:rFonts w:ascii="Times New Roman" w:hAnsi="Times New Roman" w:cs="Times New Roman"/>
          <w:i/>
          <w:iCs/>
          <w:noProof/>
          <w:sz w:val="24"/>
          <w:szCs w:val="24"/>
        </w:rPr>
        <w:t xml:space="preserve">difficulty to verify the reliability of environmental claims (including climate related) on products” </w:t>
      </w:r>
      <w:r w:rsidRPr="009B5734">
        <w:rPr>
          <w:rFonts w:ascii="Times New Roman" w:hAnsi="Times New Roman" w:cs="Times New Roman"/>
          <w:noProof/>
          <w:sz w:val="24"/>
          <w:szCs w:val="24"/>
        </w:rPr>
        <w:t>ranked first (33% respondents) and</w:t>
      </w:r>
      <w:r w:rsidRPr="009B5734">
        <w:rPr>
          <w:rFonts w:ascii="Times New Roman" w:hAnsi="Times New Roman" w:cs="Times New Roman"/>
          <w:i/>
          <w:iCs/>
          <w:noProof/>
          <w:sz w:val="24"/>
          <w:szCs w:val="24"/>
        </w:rPr>
        <w:t xml:space="preserve"> “perceived higher prices of environmentally-friendly products compared to less environmentally-friendly alternatives</w:t>
      </w:r>
      <w:r w:rsidRPr="009B5734">
        <w:rPr>
          <w:rFonts w:ascii="Times New Roman" w:hAnsi="Times New Roman" w:cs="Times New Roman"/>
          <w:noProof/>
          <w:sz w:val="24"/>
          <w:szCs w:val="24"/>
        </w:rPr>
        <w:t>” ranked second (30%), though “</w:t>
      </w:r>
      <w:r w:rsidRPr="009B5734">
        <w:rPr>
          <w:rFonts w:ascii="Times New Roman" w:hAnsi="Times New Roman" w:cs="Times New Roman"/>
          <w:i/>
          <w:iCs/>
          <w:noProof/>
          <w:sz w:val="24"/>
          <w:szCs w:val="24"/>
        </w:rPr>
        <w:t>difficulty to check if products are environmentally-friendly</w:t>
      </w:r>
      <w:r w:rsidRPr="009B5734">
        <w:rPr>
          <w:rFonts w:ascii="Times New Roman" w:hAnsi="Times New Roman" w:cs="Times New Roman"/>
          <w:noProof/>
          <w:sz w:val="24"/>
          <w:szCs w:val="24"/>
        </w:rPr>
        <w:t>” was ranked fifth (27%).</w:t>
      </w:r>
    </w:p>
    <w:p w:rsidR="00EA45F9" w:rsidRPr="009B5734" w:rsidRDefault="00EA45F9" w:rsidP="00EA45F9">
      <w:pPr>
        <w:spacing w:after="240"/>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In the targeted consultation, most (76%) respondents indicated that consumers lack awareness of the environmental impacts of products because the information is not provided, or not available. Only 14% (all industry associations) indicated that such information is generally provided. Results from the CATI survey, however, paint a somewhat different picture: 19% of respondents reporting providing information on the environmental impacts of all their products (48% for some or most). In the food and drink sector, 64% said that they do not provide this information at all.</w:t>
      </w:r>
    </w:p>
    <w:p w:rsidR="00EA45F9" w:rsidRPr="009B5734" w:rsidRDefault="00EA45F9" w:rsidP="00EA45F9">
      <w:pPr>
        <w:pStyle w:val="Heading6"/>
        <w:spacing w:after="240"/>
        <w:rPr>
          <w:rFonts w:ascii="Times New Roman" w:hAnsi="Times New Roman" w:cs="Times New Roman"/>
          <w:noProof/>
          <w:color w:val="auto"/>
          <w:sz w:val="24"/>
          <w:u w:val="single"/>
        </w:rPr>
      </w:pPr>
      <w:r w:rsidRPr="009B5734">
        <w:rPr>
          <w:rFonts w:ascii="Times New Roman" w:hAnsi="Times New Roman" w:cs="Times New Roman"/>
          <w:noProof/>
          <w:color w:val="auto"/>
          <w:sz w:val="24"/>
          <w:u w:val="single"/>
        </w:rPr>
        <w:t xml:space="preserve">Sub-problem 1.2. </w:t>
      </w:r>
      <w:r w:rsidR="00D60C0B" w:rsidRPr="009B5734">
        <w:rPr>
          <w:rFonts w:ascii="Times New Roman" w:hAnsi="Times New Roman" w:cs="Times New Roman"/>
          <w:noProof/>
          <w:color w:val="auto"/>
          <w:sz w:val="24"/>
          <w:u w:val="single"/>
        </w:rPr>
        <w:t>Lack of reliable information</w:t>
      </w:r>
      <w:r w:rsidRPr="009B5734">
        <w:rPr>
          <w:rFonts w:ascii="Times New Roman" w:hAnsi="Times New Roman" w:cs="Times New Roman"/>
          <w:noProof/>
          <w:color w:val="auto"/>
          <w:sz w:val="24"/>
          <w:u w:val="single"/>
        </w:rPr>
        <w:t xml:space="preserve"> on the lifespan of goods</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A </w:t>
      </w:r>
      <w:r w:rsidR="00D60C0B" w:rsidRPr="009B5734">
        <w:rPr>
          <w:rFonts w:ascii="Times New Roman" w:hAnsi="Times New Roman" w:cs="Times New Roman"/>
          <w:noProof/>
          <w:sz w:val="24"/>
          <w:szCs w:val="24"/>
        </w:rPr>
        <w:t>lack of reliable information</w:t>
      </w:r>
      <w:r w:rsidRPr="009B5734">
        <w:rPr>
          <w:rFonts w:ascii="Times New Roman" w:hAnsi="Times New Roman" w:cs="Times New Roman"/>
          <w:noProof/>
          <w:sz w:val="24"/>
          <w:szCs w:val="24"/>
        </w:rPr>
        <w:t xml:space="preserve"> on the lifespan of goods was consistently identified as a problem across all strands of consultation. The problem was identified across most stakeholder groups; only stakeholders from industry tended to disagree. </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In the consultation for the inception IA, all eight of the respondents who commented on sub-problem 1.2 acknowledged that information pertaining to products’ durability is either lacking or, where provided, is often unclear, unreliable and/or misleading. Similarly, in the OPC, over a quarter (27%) of respondents indicated that a lack of information on how long products will function without repair creates an obstacle to enhanced consumer participation in the circular economy and towards more sustainable consumption behaviour. There was, however, a strong divergence in views among the different stakeholder groups that participated in the OPC. Consumer associations (53%), academic/research institutions (44%), public authorities (39%), NGOs (37%) and citizens (33%), on the one hand, all thought that the lack of information on the lifespan of goods poses an important barrier to the green transition, but this was not the case for companies/businesses (15%) or business associations (8%).</w:t>
      </w:r>
    </w:p>
    <w:p w:rsidR="00EA45F9" w:rsidRPr="009B5734" w:rsidRDefault="00EA45F9" w:rsidP="00EA45F9">
      <w:pPr>
        <w:ind w:left="0" w:firstLine="0"/>
        <w:rPr>
          <w:rFonts w:ascii="Times New Roman" w:hAnsi="Times New Roman" w:cs="Times New Roman"/>
          <w:noProof/>
          <w:sz w:val="24"/>
          <w:szCs w:val="24"/>
        </w:rPr>
      </w:pP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Consumers believe that information on the lifespan of products is important for empowering their participation. In the consumer survey, “</w:t>
      </w:r>
      <w:r w:rsidRPr="009B5734">
        <w:rPr>
          <w:rFonts w:ascii="Times New Roman" w:hAnsi="Times New Roman" w:cs="Times New Roman"/>
          <w:i/>
          <w:iCs/>
          <w:noProof/>
          <w:sz w:val="24"/>
          <w:szCs w:val="24"/>
        </w:rPr>
        <w:t>information on a ‘guaranteed’ product’s lifespan</w:t>
      </w:r>
      <w:r w:rsidRPr="009B5734">
        <w:rPr>
          <w:rFonts w:ascii="Times New Roman" w:hAnsi="Times New Roman" w:cs="Times New Roman"/>
          <w:noProof/>
          <w:sz w:val="24"/>
          <w:szCs w:val="24"/>
        </w:rPr>
        <w:t>” was identified by nearly a third (30%) of respondents as being one of the most useful pieces of information to enable them to choose more sustainable products.</w:t>
      </w:r>
      <w:r w:rsidRPr="009B5734">
        <w:rPr>
          <w:rStyle w:val="FootnoteReference"/>
          <w:rFonts w:ascii="Times New Roman" w:hAnsi="Times New Roman" w:cs="Times New Roman"/>
          <w:noProof/>
          <w:sz w:val="24"/>
          <w:szCs w:val="24"/>
        </w:rPr>
        <w:footnoteReference w:id="135"/>
      </w:r>
      <w:r w:rsidRPr="009B5734">
        <w:rPr>
          <w:rFonts w:ascii="Times New Roman" w:hAnsi="Times New Roman" w:cs="Times New Roman"/>
          <w:noProof/>
          <w:sz w:val="24"/>
          <w:szCs w:val="24"/>
        </w:rPr>
        <w:t xml:space="preserve"> However, when buying large household appliances (49%), small household appliances (45%), electronic and IT products (55%), and furniture (51%), around half of consumers were not told the estimated lifespan of the product before being repaired and a substantial proportion (17% to 25% depending on the product group) were not told the length of the commercial guarantee. Furthermore, 49% to 55% of consumers were not told how long software updates and upgrades would be provided.</w:t>
      </w:r>
    </w:p>
    <w:p w:rsidR="00EA45F9" w:rsidRPr="009B5734" w:rsidRDefault="00EA45F9" w:rsidP="00EA45F9">
      <w:pPr>
        <w:ind w:left="0" w:firstLine="0"/>
        <w:rPr>
          <w:rFonts w:ascii="Times New Roman" w:hAnsi="Times New Roman" w:cs="Times New Roman"/>
          <w:noProof/>
          <w:sz w:val="24"/>
          <w:szCs w:val="24"/>
        </w:rPr>
      </w:pP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CATI survey sought to explore in more depth whether manufacturers provide information on the expected lifespan of their products. Less than a quarter (23%) said that they provide this information for ‘all products’ and only 6% said yes ‘for most’. In contrast, nearly a third (32%) of manufacturers did not know the expected lifespan of their products and a further 17% said that they do not provide this information. The results from the CATI survey indicate that this information deficit is not being met by retailers either. Only 15% of retailers always provide information on the expected lifespan of products, where this information is not provided by the manufacturer. Just over half (59%) of retailers provide this information for some products. Nearly a third (30%) said that they provide information on ‘</w:t>
      </w:r>
      <w:r w:rsidRPr="009B5734">
        <w:rPr>
          <w:rFonts w:ascii="Times New Roman" w:hAnsi="Times New Roman" w:cs="Times New Roman"/>
          <w:i/>
          <w:noProof/>
          <w:sz w:val="24"/>
          <w:szCs w:val="24"/>
        </w:rPr>
        <w:t>software updates/upgrade policy and period</w:t>
      </w:r>
      <w:r w:rsidRPr="009B5734">
        <w:rPr>
          <w:rFonts w:ascii="Times New Roman" w:hAnsi="Times New Roman" w:cs="Times New Roman"/>
          <w:noProof/>
          <w:sz w:val="24"/>
          <w:szCs w:val="24"/>
        </w:rPr>
        <w:t>’.</w:t>
      </w:r>
    </w:p>
    <w:p w:rsidR="00EA45F9" w:rsidRPr="009B5734" w:rsidRDefault="00EA45F9" w:rsidP="00EA45F9">
      <w:pPr>
        <w:ind w:left="0" w:firstLine="0"/>
        <w:rPr>
          <w:rFonts w:ascii="Times New Roman" w:hAnsi="Times New Roman" w:cs="Times New Roman"/>
          <w:noProof/>
          <w:sz w:val="24"/>
          <w:szCs w:val="24"/>
        </w:rPr>
      </w:pP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In the targeted consultation, most stakeholders confirmed that consumers are not provided with information on either the lifespan of goods (without and with minor repairs). </w:t>
      </w:r>
    </w:p>
    <w:p w:rsidR="00EA45F9" w:rsidRPr="009B5734" w:rsidRDefault="00EA45F9" w:rsidP="00EA45F9">
      <w:pPr>
        <w:pStyle w:val="BodyTextEC"/>
        <w:rPr>
          <w:noProof/>
        </w:rPr>
      </w:pPr>
    </w:p>
    <w:p w:rsidR="00EA45F9" w:rsidRPr="009B5734" w:rsidRDefault="00EA45F9" w:rsidP="00EA45F9">
      <w:pPr>
        <w:pStyle w:val="Heading6"/>
        <w:spacing w:after="240"/>
        <w:rPr>
          <w:rFonts w:ascii="Times New Roman" w:hAnsi="Times New Roman" w:cs="Times New Roman"/>
          <w:noProof/>
          <w:color w:val="auto"/>
          <w:sz w:val="24"/>
          <w:u w:val="single"/>
        </w:rPr>
      </w:pPr>
      <w:r w:rsidRPr="009B5734">
        <w:rPr>
          <w:rFonts w:ascii="Times New Roman" w:hAnsi="Times New Roman" w:cs="Times New Roman"/>
          <w:noProof/>
          <w:color w:val="auto"/>
          <w:sz w:val="24"/>
          <w:u w:val="single"/>
        </w:rPr>
        <w:t xml:space="preserve">Sub-problem 1.3. </w:t>
      </w:r>
      <w:r w:rsidR="00D60C0B" w:rsidRPr="009B5734">
        <w:rPr>
          <w:rFonts w:ascii="Times New Roman" w:hAnsi="Times New Roman" w:cs="Times New Roman"/>
          <w:noProof/>
          <w:color w:val="auto"/>
          <w:sz w:val="24"/>
          <w:u w:val="single"/>
        </w:rPr>
        <w:t>Lack of reliable information</w:t>
      </w:r>
      <w:r w:rsidRPr="009B5734">
        <w:rPr>
          <w:rFonts w:ascii="Times New Roman" w:hAnsi="Times New Roman" w:cs="Times New Roman"/>
          <w:noProof/>
          <w:color w:val="auto"/>
          <w:sz w:val="24"/>
          <w:u w:val="single"/>
        </w:rPr>
        <w:t xml:space="preserve"> about products’ reparability</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A </w:t>
      </w:r>
      <w:r w:rsidR="00D60C0B" w:rsidRPr="009B5734">
        <w:rPr>
          <w:rFonts w:ascii="Times New Roman" w:hAnsi="Times New Roman" w:cs="Times New Roman"/>
          <w:noProof/>
          <w:sz w:val="24"/>
          <w:szCs w:val="24"/>
        </w:rPr>
        <w:t>lack of reliable information</w:t>
      </w:r>
      <w:r w:rsidRPr="009B5734">
        <w:rPr>
          <w:rFonts w:ascii="Times New Roman" w:hAnsi="Times New Roman" w:cs="Times New Roman"/>
          <w:noProof/>
          <w:sz w:val="24"/>
          <w:szCs w:val="24"/>
        </w:rPr>
        <w:t xml:space="preserve"> to support the repair, update and upgrade of products was consistently identified as problematic by consumers, their representatives and most other groups of stakeholders during the consultation. Contrary to this, representatives from industry mostly indicated that information on reparability is widely available. </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In the consumer survey, around half of consumers said that they were not told how long spare parts would remain available (48% to 55% depending on the product group) Almost all consumer associations and other organisations consulted during the targeted consultation considered that information on the availability of repair services, on the availability of spare parts and on relevant software update/upgrades is not widely available to consumers. This finding also corroborates the information gathered in the earlier consultation for the inception IA, where most respondents acknowledged that consumers are not sufficiently made aware of products’ extent of reparability. Similarly, in the OPC, 33% of citizens, 53% of consumer organisations and 39% of public authorities ranked ‘</w:t>
      </w:r>
      <w:r w:rsidRPr="009B5734">
        <w:rPr>
          <w:rFonts w:ascii="Times New Roman" w:hAnsi="Times New Roman" w:cs="Times New Roman"/>
          <w:i/>
          <w:iCs/>
          <w:noProof/>
          <w:sz w:val="24"/>
          <w:szCs w:val="24"/>
        </w:rPr>
        <w:t>difficulty to know how long products will function without repair</w:t>
      </w:r>
      <w:r w:rsidRPr="009B5734">
        <w:rPr>
          <w:rFonts w:ascii="Times New Roman" w:hAnsi="Times New Roman" w:cs="Times New Roman"/>
          <w:noProof/>
          <w:sz w:val="24"/>
          <w:szCs w:val="24"/>
        </w:rPr>
        <w:t>’ as an important obstacle to enhanced consumer participation in the circular economy and towards more sustainable consumption behaviour.</w:t>
      </w:r>
    </w:p>
    <w:p w:rsidR="00EA45F9" w:rsidRPr="009B5734" w:rsidRDefault="00EA45F9" w:rsidP="00EA45F9">
      <w:pPr>
        <w:ind w:left="0" w:firstLine="0"/>
        <w:rPr>
          <w:rFonts w:ascii="Times New Roman" w:hAnsi="Times New Roman" w:cs="Times New Roman"/>
          <w:noProof/>
          <w:sz w:val="24"/>
          <w:szCs w:val="24"/>
        </w:rPr>
      </w:pPr>
    </w:p>
    <w:p w:rsidR="00EA45F9" w:rsidRPr="009B5734" w:rsidRDefault="00EA45F9" w:rsidP="00EA45F9">
      <w:pPr>
        <w:spacing w:after="240"/>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view from industry was somewhat different, however. In the OPC, only 8% of business associations and 15% of company/business organisations thought that a ‘</w:t>
      </w:r>
      <w:r w:rsidRPr="009B5734">
        <w:rPr>
          <w:rFonts w:ascii="Times New Roman" w:hAnsi="Times New Roman" w:cs="Times New Roman"/>
          <w:i/>
          <w:iCs/>
          <w:noProof/>
          <w:sz w:val="24"/>
          <w:szCs w:val="24"/>
        </w:rPr>
        <w:t>difficulty to know how long products will function without repair</w:t>
      </w:r>
      <w:r w:rsidRPr="009B5734">
        <w:rPr>
          <w:rFonts w:ascii="Times New Roman" w:hAnsi="Times New Roman" w:cs="Times New Roman"/>
          <w:noProof/>
          <w:sz w:val="24"/>
          <w:szCs w:val="24"/>
        </w:rPr>
        <w:t>’ creates an obstacle to enhanced consumer participation in the green transition. Similarly, during the targeted consultation, most industry associations felt that information relating to reparability is widely available. Nearly half (45%) of manufacturers in the CATI survey claimed to provide information on the ‘</w:t>
      </w:r>
      <w:r w:rsidRPr="009B5734">
        <w:rPr>
          <w:rFonts w:ascii="Times New Roman" w:hAnsi="Times New Roman" w:cs="Times New Roman"/>
          <w:i/>
          <w:iCs/>
          <w:noProof/>
          <w:sz w:val="24"/>
          <w:szCs w:val="24"/>
        </w:rPr>
        <w:t>period in which spare parts will be available</w:t>
      </w:r>
      <w:r w:rsidRPr="009B5734">
        <w:rPr>
          <w:rFonts w:ascii="Times New Roman" w:hAnsi="Times New Roman" w:cs="Times New Roman"/>
          <w:noProof/>
          <w:sz w:val="24"/>
          <w:szCs w:val="24"/>
        </w:rPr>
        <w:t>’, 40% said that they provide information on the ‘</w:t>
      </w:r>
      <w:r w:rsidRPr="009B5734">
        <w:rPr>
          <w:rFonts w:ascii="Times New Roman" w:hAnsi="Times New Roman" w:cs="Times New Roman"/>
          <w:i/>
          <w:iCs/>
          <w:noProof/>
          <w:sz w:val="24"/>
          <w:szCs w:val="24"/>
        </w:rPr>
        <w:t>period in which repair services will be available</w:t>
      </w:r>
      <w:r w:rsidRPr="009B5734">
        <w:rPr>
          <w:rFonts w:ascii="Times New Roman" w:hAnsi="Times New Roman" w:cs="Times New Roman"/>
          <w:noProof/>
          <w:sz w:val="24"/>
          <w:szCs w:val="24"/>
        </w:rPr>
        <w:t xml:space="preserve">’.  </w:t>
      </w:r>
    </w:p>
    <w:p w:rsidR="00EA45F9" w:rsidRPr="009B5734" w:rsidRDefault="00A00208" w:rsidP="00A00208">
      <w:pPr>
        <w:pStyle w:val="Heading5"/>
        <w:rPr>
          <w:noProof/>
        </w:rPr>
      </w:pPr>
      <w:bookmarkStart w:id="474" w:name="_Toc58603268"/>
      <w:bookmarkStart w:id="475" w:name="_Toc58604128"/>
      <w:bookmarkStart w:id="476" w:name="_Toc58605446"/>
      <w:bookmarkStart w:id="477" w:name="_Toc60734083"/>
      <w:r w:rsidRPr="00A00208">
        <w:t>5.1.2.</w:t>
      </w:r>
      <w:r w:rsidRPr="00A00208">
        <w:tab/>
      </w:r>
      <w:r w:rsidR="00EA45F9" w:rsidRPr="009B5734">
        <w:rPr>
          <w:noProof/>
        </w:rPr>
        <w:t xml:space="preserve">Problem 2: Consumers </w:t>
      </w:r>
      <w:r w:rsidR="00D60C0B" w:rsidRPr="009B5734">
        <w:rPr>
          <w:noProof/>
        </w:rPr>
        <w:t xml:space="preserve">face misleading commercial practices </w:t>
      </w:r>
      <w:r w:rsidR="0080633B">
        <w:rPr>
          <w:noProof/>
        </w:rPr>
        <w:t>related</w:t>
      </w:r>
      <w:r w:rsidR="00EA45F9" w:rsidRPr="009B5734">
        <w:rPr>
          <w:noProof/>
        </w:rPr>
        <w:t xml:space="preserve"> to </w:t>
      </w:r>
      <w:bookmarkEnd w:id="474"/>
      <w:bookmarkEnd w:id="475"/>
      <w:bookmarkEnd w:id="476"/>
      <w:bookmarkEnd w:id="477"/>
      <w:r w:rsidR="0080633B">
        <w:rPr>
          <w:noProof/>
        </w:rPr>
        <w:t>the sustainability of products</w:t>
      </w:r>
    </w:p>
    <w:p w:rsidR="00EA45F9" w:rsidRPr="009B5734" w:rsidRDefault="00EA45F9" w:rsidP="00EA45F9">
      <w:pPr>
        <w:pStyle w:val="Heading6"/>
        <w:spacing w:after="240"/>
        <w:rPr>
          <w:rFonts w:ascii="Times New Roman" w:hAnsi="Times New Roman" w:cs="Times New Roman"/>
          <w:noProof/>
          <w:color w:val="auto"/>
          <w:sz w:val="24"/>
          <w:u w:val="single"/>
        </w:rPr>
      </w:pPr>
      <w:r w:rsidRPr="009B5734">
        <w:rPr>
          <w:rFonts w:ascii="Times New Roman" w:hAnsi="Times New Roman" w:cs="Times New Roman"/>
          <w:noProof/>
          <w:color w:val="auto"/>
          <w:sz w:val="24"/>
          <w:u w:val="single"/>
        </w:rPr>
        <w:t>Sub-problem 2.1. Consumers are sold products that do not last as long as they could or consumers expect (“early obsolescence”)</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Across the different strands of consultation, most stakeholder groups (including consumers and their representatives, but not those representing industry) considered that premature obsolescence occurs to some extent; though most also believed that product failure is not necessarily planned. Based on feedback in the consultation for the inception IA, planned obsolescence is a practice that has become more commonly discussed over time. However, enforcement authorities were unable to provide any information on how often it occurs.</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Product failure appears to be a common problem. In the OPC, most respondents indicated that they had experienced the unexpected failure of one or more products in the past 3 years; with ICT products identified as being most problematic. Nearly half the participants (47%) said that they had experienced the unexpected failure of an ICT product in the last 3 years. All (100%) consumer associations, 73% of public authorities and 66% of companies/businesses said that they had experienced such a failure. </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Independent experts consulted during the targeted consultation indicated that while products may be failing earlier than they should, this may not be linked to an intention of companies to increase their replacement rate. In the long industry survey, two participants who commented on intentional obsolescence claimed not to apply such practices; though this may not be representative of industry practice as a whole. Industry representatives also questioned whether shorter lifespans are linked solely to the choices of manufacturers, rather than to consumer behaviour, such as poor maintenance and increased use.</w:t>
      </w:r>
    </w:p>
    <w:p w:rsidR="00EA45F9" w:rsidRPr="009B5734" w:rsidRDefault="00EA45F9" w:rsidP="00EA45F9">
      <w:pPr>
        <w:pStyle w:val="BTNumbList"/>
        <w:spacing w:before="0"/>
        <w:rPr>
          <w:rFonts w:ascii="Times New Roman" w:hAnsi="Times New Roman"/>
          <w:noProof/>
          <w:sz w:val="24"/>
        </w:rPr>
      </w:pPr>
      <w:r w:rsidRPr="009B5734">
        <w:rPr>
          <w:rFonts w:ascii="Times New Roman" w:hAnsi="Times New Roman"/>
          <w:noProof/>
          <w:sz w:val="24"/>
        </w:rPr>
        <w:t xml:space="preserve">While most stakeholders were convinced of the existence of obsolescence practices, most also considered them difficult to verify. </w:t>
      </w:r>
    </w:p>
    <w:p w:rsidR="00EA45F9" w:rsidRPr="009B5734" w:rsidRDefault="00EA45F9" w:rsidP="00EA45F9">
      <w:pPr>
        <w:pStyle w:val="BTNumbList"/>
        <w:spacing w:before="0" w:after="240"/>
        <w:rPr>
          <w:rFonts w:ascii="Times New Roman" w:hAnsi="Times New Roman"/>
          <w:noProof/>
          <w:sz w:val="24"/>
        </w:rPr>
      </w:pPr>
      <w:r w:rsidRPr="009B5734">
        <w:rPr>
          <w:rFonts w:ascii="Times New Roman" w:hAnsi="Times New Roman"/>
          <w:noProof/>
          <w:sz w:val="24"/>
        </w:rPr>
        <w:t xml:space="preserve">When asked whether they were told by the seller about known weaknesses that might cause a product to fail prematurely, consumers indicated that sellers generally do not provide this information. Results from the consumer survey indicate that information about potential weaknesses is provided only a quarter of the time (20%) for large household appliances, 30% of the time for small household appliances, 17% of the time for electronics, and 26% of the time in the case of furniture. </w:t>
      </w:r>
    </w:p>
    <w:p w:rsidR="00EA45F9" w:rsidRPr="009B5734" w:rsidRDefault="00EA45F9" w:rsidP="00EA45F9">
      <w:pPr>
        <w:pStyle w:val="Heading6"/>
        <w:spacing w:after="240"/>
        <w:rPr>
          <w:rFonts w:ascii="Times New Roman" w:hAnsi="Times New Roman" w:cs="Times New Roman"/>
          <w:noProof/>
          <w:color w:val="auto"/>
          <w:sz w:val="24"/>
          <w:u w:val="single"/>
        </w:rPr>
      </w:pPr>
      <w:r w:rsidRPr="009B5734">
        <w:rPr>
          <w:rFonts w:ascii="Times New Roman" w:hAnsi="Times New Roman" w:cs="Times New Roman"/>
          <w:noProof/>
          <w:color w:val="auto"/>
          <w:sz w:val="24"/>
          <w:u w:val="single"/>
        </w:rPr>
        <w:t xml:space="preserve">Sub-problem 2.2. </w:t>
      </w:r>
      <w:r w:rsidR="00D60C0B" w:rsidRPr="009B5734">
        <w:rPr>
          <w:rFonts w:ascii="Times New Roman" w:hAnsi="Times New Roman" w:cs="Times New Roman"/>
          <w:noProof/>
          <w:color w:val="auto"/>
          <w:sz w:val="24"/>
          <w:u w:val="single"/>
        </w:rPr>
        <w:t>Consumers are faced with the practice of making unclear or not well-substantiated green claims (“Greenwashing”)</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view of most respondents across all the different strands of consultation was that greenwashing is a problem; only industry representatives tended to disagree.</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In the consultation for the inception IA and the targeted consultation, the majority of participants (except those representing industry) recognised that greenwashing has become an important and persistent problem that is impeding consumers’ ability to choose more sustainable products. This coincides with the results from the OPC, in which 33% of respondents selected "</w:t>
      </w:r>
      <w:r w:rsidRPr="009B5734">
        <w:rPr>
          <w:rFonts w:ascii="Times New Roman" w:hAnsi="Times New Roman" w:cs="Times New Roman"/>
          <w:i/>
          <w:iCs/>
          <w:noProof/>
          <w:sz w:val="24"/>
          <w:szCs w:val="24"/>
        </w:rPr>
        <w:t>difficulties to verify the reliability of environmental claims (including climate related) on products</w:t>
      </w:r>
      <w:r w:rsidRPr="009B5734">
        <w:rPr>
          <w:rFonts w:ascii="Times New Roman" w:hAnsi="Times New Roman" w:cs="Times New Roman"/>
          <w:noProof/>
          <w:sz w:val="24"/>
          <w:szCs w:val="24"/>
        </w:rPr>
        <w:t>" as a relevant obstacle to enhanced consumer participation in the circular economy and towards more sustainable consumption behaviour. Over half (58%) of consumer organisations and 36% of citizens selected this as a relevant obstacle.</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Unfounded or unsubstantiated environmental labels and claims were also identified by various stakeholders (including consumer organisations and public authorities) as misleading consumers. Their feedback indicates that information is deliberately manipulated (e.g. using general and vague terms) rather than being completely false. Industry associations, however, tended to disagree that the practice of ‘greenwashing’ is prevalent. Public authorities noted (at the CPC workshop) that they often find it difficult to prove that environmental claims are unfounded or unsubstantiated because they lack the technical knowledge to analyse the evidence provided by traders. </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In the consumer survey, 70% of respondents indicated that they would report a misleading or false claim about how environmentally friendly a product or service is. The most common reason cited for not reporting a misleading or false claim was a belief that complaining would not have an impact.</w:t>
      </w:r>
    </w:p>
    <w:p w:rsidR="00EA45F9" w:rsidRPr="009B5734" w:rsidRDefault="00EA45F9" w:rsidP="00EA45F9">
      <w:pPr>
        <w:spacing w:after="240"/>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In contrast, most industry representatives disagreed with the assertion that greenwashing is problematic. In the OPC, less than a quarter (24% of business associations and 23% of companies/businesses) selected "</w:t>
      </w:r>
      <w:r w:rsidRPr="009B5734">
        <w:rPr>
          <w:rFonts w:ascii="Times New Roman" w:hAnsi="Times New Roman" w:cs="Times New Roman"/>
          <w:i/>
          <w:iCs/>
          <w:noProof/>
          <w:sz w:val="24"/>
          <w:szCs w:val="24"/>
        </w:rPr>
        <w:t>difficulties to verify the reliability of environmental claims (including climate related) on products</w:t>
      </w:r>
      <w:r w:rsidRPr="009B5734">
        <w:rPr>
          <w:rFonts w:ascii="Times New Roman" w:hAnsi="Times New Roman" w:cs="Times New Roman"/>
          <w:noProof/>
          <w:sz w:val="24"/>
          <w:szCs w:val="24"/>
        </w:rPr>
        <w:t xml:space="preserve">" as a relevant obstacle towards more sustainable consumption behaviour. </w:t>
      </w:r>
    </w:p>
    <w:p w:rsidR="00EA45F9" w:rsidRPr="009B5734" w:rsidRDefault="00EA45F9" w:rsidP="00EA45F9">
      <w:pPr>
        <w:pStyle w:val="Heading6"/>
        <w:spacing w:after="240"/>
        <w:rPr>
          <w:rFonts w:ascii="Times New Roman" w:hAnsi="Times New Roman" w:cs="Times New Roman"/>
          <w:noProof/>
          <w:color w:val="auto"/>
          <w:sz w:val="24"/>
          <w:u w:val="single"/>
        </w:rPr>
      </w:pPr>
      <w:r w:rsidRPr="009B5734">
        <w:rPr>
          <w:rFonts w:ascii="Times New Roman" w:hAnsi="Times New Roman" w:cs="Times New Roman"/>
          <w:noProof/>
          <w:color w:val="auto"/>
          <w:sz w:val="24"/>
          <w:u w:val="single"/>
        </w:rPr>
        <w:t xml:space="preserve">Sub-problem 2.3. </w:t>
      </w:r>
      <w:r w:rsidR="00D60C0B" w:rsidRPr="009B5734">
        <w:rPr>
          <w:rFonts w:ascii="Times New Roman" w:hAnsi="Times New Roman" w:cs="Times New Roman"/>
          <w:noProof/>
          <w:color w:val="auto"/>
          <w:sz w:val="24"/>
          <w:u w:val="single"/>
        </w:rPr>
        <w:t>Consumers are faced with the use of sustainability labels and digital information tools that are not always transparent and credible</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In the consultation for the inception IA and the targeted consultation, most respondents identified the proliferation of sustainability logos, labels and other claims as an important and persistent problem across the EU. Similarly, in the OPC, over a quarter (27%) of participants selected "</w:t>
      </w:r>
      <w:r w:rsidRPr="009B5734">
        <w:rPr>
          <w:rFonts w:ascii="Times New Roman" w:hAnsi="Times New Roman" w:cs="Times New Roman"/>
          <w:i/>
          <w:iCs/>
          <w:noProof/>
          <w:sz w:val="24"/>
          <w:szCs w:val="24"/>
        </w:rPr>
        <w:t>the proliferation and/or lack of transparency/ understanding/reliability of sustainability logos/labels on products and services</w:t>
      </w:r>
      <w:r w:rsidRPr="009B5734">
        <w:rPr>
          <w:rFonts w:ascii="Times New Roman" w:hAnsi="Times New Roman" w:cs="Times New Roman"/>
          <w:noProof/>
          <w:sz w:val="24"/>
          <w:szCs w:val="24"/>
        </w:rPr>
        <w:t>" as a relevant obstacle to empowering consumers for the green transition. Interestingly though, it was industry representatives that were more likely to identify this as a problem than consumers and their representatives. Moreover, 34% of businesses identified the "</w:t>
      </w:r>
      <w:r w:rsidRPr="009B5734">
        <w:rPr>
          <w:rFonts w:ascii="Times New Roman" w:hAnsi="Times New Roman" w:cs="Times New Roman"/>
          <w:i/>
          <w:iCs/>
          <w:noProof/>
          <w:sz w:val="24"/>
          <w:szCs w:val="24"/>
        </w:rPr>
        <w:t>the proliferation and/or lack of transparency / understanding / reliability of sustainability logos / labels</w:t>
      </w:r>
      <w:r w:rsidRPr="009B5734">
        <w:rPr>
          <w:rFonts w:ascii="Times New Roman" w:hAnsi="Times New Roman" w:cs="Times New Roman"/>
          <w:noProof/>
          <w:sz w:val="24"/>
          <w:szCs w:val="24"/>
        </w:rPr>
        <w:t>" as an obstacle versus only 27% of citizens and 16% of consumer organisations. In the consumer survey, only 16% of consumers identified this as an obstacle to adopting more sustainable consumption behaviours.</w:t>
      </w:r>
      <w:r w:rsidRPr="009B5734">
        <w:rPr>
          <w:rStyle w:val="FootnoteReference"/>
          <w:rFonts w:ascii="Times New Roman" w:hAnsi="Times New Roman" w:cs="Times New Roman"/>
          <w:noProof/>
          <w:sz w:val="24"/>
          <w:szCs w:val="24"/>
        </w:rPr>
        <w:footnoteReference w:id="136"/>
      </w:r>
      <w:r w:rsidRPr="009B5734">
        <w:rPr>
          <w:rFonts w:ascii="Times New Roman" w:hAnsi="Times New Roman" w:cs="Times New Roman"/>
          <w:noProof/>
          <w:sz w:val="24"/>
          <w:szCs w:val="24"/>
        </w:rPr>
        <w:t xml:space="preserve"> </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This issue has been amplified by the rapid emergence of a number of (private/voluntary) labelling schemes at national / Member State level, making comparability across products increasingly difficult for consumers. In addition, there are concerns among stakeholders interviews that </w:t>
      </w:r>
      <w:r w:rsidRPr="009B5734">
        <w:rPr>
          <w:rFonts w:ascii="Times New Roman" w:hAnsi="Times New Roman" w:cs="Times New Roman"/>
          <w:i/>
          <w:iCs/>
          <w:noProof/>
          <w:sz w:val="24"/>
          <w:szCs w:val="24"/>
        </w:rPr>
        <w:t>not</w:t>
      </w:r>
      <w:r w:rsidRPr="009B5734">
        <w:rPr>
          <w:rFonts w:ascii="Times New Roman" w:hAnsi="Times New Roman" w:cs="Times New Roman"/>
          <w:noProof/>
          <w:sz w:val="24"/>
          <w:szCs w:val="24"/>
        </w:rPr>
        <w:t xml:space="preserve"> all labels are certified or validated (by a recognised institution), which may thus be driving consumers to choose products that are not necessarily “green.” </w:t>
      </w:r>
    </w:p>
    <w:p w:rsidR="00B34DB9" w:rsidRPr="009B5734" w:rsidRDefault="00EA45F9" w:rsidP="00B34DB9">
      <w:pPr>
        <w:spacing w:after="240"/>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In comparison to issues around logos/labels, far fewer stakeholders identified ‘</w:t>
      </w:r>
      <w:r w:rsidRPr="6C4FA276">
        <w:rPr>
          <w:rFonts w:ascii="Times New Roman" w:hAnsi="Times New Roman" w:cs="Times New Roman"/>
          <w:i/>
          <w:iCs/>
          <w:noProof/>
          <w:sz w:val="24"/>
          <w:szCs w:val="24"/>
        </w:rPr>
        <w:t>the proliferation and/or lack of transparency/understanding/reliability of IT tools</w:t>
      </w:r>
      <w:r w:rsidRPr="009B5734">
        <w:rPr>
          <w:rFonts w:ascii="Times New Roman" w:hAnsi="Times New Roman" w:cs="Times New Roman"/>
          <w:noProof/>
          <w:sz w:val="24"/>
          <w:szCs w:val="24"/>
        </w:rPr>
        <w:t>’ as being problematic. In the OPC, only 8% of respondents identified this as an important obstacle and a similar percentage of respondents in the consumer survey (9%) identified the ‘</w:t>
      </w:r>
      <w:r w:rsidRPr="6C4FA276">
        <w:rPr>
          <w:rFonts w:ascii="Times New Roman" w:hAnsi="Times New Roman" w:cs="Times New Roman"/>
          <w:i/>
          <w:iCs/>
          <w:noProof/>
          <w:sz w:val="24"/>
          <w:szCs w:val="24"/>
        </w:rPr>
        <w:t>Proliferation and/or lack of transparency/understanding/reliability of IT tools (e.g. consumer apps) that provide advice for a more sustainable consumer behaviour</w:t>
      </w:r>
      <w:r w:rsidRPr="009B5734">
        <w:rPr>
          <w:rFonts w:ascii="Times New Roman" w:hAnsi="Times New Roman" w:cs="Times New Roman"/>
          <w:noProof/>
          <w:sz w:val="24"/>
          <w:szCs w:val="24"/>
        </w:rPr>
        <w:t>’ as an obstacle that prevents them from adopting more sustainable consumption behaviours.</w:t>
      </w:r>
    </w:p>
    <w:p w:rsidR="00B34DB9" w:rsidRPr="009B5734" w:rsidRDefault="00B34DB9" w:rsidP="00EA45F9">
      <w:pPr>
        <w:spacing w:after="240"/>
        <w:ind w:left="0" w:firstLine="0"/>
        <w:rPr>
          <w:rFonts w:ascii="Times New Roman" w:hAnsi="Times New Roman" w:cs="Times New Roman"/>
          <w:noProof/>
          <w:sz w:val="24"/>
          <w:szCs w:val="24"/>
        </w:rPr>
      </w:pPr>
    </w:p>
    <w:p w:rsidR="00EA45F9" w:rsidRPr="009B5734" w:rsidRDefault="00A00208" w:rsidP="00A00208">
      <w:pPr>
        <w:pStyle w:val="Heading4"/>
        <w:rPr>
          <w:noProof/>
        </w:rPr>
      </w:pPr>
      <w:bookmarkStart w:id="478" w:name="_Views_on_possible_1"/>
      <w:bookmarkStart w:id="479" w:name="_Toc57133111"/>
      <w:bookmarkStart w:id="480" w:name="_Toc58603269"/>
      <w:bookmarkStart w:id="481" w:name="_Toc58604129"/>
      <w:bookmarkStart w:id="482" w:name="_Toc58605447"/>
      <w:bookmarkStart w:id="483" w:name="_Toc60734084"/>
      <w:bookmarkStart w:id="484" w:name="_Toc75440980"/>
      <w:bookmarkStart w:id="485" w:name="_Toc75446979"/>
      <w:bookmarkStart w:id="486" w:name="_Toc75448852"/>
      <w:bookmarkEnd w:id="478"/>
      <w:r w:rsidRPr="00A00208">
        <w:t>5.2.</w:t>
      </w:r>
      <w:r w:rsidRPr="00A00208">
        <w:tab/>
      </w:r>
      <w:r w:rsidR="00EA45F9" w:rsidRPr="009B5734">
        <w:rPr>
          <w:noProof/>
        </w:rPr>
        <w:t>Views on possible options/policy interventions</w:t>
      </w:r>
      <w:bookmarkEnd w:id="479"/>
      <w:bookmarkEnd w:id="480"/>
      <w:bookmarkEnd w:id="481"/>
      <w:bookmarkEnd w:id="482"/>
      <w:bookmarkEnd w:id="483"/>
      <w:bookmarkEnd w:id="484"/>
      <w:bookmarkEnd w:id="485"/>
      <w:bookmarkEnd w:id="486"/>
    </w:p>
    <w:p w:rsidR="00EA45F9" w:rsidRPr="009B5734" w:rsidRDefault="00A00208" w:rsidP="00A00208">
      <w:pPr>
        <w:pStyle w:val="Heading5"/>
        <w:rPr>
          <w:noProof/>
        </w:rPr>
      </w:pPr>
      <w:bookmarkStart w:id="487" w:name="_Toc58603270"/>
      <w:bookmarkStart w:id="488" w:name="_Toc58604130"/>
      <w:bookmarkStart w:id="489" w:name="_Toc58605448"/>
      <w:bookmarkStart w:id="490" w:name="_Toc60734085"/>
      <w:r w:rsidRPr="00A00208">
        <w:t>5.2.1.</w:t>
      </w:r>
      <w:r w:rsidRPr="00A00208">
        <w:tab/>
      </w:r>
      <w:r w:rsidR="00EA45F9" w:rsidRPr="009B5734">
        <w:rPr>
          <w:noProof/>
        </w:rPr>
        <w:t>Problem 1: Consumers lack relevant information at the point of sale to make environmentally sustainable purchases</w:t>
      </w:r>
      <w:bookmarkEnd w:id="487"/>
      <w:bookmarkEnd w:id="488"/>
      <w:bookmarkEnd w:id="489"/>
      <w:bookmarkEnd w:id="490"/>
    </w:p>
    <w:p w:rsidR="00EA45F9" w:rsidRPr="009B5734" w:rsidRDefault="00EA45F9" w:rsidP="00EA45F9">
      <w:pPr>
        <w:pStyle w:val="Heading6"/>
        <w:spacing w:after="240"/>
        <w:rPr>
          <w:rFonts w:ascii="Times New Roman" w:hAnsi="Times New Roman" w:cs="Times New Roman"/>
          <w:noProof/>
          <w:color w:val="auto"/>
          <w:sz w:val="24"/>
          <w:u w:val="single"/>
        </w:rPr>
      </w:pPr>
      <w:r w:rsidRPr="009B5734">
        <w:rPr>
          <w:rFonts w:ascii="Times New Roman" w:hAnsi="Times New Roman" w:cs="Times New Roman"/>
          <w:noProof/>
          <w:color w:val="auto"/>
          <w:sz w:val="24"/>
          <w:u w:val="single"/>
        </w:rPr>
        <w:t xml:space="preserve">Sub-problem 1.1. </w:t>
      </w:r>
      <w:r w:rsidR="00D60C0B" w:rsidRPr="009B5734">
        <w:rPr>
          <w:rFonts w:ascii="Times New Roman" w:hAnsi="Times New Roman" w:cs="Times New Roman"/>
          <w:noProof/>
          <w:color w:val="auto"/>
          <w:sz w:val="24"/>
          <w:u w:val="single"/>
        </w:rPr>
        <w:t>Lack of reliable information</w:t>
      </w:r>
      <w:r w:rsidRPr="009B5734">
        <w:rPr>
          <w:rFonts w:ascii="Times New Roman" w:hAnsi="Times New Roman" w:cs="Times New Roman"/>
          <w:noProof/>
          <w:color w:val="auto"/>
          <w:sz w:val="24"/>
          <w:u w:val="single"/>
        </w:rPr>
        <w:t xml:space="preserve"> about products’ environmental characteristics</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In the consultation for the inception IA, most of the 38 respondents who commented on potential solutions to sub-problem 1.1 seemed to favour the idea of making changes to the information requirements surrounding the environmental characteristics of consumer products, though respondents held different views on how to go about it. </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In the OPC, 39% of respondents indicated that it would be useful to have information on the product’s life-cycle environmental and climate footprint. This reflects the results from the targeted consultation, in which most respondents (across all stakeholder categories) indicated that requiring an indication of the overall environmental performance of products would be most effective. </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In the targeted consultation, most business associations (four out of five) thought that an option to mandate the indication of the overall environmental performance of products would be at least somewhat feasible, though three thought that the option would entail high costs and two moderate costs. Various challenges were also identified, including a risk that the option may unfairly impact certain product categories. There was a view from the industry that current information requirements (such as those from the CRD) are already appropriate and sufficient. A majority (five out of six) of the public authorities that provided a view believed that the option would be at least somewhat effective. </w:t>
      </w:r>
    </w:p>
    <w:p w:rsidR="00EA45F9" w:rsidRPr="009B5734" w:rsidRDefault="00EA45F9" w:rsidP="00EA45F9">
      <w:pPr>
        <w:spacing w:after="240"/>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In the CATI survey, manufacturers and retailers were asked to indicate the scale of impact</w:t>
      </w:r>
      <w:r w:rsidRPr="009B5734">
        <w:rPr>
          <w:rStyle w:val="FootnoteReference"/>
          <w:rFonts w:ascii="Times New Roman" w:hAnsi="Times New Roman" w:cs="Times New Roman"/>
          <w:noProof/>
          <w:sz w:val="24"/>
          <w:szCs w:val="24"/>
        </w:rPr>
        <w:footnoteReference w:id="137"/>
      </w:r>
      <w:r w:rsidRPr="009B5734">
        <w:rPr>
          <w:rFonts w:ascii="Times New Roman" w:hAnsi="Times New Roman" w:cs="Times New Roman"/>
          <w:noProof/>
          <w:sz w:val="24"/>
          <w:szCs w:val="24"/>
        </w:rPr>
        <w:t xml:space="preserve"> on their organisation of the introduction of a legal ‘</w:t>
      </w:r>
      <w:r w:rsidRPr="009B5734">
        <w:rPr>
          <w:rFonts w:ascii="Times New Roman" w:hAnsi="Times New Roman" w:cs="Times New Roman"/>
          <w:i/>
          <w:iCs/>
          <w:noProof/>
          <w:sz w:val="24"/>
          <w:szCs w:val="24"/>
        </w:rPr>
        <w:t>obligation to provide information on environmental characteristics of products</w:t>
      </w:r>
      <w:r w:rsidRPr="009B5734">
        <w:rPr>
          <w:rFonts w:ascii="Times New Roman" w:hAnsi="Times New Roman" w:cs="Times New Roman"/>
          <w:noProof/>
          <w:sz w:val="24"/>
          <w:szCs w:val="24"/>
        </w:rPr>
        <w:t xml:space="preserve">’. The average (mean) score given was 2.55. Although this represents only a moderate impact, it is of note that, of all the possible legal requirements proposed, this was given the highest impact score. Manufacturers and retailers were also asked about the costs of introducing a legal requirement to provide information on the environmental characteristics of products. This option was also estimated to be the costliest, with a score of 2.75 (out of 5). </w:t>
      </w:r>
    </w:p>
    <w:p w:rsidR="00EA45F9" w:rsidRPr="009B5734" w:rsidRDefault="00EA45F9" w:rsidP="00EA45F9">
      <w:pPr>
        <w:pStyle w:val="Heading6"/>
        <w:spacing w:after="240"/>
        <w:rPr>
          <w:rFonts w:ascii="Times New Roman" w:hAnsi="Times New Roman" w:cs="Times New Roman"/>
          <w:noProof/>
          <w:color w:val="auto"/>
          <w:sz w:val="24"/>
          <w:u w:val="single"/>
        </w:rPr>
      </w:pPr>
      <w:r w:rsidRPr="009B5734">
        <w:rPr>
          <w:rFonts w:ascii="Times New Roman" w:hAnsi="Times New Roman" w:cs="Times New Roman"/>
          <w:noProof/>
          <w:color w:val="auto"/>
          <w:sz w:val="24"/>
          <w:u w:val="single"/>
        </w:rPr>
        <w:t xml:space="preserve">Sub-problem 1.2. </w:t>
      </w:r>
      <w:r w:rsidR="00D60C0B" w:rsidRPr="009B5734">
        <w:rPr>
          <w:rFonts w:ascii="Times New Roman" w:hAnsi="Times New Roman" w:cs="Times New Roman"/>
          <w:noProof/>
          <w:color w:val="auto"/>
          <w:sz w:val="24"/>
          <w:u w:val="single"/>
        </w:rPr>
        <w:t>Lack of reliable information</w:t>
      </w:r>
      <w:r w:rsidRPr="009B5734">
        <w:rPr>
          <w:rFonts w:ascii="Times New Roman" w:hAnsi="Times New Roman" w:cs="Times New Roman"/>
          <w:noProof/>
          <w:color w:val="auto"/>
          <w:sz w:val="24"/>
          <w:u w:val="single"/>
        </w:rPr>
        <w:t xml:space="preserve"> about products’ lifespan</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In the consultation for the inception IA, stakeholders (except those representing industry) generally indicated that information on durability can help consumers adopt more sustainable behaviours. However, it was also recognised that the nature and extent of information to be provided on durability ought to be carefully thought out. </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In the OPC, ‘</w:t>
      </w:r>
      <w:r w:rsidRPr="009B5734">
        <w:rPr>
          <w:rFonts w:ascii="Times New Roman" w:hAnsi="Times New Roman" w:cs="Times New Roman"/>
          <w:i/>
          <w:iCs/>
          <w:noProof/>
          <w:sz w:val="24"/>
          <w:szCs w:val="24"/>
        </w:rPr>
        <w:t>providing better consumer information on products’ durability (lifespan)</w:t>
      </w:r>
      <w:r w:rsidRPr="009B5734">
        <w:rPr>
          <w:rFonts w:ascii="Times New Roman" w:hAnsi="Times New Roman" w:cs="Times New Roman"/>
          <w:noProof/>
          <w:sz w:val="24"/>
          <w:szCs w:val="24"/>
        </w:rPr>
        <w:t>’ was selected as the most effective option to empower consumers for the green transition (33% respondents</w:t>
      </w:r>
      <w:bookmarkStart w:id="491" w:name="_Hlk57982826"/>
      <w:r w:rsidRPr="009B5734">
        <w:rPr>
          <w:rFonts w:ascii="Times New Roman" w:hAnsi="Times New Roman" w:cs="Times New Roman"/>
          <w:noProof/>
          <w:sz w:val="24"/>
          <w:szCs w:val="24"/>
        </w:rPr>
        <w:t>). Further, when asked what information would be most useful for consumers to choose sustainable products,</w:t>
      </w:r>
      <w:bookmarkEnd w:id="491"/>
      <w:r w:rsidRPr="009B5734">
        <w:rPr>
          <w:rFonts w:ascii="Times New Roman" w:hAnsi="Times New Roman" w:cs="Times New Roman"/>
          <w:noProof/>
          <w:sz w:val="24"/>
          <w:szCs w:val="24"/>
        </w:rPr>
        <w:t xml:space="preserve"> over half said ‘information on products’ lifespan’, either as a guaranteed lifespan (28%), expected lifespan (19%) and/or lifespan with minor reasonable repairs (11%). Citizens were most likely to select this option and company/business organisations were least likely. A similar finding was reflected in the consumer survey, in which ‘i</w:t>
      </w:r>
      <w:r w:rsidRPr="009B5734">
        <w:rPr>
          <w:rFonts w:ascii="Times New Roman" w:hAnsi="Times New Roman" w:cs="Times New Roman"/>
          <w:i/>
          <w:iCs/>
          <w:noProof/>
          <w:sz w:val="24"/>
          <w:szCs w:val="24"/>
        </w:rPr>
        <w:t>nformation on the ‘guaranteed’ product lifespan</w:t>
      </w:r>
      <w:r w:rsidRPr="009B5734">
        <w:rPr>
          <w:rFonts w:ascii="Times New Roman" w:hAnsi="Times New Roman" w:cs="Times New Roman"/>
          <w:noProof/>
          <w:sz w:val="24"/>
          <w:szCs w:val="24"/>
        </w:rPr>
        <w:t>’ was selected by consumers (30% of respondents) as one of the two most useful pieces of information to help them choose sustainable products (the other being ‘</w:t>
      </w:r>
      <w:r w:rsidRPr="009B5734">
        <w:rPr>
          <w:rFonts w:ascii="Times New Roman" w:hAnsi="Times New Roman" w:cs="Times New Roman"/>
          <w:i/>
          <w:iCs/>
          <w:noProof/>
          <w:sz w:val="24"/>
          <w:szCs w:val="24"/>
        </w:rPr>
        <w:t>information on the products’ life-cycle environmental and climate footprint</w:t>
      </w:r>
      <w:r w:rsidRPr="009B5734">
        <w:rPr>
          <w:rFonts w:ascii="Times New Roman" w:hAnsi="Times New Roman" w:cs="Times New Roman"/>
          <w:noProof/>
          <w:sz w:val="24"/>
          <w:szCs w:val="24"/>
        </w:rPr>
        <w:t>’). In the targeted consultation, 15 out of 17 public authorities considered that a requirement to provide an ‘</w:t>
      </w:r>
      <w:r w:rsidRPr="009B5734">
        <w:rPr>
          <w:rFonts w:ascii="Times New Roman" w:hAnsi="Times New Roman" w:cs="Times New Roman"/>
          <w:i/>
          <w:iCs/>
          <w:noProof/>
          <w:sz w:val="24"/>
          <w:szCs w:val="24"/>
        </w:rPr>
        <w:t>indication of the availability of an additional commercial guarantee of durability (beyond the statutory legal guarantee)</w:t>
      </w:r>
      <w:r w:rsidRPr="009B5734">
        <w:rPr>
          <w:rFonts w:ascii="Times New Roman" w:hAnsi="Times New Roman" w:cs="Times New Roman"/>
          <w:noProof/>
          <w:sz w:val="24"/>
          <w:szCs w:val="24"/>
        </w:rPr>
        <w:t>’ would be an effective option, 14 out of 17 thought it would be easy to enforce, and 11 out of 16 thought it would be easy to monitor.</w:t>
      </w:r>
      <w:r w:rsidRPr="009B5734">
        <w:rPr>
          <w:rStyle w:val="FootnoteReference"/>
          <w:rFonts w:ascii="Times New Roman" w:hAnsi="Times New Roman" w:cs="Times New Roman"/>
          <w:noProof/>
          <w:sz w:val="24"/>
          <w:szCs w:val="24"/>
        </w:rPr>
        <w:footnoteReference w:id="138"/>
      </w:r>
    </w:p>
    <w:p w:rsidR="00EA45F9" w:rsidRPr="009B5734" w:rsidRDefault="00EA45F9" w:rsidP="00EA45F9">
      <w:pPr>
        <w:spacing w:after="240"/>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In the CATI survey, manufacturers and retailers were asked to indicate the scale of impact on their organisation of the introduction of a legal ‘</w:t>
      </w:r>
      <w:r w:rsidRPr="009B5734">
        <w:rPr>
          <w:rFonts w:ascii="Times New Roman" w:hAnsi="Times New Roman" w:cs="Times New Roman"/>
          <w:i/>
          <w:iCs/>
          <w:noProof/>
          <w:sz w:val="24"/>
          <w:szCs w:val="24"/>
        </w:rPr>
        <w:t>obligation to provide information on the expected lifespan of products without repair for all products</w:t>
      </w:r>
      <w:r w:rsidRPr="009B5734">
        <w:rPr>
          <w:rFonts w:ascii="Times New Roman" w:hAnsi="Times New Roman" w:cs="Times New Roman"/>
          <w:noProof/>
          <w:sz w:val="24"/>
          <w:szCs w:val="24"/>
        </w:rPr>
        <w:t>’. The mean score given was 2.53. In terms of costs, the option was given a score of 2.30. Manufacturers and retailers were also asked to indicate the scale of impact and costs on their organisation of a legal ‘</w:t>
      </w:r>
      <w:r w:rsidRPr="009B5734">
        <w:rPr>
          <w:rFonts w:ascii="Times New Roman" w:hAnsi="Times New Roman" w:cs="Times New Roman"/>
          <w:i/>
          <w:iCs/>
          <w:noProof/>
          <w:sz w:val="24"/>
          <w:szCs w:val="24"/>
        </w:rPr>
        <w:t>obligation to provide information on the duration of the commercial guarantee for all products</w:t>
      </w:r>
      <w:r w:rsidRPr="009B5734">
        <w:rPr>
          <w:rFonts w:ascii="Times New Roman" w:hAnsi="Times New Roman" w:cs="Times New Roman"/>
          <w:noProof/>
          <w:sz w:val="24"/>
          <w:szCs w:val="24"/>
        </w:rPr>
        <w:t xml:space="preserve">’. This was given a mean impact score of 2.12 and cost score of 2.04, making it the lowest impact and one of the least costly options proposed. </w:t>
      </w:r>
    </w:p>
    <w:p w:rsidR="00EA45F9" w:rsidRPr="009B5734" w:rsidRDefault="00EA45F9" w:rsidP="00EA45F9">
      <w:pPr>
        <w:pStyle w:val="Heading6"/>
        <w:spacing w:after="240"/>
        <w:rPr>
          <w:rFonts w:ascii="Times New Roman" w:hAnsi="Times New Roman" w:cs="Times New Roman"/>
          <w:noProof/>
          <w:color w:val="auto"/>
          <w:sz w:val="24"/>
          <w:u w:val="single"/>
        </w:rPr>
      </w:pPr>
      <w:r w:rsidRPr="009B5734">
        <w:rPr>
          <w:rFonts w:ascii="Times New Roman" w:hAnsi="Times New Roman" w:cs="Times New Roman"/>
          <w:noProof/>
          <w:color w:val="auto"/>
          <w:sz w:val="24"/>
          <w:u w:val="single"/>
        </w:rPr>
        <w:t xml:space="preserve">Sub-problem 1.3. </w:t>
      </w:r>
      <w:r w:rsidR="00D60C0B" w:rsidRPr="009B5734">
        <w:rPr>
          <w:rFonts w:ascii="Times New Roman" w:hAnsi="Times New Roman" w:cs="Times New Roman"/>
          <w:noProof/>
          <w:color w:val="auto"/>
          <w:sz w:val="24"/>
          <w:u w:val="single"/>
        </w:rPr>
        <w:t>Lack of reliable information</w:t>
      </w:r>
      <w:r w:rsidRPr="009B5734">
        <w:rPr>
          <w:rFonts w:ascii="Times New Roman" w:hAnsi="Times New Roman" w:cs="Times New Roman"/>
          <w:noProof/>
          <w:color w:val="auto"/>
          <w:sz w:val="24"/>
          <w:u w:val="single"/>
        </w:rPr>
        <w:t xml:space="preserve"> about products’ reparability</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There was general acceptance across all stakeholder groups that environmental information provided to consumers should cover reparability. </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In the OPC, just under a quarter (22%) of participants selected ‘</w:t>
      </w:r>
      <w:r w:rsidRPr="009B5734">
        <w:rPr>
          <w:rFonts w:ascii="Times New Roman" w:hAnsi="Times New Roman" w:cs="Times New Roman"/>
          <w:i/>
          <w:iCs/>
          <w:noProof/>
          <w:sz w:val="24"/>
          <w:szCs w:val="24"/>
        </w:rPr>
        <w:t>providing better consumer information on products’ reparability</w:t>
      </w:r>
      <w:r w:rsidRPr="009B5734">
        <w:rPr>
          <w:rFonts w:ascii="Times New Roman" w:hAnsi="Times New Roman" w:cs="Times New Roman"/>
          <w:noProof/>
          <w:sz w:val="24"/>
          <w:szCs w:val="24"/>
        </w:rPr>
        <w:t>’ as an effective option, though there were big differences between the views of different stakeholder groups. Two thirds (65%) of consumer associations and 35% of citizens thought that this option would be effective, but only 3% of business associations and 5% of companies agreed. Nearly half the respondents in the OPC (48%) said that ‘</w:t>
      </w:r>
      <w:r w:rsidRPr="009B5734">
        <w:rPr>
          <w:rFonts w:ascii="Times New Roman" w:hAnsi="Times New Roman" w:cs="Times New Roman"/>
          <w:i/>
          <w:iCs/>
          <w:noProof/>
          <w:sz w:val="24"/>
          <w:szCs w:val="24"/>
        </w:rPr>
        <w:t>information about the reparability of the product (e.g. repair scoring, availability of spare parts, repair manuals, repair services…)</w:t>
      </w:r>
      <w:r w:rsidRPr="009B5734">
        <w:rPr>
          <w:rFonts w:ascii="Times New Roman" w:hAnsi="Times New Roman" w:cs="Times New Roman"/>
          <w:noProof/>
          <w:sz w:val="24"/>
          <w:szCs w:val="24"/>
        </w:rPr>
        <w:t xml:space="preserve">’ would be an effective option. The results from the targeted consultation support these findings. In the targeted consultation, all stakeholders thought that an option to inform consumers about the availability of spare parts would be at least somewhat effective. </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In the CATI survey, manufacturers and retailers were asked to indicate the scale of impact on their organisation of the introduction of an ‘</w:t>
      </w:r>
      <w:r w:rsidRPr="009B5734">
        <w:rPr>
          <w:rFonts w:ascii="Times New Roman" w:hAnsi="Times New Roman" w:cs="Times New Roman"/>
          <w:i/>
          <w:iCs/>
          <w:noProof/>
          <w:sz w:val="24"/>
          <w:szCs w:val="24"/>
        </w:rPr>
        <w:t xml:space="preserve">obligation to provide information on availability of repair services’ </w:t>
      </w:r>
      <w:r w:rsidRPr="009B5734">
        <w:rPr>
          <w:rFonts w:ascii="Times New Roman" w:hAnsi="Times New Roman" w:cs="Times New Roman"/>
          <w:noProof/>
          <w:sz w:val="24"/>
          <w:szCs w:val="24"/>
        </w:rPr>
        <w:t>and ‘</w:t>
      </w:r>
      <w:r w:rsidRPr="009B5734">
        <w:rPr>
          <w:rFonts w:ascii="Times New Roman" w:hAnsi="Times New Roman" w:cs="Times New Roman"/>
          <w:i/>
          <w:iCs/>
          <w:noProof/>
          <w:sz w:val="24"/>
          <w:szCs w:val="24"/>
        </w:rPr>
        <w:t>availability of user-friendly repair manuals</w:t>
      </w:r>
      <w:r w:rsidRPr="009B5734">
        <w:rPr>
          <w:rFonts w:ascii="Times New Roman" w:hAnsi="Times New Roman" w:cs="Times New Roman"/>
          <w:noProof/>
          <w:sz w:val="24"/>
          <w:szCs w:val="24"/>
        </w:rPr>
        <w:t xml:space="preserve">’. These options were given a mean impact score of 2.41 and 2.44 respectively (out of 5). In terms of cost, respondents in the CATI survey gave both these options a mean score of 2.14. </w:t>
      </w:r>
    </w:p>
    <w:p w:rsidR="00EA45F9" w:rsidRPr="009B5734" w:rsidRDefault="00EA45F9" w:rsidP="00EA45F9">
      <w:pPr>
        <w:spacing w:after="240"/>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In the targeted consultation, some respondents also discussed potential challenges associated with the proposed options. Among business associations, there were concerns that misleading information would be provided to consumers from retailers, notably about reparability. These respondents felt that manufacturers would be better placed to provide that information as opposed to sellers or retailers. Furthermore, some business associations warned against the potential information overload that may result from additional information requirements. Finally, some public authorities highlighted that information on reparability may not prove effective in encouraging repairs / reuse if buying a new product is much cheaper to consumers. </w:t>
      </w:r>
    </w:p>
    <w:p w:rsidR="00EA45F9" w:rsidRPr="009B5734" w:rsidRDefault="00A00208" w:rsidP="00A00208">
      <w:pPr>
        <w:pStyle w:val="Heading5"/>
        <w:rPr>
          <w:noProof/>
        </w:rPr>
      </w:pPr>
      <w:bookmarkStart w:id="492" w:name="_Toc58603271"/>
      <w:bookmarkStart w:id="493" w:name="_Toc58604131"/>
      <w:bookmarkStart w:id="494" w:name="_Toc58605449"/>
      <w:bookmarkStart w:id="495" w:name="_Toc60734086"/>
      <w:r w:rsidRPr="00A00208">
        <w:t>5.2.2.</w:t>
      </w:r>
      <w:r w:rsidRPr="00A00208">
        <w:tab/>
      </w:r>
      <w:r w:rsidR="00EA45F9" w:rsidRPr="009B5734">
        <w:rPr>
          <w:noProof/>
        </w:rPr>
        <w:t xml:space="preserve">Problem 2: Consumers </w:t>
      </w:r>
      <w:r w:rsidR="00D60C0B" w:rsidRPr="009B5734">
        <w:rPr>
          <w:noProof/>
        </w:rPr>
        <w:t xml:space="preserve">face misleading commercial practices </w:t>
      </w:r>
      <w:r w:rsidR="0080633B">
        <w:rPr>
          <w:noProof/>
        </w:rPr>
        <w:t>related</w:t>
      </w:r>
      <w:r w:rsidR="00EA45F9" w:rsidRPr="009B5734">
        <w:rPr>
          <w:noProof/>
        </w:rPr>
        <w:t xml:space="preserve"> to </w:t>
      </w:r>
      <w:bookmarkEnd w:id="492"/>
      <w:bookmarkEnd w:id="493"/>
      <w:bookmarkEnd w:id="494"/>
      <w:bookmarkEnd w:id="495"/>
      <w:r w:rsidR="0080633B">
        <w:rPr>
          <w:noProof/>
        </w:rPr>
        <w:t>the sustainability of products</w:t>
      </w:r>
    </w:p>
    <w:p w:rsidR="00EA45F9" w:rsidRPr="009B5734" w:rsidRDefault="00EA45F9" w:rsidP="00EA45F9">
      <w:pPr>
        <w:pStyle w:val="Heading6"/>
        <w:spacing w:after="240"/>
        <w:rPr>
          <w:rFonts w:ascii="Times New Roman" w:hAnsi="Times New Roman" w:cs="Times New Roman"/>
          <w:noProof/>
          <w:color w:val="auto"/>
          <w:sz w:val="24"/>
          <w:u w:val="single"/>
        </w:rPr>
      </w:pPr>
      <w:r w:rsidRPr="009B5734">
        <w:rPr>
          <w:rFonts w:ascii="Times New Roman" w:hAnsi="Times New Roman" w:cs="Times New Roman"/>
          <w:noProof/>
          <w:color w:val="auto"/>
          <w:sz w:val="24"/>
          <w:u w:val="single"/>
        </w:rPr>
        <w:t xml:space="preserve">Sub-problem 2.1. </w:t>
      </w:r>
      <w:r w:rsidR="00B34DB9" w:rsidRPr="009B5734">
        <w:rPr>
          <w:rFonts w:ascii="Times New Roman" w:hAnsi="Times New Roman" w:cs="Times New Roman"/>
          <w:noProof/>
          <w:color w:val="auto"/>
          <w:sz w:val="24"/>
          <w:u w:val="single"/>
        </w:rPr>
        <w:t>Consumers are sold products that do not last as long as they could or consumers expect (“early obsolescence”)</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In the consultation for the inception IA, there was a general acceptance that early obsolescence practices should be more formally addressed by law. However, results from the OPC indicate a divergence in views across stakeholder groups. Two thirds (65%) of consumer associations identified ‘</w:t>
      </w:r>
      <w:r w:rsidRPr="009B5734">
        <w:rPr>
          <w:rFonts w:ascii="Times New Roman" w:hAnsi="Times New Roman" w:cs="Times New Roman"/>
          <w:i/>
          <w:iCs/>
          <w:noProof/>
          <w:sz w:val="24"/>
          <w:szCs w:val="24"/>
        </w:rPr>
        <w:t>providing a stronger protection against practices that cause products to fail earlier than can normally be expected (so-called "early and planned obsolescence")</w:t>
      </w:r>
      <w:r w:rsidRPr="009B5734">
        <w:rPr>
          <w:rFonts w:ascii="Times New Roman" w:hAnsi="Times New Roman" w:cs="Times New Roman"/>
          <w:noProof/>
          <w:sz w:val="24"/>
          <w:szCs w:val="24"/>
        </w:rPr>
        <w:t xml:space="preserve">’ as an effective option to empower consumers to play their role in the green transition and 35% of citizens and 28% of public authorities agreed. However, only 3% of business associations and 5% of companies/businesses thought that this option would achieve the desired goal. The prevailing view among business associations was that the costs entailed by the proposed option would be high. </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In the CATI survey, manufacturers and retailers were asked to indicate the scale of impact on their organisation of the introduction of ‘</w:t>
      </w:r>
      <w:r w:rsidRPr="009B5734">
        <w:rPr>
          <w:rFonts w:ascii="Times New Roman" w:hAnsi="Times New Roman" w:cs="Times New Roman"/>
          <w:i/>
          <w:iCs/>
          <w:noProof/>
          <w:sz w:val="24"/>
          <w:szCs w:val="24"/>
        </w:rPr>
        <w:t>stronger consumer protection against premature obsolescence practices</w:t>
      </w:r>
      <w:r w:rsidRPr="009B5734">
        <w:rPr>
          <w:rFonts w:ascii="Times New Roman" w:hAnsi="Times New Roman" w:cs="Times New Roman"/>
          <w:noProof/>
          <w:sz w:val="24"/>
          <w:szCs w:val="24"/>
        </w:rPr>
        <w:t>’ and ‘</w:t>
      </w:r>
      <w:r w:rsidRPr="009B5734">
        <w:rPr>
          <w:rFonts w:ascii="Times New Roman" w:hAnsi="Times New Roman" w:cs="Times New Roman"/>
          <w:i/>
          <w:iCs/>
          <w:noProof/>
          <w:sz w:val="24"/>
          <w:szCs w:val="24"/>
        </w:rPr>
        <w:t>stronger consumer protection against planned (intentional) obsolescence practices</w:t>
      </w:r>
      <w:r w:rsidRPr="009B5734">
        <w:rPr>
          <w:rFonts w:ascii="Times New Roman" w:hAnsi="Times New Roman" w:cs="Times New Roman"/>
          <w:noProof/>
          <w:sz w:val="24"/>
          <w:szCs w:val="24"/>
        </w:rPr>
        <w:t>’. These options were given a mean impact score of 2.55 and 2.37 respectively (out of 5). The highest score was given for ‘</w:t>
      </w:r>
      <w:r w:rsidRPr="009B5734">
        <w:rPr>
          <w:rFonts w:ascii="Times New Roman" w:hAnsi="Times New Roman" w:cs="Times New Roman"/>
          <w:i/>
          <w:iCs/>
          <w:noProof/>
          <w:sz w:val="24"/>
          <w:szCs w:val="24"/>
        </w:rPr>
        <w:t>small household appliances</w:t>
      </w:r>
      <w:r w:rsidRPr="009B5734">
        <w:rPr>
          <w:rFonts w:ascii="Times New Roman" w:hAnsi="Times New Roman" w:cs="Times New Roman"/>
          <w:noProof/>
          <w:sz w:val="24"/>
          <w:szCs w:val="24"/>
        </w:rPr>
        <w:t>’. In terms of cost, respondents in the CATI survey gave ‘</w:t>
      </w:r>
      <w:r w:rsidRPr="009B5734">
        <w:rPr>
          <w:rFonts w:ascii="Times New Roman" w:hAnsi="Times New Roman" w:cs="Times New Roman"/>
          <w:i/>
          <w:iCs/>
          <w:noProof/>
          <w:sz w:val="24"/>
          <w:szCs w:val="24"/>
        </w:rPr>
        <w:t>stronger consumer protection against premature obsolescence practices</w:t>
      </w:r>
      <w:r w:rsidRPr="009B5734">
        <w:rPr>
          <w:rFonts w:ascii="Times New Roman" w:hAnsi="Times New Roman" w:cs="Times New Roman"/>
          <w:noProof/>
          <w:sz w:val="24"/>
          <w:szCs w:val="24"/>
        </w:rPr>
        <w:t>’ a mean score of 2.13. The highest cost score was for ‘large household appliances’.</w:t>
      </w:r>
    </w:p>
    <w:p w:rsidR="00EA45F9" w:rsidRPr="009B5734" w:rsidRDefault="00EA45F9" w:rsidP="00EA45F9">
      <w:pPr>
        <w:spacing w:after="240"/>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However, public authorities raised concerns about the enforcement of options aimed at curtailing the practice of planned obsolescence. They noted that it may not be possible to prove planned obsolescence, and that they lack the required product knowledge. </w:t>
      </w:r>
    </w:p>
    <w:p w:rsidR="00EA45F9" w:rsidRPr="009B5734" w:rsidRDefault="00EA45F9" w:rsidP="00EA45F9">
      <w:pPr>
        <w:pStyle w:val="Heading6"/>
        <w:spacing w:after="240"/>
        <w:rPr>
          <w:rFonts w:ascii="Times New Roman" w:hAnsi="Times New Roman" w:cs="Times New Roman"/>
          <w:noProof/>
          <w:color w:val="auto"/>
          <w:sz w:val="24"/>
          <w:u w:val="single"/>
        </w:rPr>
      </w:pPr>
      <w:r w:rsidRPr="009B5734">
        <w:rPr>
          <w:rFonts w:ascii="Times New Roman" w:hAnsi="Times New Roman" w:cs="Times New Roman"/>
          <w:noProof/>
          <w:color w:val="auto"/>
          <w:sz w:val="24"/>
          <w:u w:val="single"/>
        </w:rPr>
        <w:t xml:space="preserve">Sub-problem 2.2. Consumers are faced with </w:t>
      </w:r>
      <w:r w:rsidR="00D60C0B" w:rsidRPr="009B5734">
        <w:rPr>
          <w:rFonts w:ascii="Times New Roman" w:hAnsi="Times New Roman" w:cs="Times New Roman"/>
          <w:noProof/>
          <w:color w:val="auto"/>
          <w:sz w:val="24"/>
          <w:u w:val="single"/>
        </w:rPr>
        <w:t xml:space="preserve">the practice of making </w:t>
      </w:r>
      <w:r w:rsidRPr="009B5734">
        <w:rPr>
          <w:rFonts w:ascii="Times New Roman" w:hAnsi="Times New Roman" w:cs="Times New Roman"/>
          <w:noProof/>
          <w:color w:val="auto"/>
          <w:sz w:val="24"/>
          <w:u w:val="single"/>
        </w:rPr>
        <w:t>unclear or not well-substantiated environmental claims (‘greenwashing’)</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consultation has highlighted an interesting divergence in views between citizens/consumers on the one hand, who do not feel they are being ‘greenwashed’, and consumer organisations on the other who are concerned that consumers need stronger protection against unclear or unsubstantiated claims. Only 17% of citizens in the consumer survey identified ‘</w:t>
      </w:r>
      <w:r w:rsidRPr="009B5734">
        <w:rPr>
          <w:rFonts w:ascii="Times New Roman" w:hAnsi="Times New Roman" w:cs="Times New Roman"/>
          <w:i/>
          <w:iCs/>
          <w:noProof/>
          <w:sz w:val="24"/>
          <w:szCs w:val="24"/>
        </w:rPr>
        <w:t>providing a stronger protection against greenwashing (i.e. claims on environmental qualities of products or services that are exaggerated, too vague, false or impossible to prove’</w:t>
      </w:r>
      <w:r w:rsidRPr="009B5734">
        <w:rPr>
          <w:rFonts w:ascii="Times New Roman" w:hAnsi="Times New Roman" w:cs="Times New Roman"/>
          <w:noProof/>
          <w:sz w:val="24"/>
          <w:szCs w:val="24"/>
        </w:rPr>
        <w:t xml:space="preserve"> as an effective option to empower consumers to the green transition.</w:t>
      </w:r>
      <w:r w:rsidRPr="009B5734">
        <w:rPr>
          <w:rStyle w:val="FootnoteReference"/>
          <w:rFonts w:ascii="Times New Roman" w:hAnsi="Times New Roman" w:cs="Times New Roman"/>
          <w:noProof/>
          <w:sz w:val="24"/>
          <w:szCs w:val="24"/>
        </w:rPr>
        <w:footnoteReference w:id="139"/>
      </w:r>
      <w:r w:rsidRPr="009B5734">
        <w:rPr>
          <w:rFonts w:ascii="Times New Roman" w:hAnsi="Times New Roman" w:cs="Times New Roman"/>
          <w:noProof/>
          <w:sz w:val="24"/>
          <w:szCs w:val="24"/>
        </w:rPr>
        <w:t xml:space="preserve"> In contrast, 45% of consumer organisations in the OPC thought that this option would be effective.   </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When asked which information is most useful for consumers to choose sustainable products and participate in the circular economy around 17% of respondents indicated that “</w:t>
      </w:r>
      <w:r w:rsidRPr="009B5734">
        <w:rPr>
          <w:rFonts w:ascii="Times New Roman" w:hAnsi="Times New Roman" w:cs="Times New Roman"/>
          <w:i/>
          <w:iCs/>
          <w:noProof/>
          <w:sz w:val="24"/>
          <w:szCs w:val="24"/>
        </w:rPr>
        <w:t>recommendations about the sustainability (i.e. environmental, social aspects included) of the product by a trusted public or private source (e.g. a public authority, expert, celebrity, friend)</w:t>
      </w:r>
      <w:r w:rsidRPr="009B5734">
        <w:rPr>
          <w:rFonts w:ascii="Times New Roman" w:hAnsi="Times New Roman" w:cs="Times New Roman"/>
          <w:noProof/>
          <w:sz w:val="24"/>
          <w:szCs w:val="24"/>
        </w:rPr>
        <w:t>” are useful for consumers. Citizens (24%) and company/business organisations (23%) indicated that such recommendations are useful for consumers, but only 10% of consumer organisations and 11% of public authorities and ‘other’ organisations agreed.</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In the consultation for the inception IA, most respondents stressed the need for a common or harmonised methodology for calculating or estimating products’ environmental impacts. Stakeholders believed that this would facilitate certification or validation and prevent unsubstantiated environmental claims and labels from being advertised. </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In the targeted consultation, stakeholders were asked their views on two options: banning claims that are too vague unless they are substantiated and banning claims that are not based on a series of specific criteria. Most thought that the proposed options would be highly effective, and most business associations also thought the options would be ‘somewhat feasible’. Industry representatives were, however, concerned that the options would entail high costs. Most public authorities thought that it would be ‘somewhat easy’ to enforce. However, some warned against challenges with enforcement and monitoring if: (1) the options are defined in a too general way; and (2) no adequate metrics are defined against which to test whether a claim is unfounded / unsubstantiated. </w:t>
      </w:r>
      <w:r w:rsidR="00B34DB9" w:rsidRPr="00B34DB9">
        <w:rPr>
          <w:rFonts w:ascii="Times New Roman" w:hAnsi="Times New Roman" w:cs="Times New Roman"/>
          <w:noProof/>
          <w:sz w:val="24"/>
          <w:szCs w:val="24"/>
        </w:rPr>
        <w:t>Some of the interviewed CPC authorities even indicated that the measure</w:t>
      </w:r>
      <w:r w:rsidR="00C61A50">
        <w:rPr>
          <w:rFonts w:ascii="Times New Roman" w:hAnsi="Times New Roman" w:cs="Times New Roman"/>
          <w:noProof/>
          <w:sz w:val="24"/>
          <w:szCs w:val="24"/>
        </w:rPr>
        <w:t>s</w:t>
      </w:r>
      <w:r w:rsidR="00B34DB9" w:rsidRPr="00B34DB9">
        <w:rPr>
          <w:rFonts w:ascii="Times New Roman" w:hAnsi="Times New Roman" w:cs="Times New Roman"/>
          <w:noProof/>
          <w:sz w:val="24"/>
          <w:szCs w:val="24"/>
        </w:rPr>
        <w:t xml:space="preserve"> might lead to savings as it will help them to prove the practice of “greenwashing” more easily (less resources are needed to substantiate their assessment)</w:t>
      </w:r>
      <w:r w:rsidR="00B34DB9">
        <w:rPr>
          <w:rFonts w:ascii="Times New Roman" w:hAnsi="Times New Roman" w:cs="Times New Roman"/>
          <w:noProof/>
          <w:sz w:val="24"/>
          <w:szCs w:val="24"/>
        </w:rPr>
        <w:t>.</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Some of the other challenges commonly discussed, notably by business associations, related to the need for developing sector-specific approaches to testing and validating green claims across industries and sectors (owing to product differences). There would also be a need to engage with all relevant stakeholders within an industry. It was noted that, where views diverge, this could slow down the process of developing the necessary measurement criteria for validating environmental claims. </w:t>
      </w:r>
    </w:p>
    <w:p w:rsidR="00EA45F9" w:rsidRPr="009B5734" w:rsidRDefault="00EA45F9" w:rsidP="00EA45F9">
      <w:pPr>
        <w:spacing w:after="240"/>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In the CATI survey, manufacturers and retailers were asked to indicate the scale of impact and cost on their organisation of ‘</w:t>
      </w:r>
      <w:r w:rsidRPr="009B5734">
        <w:rPr>
          <w:rFonts w:ascii="Times New Roman" w:hAnsi="Times New Roman" w:cs="Times New Roman"/>
          <w:i/>
          <w:iCs/>
          <w:noProof/>
          <w:sz w:val="24"/>
          <w:szCs w:val="24"/>
        </w:rPr>
        <w:t>banning some practices related to greenwashing</w:t>
      </w:r>
      <w:r w:rsidRPr="009B5734">
        <w:rPr>
          <w:rFonts w:ascii="Times New Roman" w:hAnsi="Times New Roman" w:cs="Times New Roman"/>
          <w:noProof/>
          <w:sz w:val="24"/>
          <w:szCs w:val="24"/>
        </w:rPr>
        <w:t>’. This option was given a mean impact score of 1.91 and cost score of 2.08 (both out of 5, with 5 representing the highest impact/cost). Interestingly, an option ‘</w:t>
      </w:r>
      <w:r w:rsidRPr="009B5734">
        <w:rPr>
          <w:rFonts w:ascii="Times New Roman" w:hAnsi="Times New Roman" w:cs="Times New Roman"/>
          <w:i/>
          <w:iCs/>
          <w:noProof/>
          <w:sz w:val="24"/>
          <w:szCs w:val="24"/>
        </w:rPr>
        <w:t>banning vague environmental claims unless they are verified/certified by independent authority/or based on recognised assessment methodology</w:t>
      </w:r>
      <w:r w:rsidRPr="009B5734">
        <w:rPr>
          <w:rFonts w:ascii="Times New Roman" w:hAnsi="Times New Roman" w:cs="Times New Roman"/>
          <w:noProof/>
          <w:sz w:val="24"/>
          <w:szCs w:val="24"/>
        </w:rPr>
        <w:t>’ was deemed to be less effective (score of 1.83) and more costly (score of 2.17). In contrast, an option ‘</w:t>
      </w:r>
      <w:r w:rsidRPr="009B5734">
        <w:rPr>
          <w:rFonts w:ascii="Times New Roman" w:hAnsi="Times New Roman" w:cs="Times New Roman"/>
          <w:i/>
          <w:iCs/>
          <w:noProof/>
          <w:sz w:val="24"/>
          <w:szCs w:val="24"/>
        </w:rPr>
        <w:t>setting in EU consumer law specific requirements for green claims</w:t>
      </w:r>
      <w:r w:rsidRPr="009B5734">
        <w:rPr>
          <w:rFonts w:ascii="Times New Roman" w:hAnsi="Times New Roman" w:cs="Times New Roman"/>
          <w:noProof/>
          <w:sz w:val="24"/>
          <w:szCs w:val="24"/>
        </w:rPr>
        <w:t>’ was indicated to be more effective (2.09) but also more costly (2.38).</w:t>
      </w:r>
    </w:p>
    <w:p w:rsidR="00EA45F9" w:rsidRPr="009B5734" w:rsidRDefault="00EA45F9" w:rsidP="00EA45F9">
      <w:pPr>
        <w:pStyle w:val="Heading6"/>
        <w:spacing w:after="240"/>
        <w:rPr>
          <w:rFonts w:ascii="Times New Roman" w:hAnsi="Times New Roman" w:cs="Times New Roman"/>
          <w:noProof/>
          <w:color w:val="auto"/>
          <w:sz w:val="24"/>
          <w:u w:val="single"/>
        </w:rPr>
      </w:pPr>
      <w:r w:rsidRPr="009B5734">
        <w:rPr>
          <w:rFonts w:ascii="Times New Roman" w:hAnsi="Times New Roman" w:cs="Times New Roman"/>
          <w:noProof/>
          <w:color w:val="auto"/>
          <w:sz w:val="24"/>
          <w:u w:val="single"/>
        </w:rPr>
        <w:t xml:space="preserve">Sub-problem 2.3. </w:t>
      </w:r>
      <w:r w:rsidR="00D60C0B" w:rsidRPr="009B5734">
        <w:rPr>
          <w:rFonts w:ascii="Times New Roman" w:hAnsi="Times New Roman" w:cs="Times New Roman"/>
          <w:noProof/>
          <w:color w:val="auto"/>
          <w:sz w:val="24"/>
          <w:u w:val="single"/>
        </w:rPr>
        <w:t>Consumers are faced with the use of sustainability labels and digital information tools that are not always transparent and credible</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In the consultation for the inception IA, most respondents generally favoured the introduction of tighter rules for the verification and validation of sustainability labels, logos and claims. However, there was less support for a single EU environmental label that would capture all sustainability aspects pertaining to a product.</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Nearly a quarter of respondents (23%) in the OPC similarly identified ‘</w:t>
      </w:r>
      <w:r w:rsidRPr="009B5734">
        <w:rPr>
          <w:rFonts w:ascii="Times New Roman" w:hAnsi="Times New Roman" w:cs="Times New Roman"/>
          <w:i/>
          <w:iCs/>
          <w:noProof/>
          <w:sz w:val="24"/>
          <w:szCs w:val="24"/>
        </w:rPr>
        <w:t>providing a greater transparency and reliability for sustainability logos/labels (i.e. covering environmental and social aspects)’</w:t>
      </w:r>
      <w:r w:rsidRPr="009B5734">
        <w:rPr>
          <w:rFonts w:ascii="Times New Roman" w:hAnsi="Times New Roman" w:cs="Times New Roman"/>
          <w:noProof/>
          <w:sz w:val="24"/>
          <w:szCs w:val="24"/>
        </w:rPr>
        <w:t xml:space="preserve"> as an effective option to enable consumers to play their role in the circular economy. In contrast, only 7% selected “</w:t>
      </w:r>
      <w:r w:rsidRPr="009B5734">
        <w:rPr>
          <w:rFonts w:ascii="Times New Roman" w:hAnsi="Times New Roman" w:cs="Times New Roman"/>
          <w:i/>
          <w:iCs/>
          <w:noProof/>
          <w:sz w:val="24"/>
          <w:szCs w:val="24"/>
        </w:rPr>
        <w:t>providing a greater transparency and reliability for IT tools (e.g. consumer apps) providing advice for a more sustainable consumer behaviour</w:t>
      </w:r>
      <w:r w:rsidRPr="009B5734">
        <w:rPr>
          <w:rFonts w:ascii="Times New Roman" w:hAnsi="Times New Roman" w:cs="Times New Roman"/>
          <w:noProof/>
          <w:sz w:val="24"/>
          <w:szCs w:val="24"/>
        </w:rPr>
        <w:t>”. Companies/businesses were the stakeholder types most likely to identify both these options as effective.</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In the targeted consultation, stakeholders were asked their views on an option ‘</w:t>
      </w:r>
      <w:r w:rsidRPr="009B5734">
        <w:rPr>
          <w:rFonts w:ascii="Times New Roman" w:hAnsi="Times New Roman" w:cs="Times New Roman"/>
          <w:i/>
          <w:iCs/>
          <w:noProof/>
          <w:sz w:val="24"/>
          <w:szCs w:val="24"/>
        </w:rPr>
        <w:t>setting minimum requirements (on transparency, reliability, etc.) for, and possibly certify, sustainability labels/logos</w:t>
      </w:r>
      <w:r w:rsidRPr="009B5734">
        <w:rPr>
          <w:rFonts w:ascii="Times New Roman" w:hAnsi="Times New Roman" w:cs="Times New Roman"/>
          <w:noProof/>
          <w:sz w:val="24"/>
          <w:szCs w:val="24"/>
        </w:rPr>
        <w:t>’. Most consumer associations thought that the proposed option would be ‘somewhat effective’ and other stakeholder groups were even more positive. Most business associations, public authorities and other stakeholders indicated that the option would be ‘highly effective’. Most business associations also indicated that the proposed option would be ‘feasible’. However, there was also some concern that it could entail high costs.</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Eight out of fifteen public authorities believed that the option would be ‘somewhat easy to enforce’</w:t>
      </w:r>
      <w:r w:rsidRPr="009B5734">
        <w:rPr>
          <w:rStyle w:val="FootnoteReference"/>
          <w:rFonts w:ascii="Times New Roman" w:hAnsi="Times New Roman" w:cs="Times New Roman"/>
          <w:noProof/>
          <w:sz w:val="24"/>
          <w:szCs w:val="24"/>
        </w:rPr>
        <w:footnoteReference w:id="140"/>
      </w:r>
      <w:r w:rsidRPr="009B5734">
        <w:rPr>
          <w:rFonts w:ascii="Times New Roman" w:hAnsi="Times New Roman" w:cs="Times New Roman"/>
          <w:noProof/>
          <w:sz w:val="24"/>
          <w:szCs w:val="24"/>
        </w:rPr>
        <w:t xml:space="preserve"> and seven out of 13 thought it would be ‘easy to monitor’</w:t>
      </w:r>
      <w:r w:rsidRPr="009B5734">
        <w:rPr>
          <w:rStyle w:val="FootnoteReference"/>
          <w:rFonts w:ascii="Times New Roman" w:hAnsi="Times New Roman" w:cs="Times New Roman"/>
          <w:noProof/>
          <w:sz w:val="24"/>
          <w:szCs w:val="24"/>
        </w:rPr>
        <w:footnoteReference w:id="141"/>
      </w:r>
      <w:r w:rsidRPr="009B5734">
        <w:rPr>
          <w:rFonts w:ascii="Times New Roman" w:hAnsi="Times New Roman" w:cs="Times New Roman"/>
          <w:noProof/>
          <w:sz w:val="24"/>
          <w:szCs w:val="24"/>
        </w:rPr>
        <w:t xml:space="preserve">. One public authority noted that there can be many criteria for third-party certification schemes and that this creates a challenge for enforcement. Another noted that enforcement and monitoring may require in-depth technical knowledge of each specific product/sector, which enforcement authorities often lack. </w:t>
      </w:r>
      <w:r w:rsidR="00B34DB9" w:rsidRPr="00B34DB9">
        <w:rPr>
          <w:rFonts w:ascii="Times New Roman" w:hAnsi="Times New Roman" w:cs="Times New Roman"/>
          <w:noProof/>
          <w:sz w:val="24"/>
          <w:szCs w:val="24"/>
        </w:rPr>
        <w:t>In fact, some of the interviewed CPC authorities even indicated that the measure might lead to savings as it will help them tackle the issue of lack of transparency and reliability of labels/logos more easily (less resources are needed to substantiate their assessment)</w:t>
      </w:r>
      <w:r w:rsidR="00B34DB9">
        <w:rPr>
          <w:rFonts w:ascii="Times New Roman" w:hAnsi="Times New Roman" w:cs="Times New Roman"/>
          <w:noProof/>
          <w:sz w:val="24"/>
          <w:szCs w:val="24"/>
        </w:rPr>
        <w:t>.</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In the CATI survey, manufacturers and retailers were asked to indicate the scale of impact on their organisation of the introduction of an option ‘</w:t>
      </w:r>
      <w:r w:rsidRPr="6C4FA276">
        <w:rPr>
          <w:rFonts w:ascii="Times New Roman" w:hAnsi="Times New Roman" w:cs="Times New Roman"/>
          <w:i/>
          <w:iCs/>
          <w:noProof/>
          <w:sz w:val="24"/>
          <w:szCs w:val="24"/>
        </w:rPr>
        <w:t>setting minimum criteria for sustainability labels/logos to ensure that consumers can trust and rely on them</w:t>
      </w:r>
      <w:r w:rsidRPr="009B5734">
        <w:rPr>
          <w:rFonts w:ascii="Times New Roman" w:hAnsi="Times New Roman" w:cs="Times New Roman"/>
          <w:noProof/>
          <w:sz w:val="24"/>
          <w:szCs w:val="24"/>
        </w:rPr>
        <w:t xml:space="preserve">’. This option was given a mean impact score of 2.37 (out of 5), indicating a moderate expected impact. In terms of cost, respondents in the CATI survey gave a mean score of 2.61, indicating a moderate expected cost. </w:t>
      </w:r>
    </w:p>
    <w:p w:rsidR="00EA45F9" w:rsidRPr="009B5734" w:rsidRDefault="00B34DB9" w:rsidP="00C84A99">
      <w:pPr>
        <w:ind w:left="0" w:firstLine="0"/>
        <w:rPr>
          <w:rFonts w:ascii="Times New Roman" w:eastAsia="Times New Roman" w:hAnsi="Times New Roman" w:cs="Times New Roman"/>
          <w:b/>
          <w:noProof/>
          <w:sz w:val="32"/>
          <w:szCs w:val="20"/>
        </w:rPr>
      </w:pPr>
      <w:bookmarkStart w:id="496" w:name="_Toc58149109"/>
      <w:r>
        <w:rPr>
          <w:rFonts w:ascii="Times New Roman" w:hAnsi="Times New Roman" w:cs="Times New Roman"/>
          <w:noProof/>
          <w:sz w:val="24"/>
          <w:szCs w:val="24"/>
        </w:rPr>
        <w:t xml:space="preserve">In addition to the formal consultation process described in this Annex, consumer organisations have made it known that in particular in relation to sub-problems 1.2, 2.1 and 2.2, </w:t>
      </w:r>
      <w:r w:rsidRPr="00B34DB9">
        <w:rPr>
          <w:rFonts w:ascii="Times New Roman" w:hAnsi="Times New Roman" w:cs="Times New Roman"/>
          <w:noProof/>
          <w:sz w:val="24"/>
          <w:szCs w:val="24"/>
        </w:rPr>
        <w:t>they would prefer measures which are more ambitious than the</w:t>
      </w:r>
      <w:r>
        <w:rPr>
          <w:rFonts w:ascii="Times New Roman" w:hAnsi="Times New Roman" w:cs="Times New Roman"/>
          <w:noProof/>
          <w:sz w:val="24"/>
          <w:szCs w:val="24"/>
        </w:rPr>
        <w:t xml:space="preserve"> preferred policy</w:t>
      </w:r>
      <w:r w:rsidRPr="00B34DB9">
        <w:rPr>
          <w:rFonts w:ascii="Times New Roman" w:hAnsi="Times New Roman" w:cs="Times New Roman"/>
          <w:noProof/>
          <w:sz w:val="24"/>
          <w:szCs w:val="24"/>
        </w:rPr>
        <w:t xml:space="preserve"> options </w:t>
      </w:r>
      <w:r>
        <w:rPr>
          <w:rFonts w:ascii="Times New Roman" w:hAnsi="Times New Roman" w:cs="Times New Roman"/>
          <w:noProof/>
          <w:sz w:val="24"/>
          <w:szCs w:val="24"/>
        </w:rPr>
        <w:t xml:space="preserve">that have been </w:t>
      </w:r>
      <w:r w:rsidRPr="00B34DB9">
        <w:rPr>
          <w:rFonts w:ascii="Times New Roman" w:hAnsi="Times New Roman" w:cs="Times New Roman"/>
          <w:noProof/>
          <w:sz w:val="24"/>
          <w:szCs w:val="24"/>
        </w:rPr>
        <w:t>selected</w:t>
      </w:r>
      <w:r>
        <w:rPr>
          <w:rFonts w:ascii="Times New Roman" w:hAnsi="Times New Roman" w:cs="Times New Roman"/>
          <w:noProof/>
          <w:sz w:val="24"/>
          <w:szCs w:val="24"/>
        </w:rPr>
        <w:t xml:space="preserve"> in this Impact Assessment.</w:t>
      </w:r>
      <w:r w:rsidR="00C61A50">
        <w:rPr>
          <w:rStyle w:val="FootnoteReference"/>
          <w:rFonts w:ascii="Times New Roman" w:hAnsi="Times New Roman" w:cs="Times New Roman"/>
          <w:noProof/>
          <w:sz w:val="24"/>
          <w:szCs w:val="24"/>
        </w:rPr>
        <w:footnoteReference w:id="142"/>
      </w:r>
      <w:r w:rsidR="00EA45F9" w:rsidRPr="009B5734">
        <w:rPr>
          <w:noProof/>
        </w:rPr>
        <w:br w:type="page"/>
      </w:r>
    </w:p>
    <w:p w:rsidR="00EA45F9" w:rsidRPr="009B5734" w:rsidRDefault="00EA45F9" w:rsidP="00EA45F9">
      <w:pPr>
        <w:pStyle w:val="Heading1"/>
        <w:jc w:val="center"/>
        <w:rPr>
          <w:noProof/>
        </w:rPr>
      </w:pPr>
      <w:bookmarkStart w:id="497" w:name="_Annex_3:_Who_1"/>
      <w:bookmarkStart w:id="498" w:name="_Toc58604132"/>
      <w:bookmarkStart w:id="499" w:name="_Toc75440981"/>
      <w:bookmarkStart w:id="500" w:name="_Toc75446980"/>
      <w:bookmarkStart w:id="501" w:name="_Toc75448853"/>
      <w:bookmarkStart w:id="502" w:name="_Toc77844253"/>
      <w:bookmarkStart w:id="503" w:name="_Toc86391756"/>
      <w:bookmarkEnd w:id="497"/>
      <w:r w:rsidRPr="009B5734">
        <w:rPr>
          <w:noProof/>
        </w:rPr>
        <w:t xml:space="preserve">Annex 3: </w:t>
      </w:r>
      <w:r w:rsidRPr="009B5734" w:rsidDel="00BC6FAB">
        <w:rPr>
          <w:noProof/>
        </w:rPr>
        <w:t>Who is affected and how?</w:t>
      </w:r>
      <w:bookmarkEnd w:id="496"/>
      <w:bookmarkEnd w:id="498"/>
      <w:bookmarkEnd w:id="499"/>
      <w:bookmarkEnd w:id="500"/>
      <w:bookmarkEnd w:id="501"/>
      <w:bookmarkEnd w:id="502"/>
      <w:bookmarkEnd w:id="503"/>
    </w:p>
    <w:p w:rsidR="00EA45F9" w:rsidRPr="009B5734" w:rsidRDefault="00A00208" w:rsidP="00A00208">
      <w:pPr>
        <w:pStyle w:val="Heading2"/>
        <w:rPr>
          <w:noProof/>
        </w:rPr>
      </w:pPr>
      <w:bookmarkStart w:id="504" w:name="_Toc58149110"/>
      <w:bookmarkStart w:id="505" w:name="_Toc58222488"/>
      <w:bookmarkStart w:id="506" w:name="_Toc58603273"/>
      <w:bookmarkStart w:id="507" w:name="_Toc58604133"/>
      <w:bookmarkStart w:id="508" w:name="_Toc58605451"/>
      <w:bookmarkStart w:id="509" w:name="_Toc60734088"/>
      <w:bookmarkStart w:id="510" w:name="_Toc75440982"/>
      <w:bookmarkStart w:id="511" w:name="_Toc75446981"/>
      <w:bookmarkStart w:id="512" w:name="_Toc75448854"/>
      <w:bookmarkStart w:id="513" w:name="_Toc77844254"/>
      <w:bookmarkStart w:id="514" w:name="_Toc86391757"/>
      <w:r w:rsidRPr="00A00208">
        <w:t>1.</w:t>
      </w:r>
      <w:r w:rsidRPr="00A00208">
        <w:tab/>
      </w:r>
      <w:r w:rsidR="00EA45F9" w:rsidRPr="009B5734">
        <w:rPr>
          <w:noProof/>
        </w:rPr>
        <w:t>Practical implications of the initiative</w:t>
      </w:r>
      <w:bookmarkEnd w:id="504"/>
      <w:bookmarkEnd w:id="505"/>
      <w:bookmarkEnd w:id="506"/>
      <w:bookmarkEnd w:id="507"/>
      <w:bookmarkEnd w:id="508"/>
      <w:bookmarkEnd w:id="509"/>
      <w:bookmarkEnd w:id="510"/>
      <w:bookmarkEnd w:id="511"/>
      <w:bookmarkEnd w:id="512"/>
      <w:bookmarkEnd w:id="513"/>
      <w:bookmarkEnd w:id="514"/>
    </w:p>
    <w:p w:rsidR="00EA45F9" w:rsidRPr="009B5734" w:rsidRDefault="00EA45F9" w:rsidP="00EA45F9">
      <w:pPr>
        <w:ind w:left="0" w:firstLine="0"/>
        <w:rPr>
          <w:rFonts w:ascii="Times New Roman" w:hAnsi="Times New Roman" w:cs="Times New Roman"/>
          <w:noProof/>
          <w:sz w:val="24"/>
          <w:szCs w:val="24"/>
        </w:rPr>
      </w:pPr>
      <w:r w:rsidRPr="005D24D2">
        <w:rPr>
          <w:rFonts w:ascii="Times New Roman" w:hAnsi="Times New Roman" w:cs="Times New Roman"/>
          <w:i/>
          <w:iCs/>
          <w:noProof/>
          <w:sz w:val="24"/>
          <w:szCs w:val="24"/>
        </w:rPr>
        <w:t>Consumers</w:t>
      </w:r>
      <w:r w:rsidRPr="009B5734">
        <w:rPr>
          <w:rFonts w:ascii="Times New Roman" w:hAnsi="Times New Roman" w:cs="Times New Roman"/>
          <w:noProof/>
          <w:sz w:val="24"/>
          <w:szCs w:val="24"/>
        </w:rPr>
        <w:t xml:space="preserve"> would be positively affected by the initiative. </w:t>
      </w:r>
      <w:r w:rsidRPr="009B5734">
        <w:rPr>
          <w:rFonts w:ascii="Times New Roman" w:hAnsi="Times New Roman" w:cs="Times New Roman"/>
          <w:noProof/>
          <w:sz w:val="24"/>
          <w:szCs w:val="24"/>
          <w:u w:val="single"/>
        </w:rPr>
        <w:t>Consumer decision making</w:t>
      </w:r>
      <w:r w:rsidRPr="009B5734">
        <w:rPr>
          <w:rFonts w:ascii="Times New Roman" w:hAnsi="Times New Roman" w:cs="Times New Roman"/>
          <w:noProof/>
          <w:sz w:val="24"/>
          <w:szCs w:val="24"/>
        </w:rPr>
        <w:t xml:space="preserve"> would increase thanks to the options aimed at improving the availability of information at the point of sale about the existence and length of producer’s commercial guarantees of durability, about the period of availability of free software updates and about the reparability of products. It would also increase thanks to the options aimed at tackling greenwashing and unreliable and non-transparent sustainability labels. </w:t>
      </w:r>
      <w:r w:rsidRPr="009B5734">
        <w:rPr>
          <w:rFonts w:ascii="Times New Roman" w:hAnsi="Times New Roman" w:cs="Times New Roman"/>
          <w:noProof/>
          <w:sz w:val="24"/>
          <w:szCs w:val="24"/>
          <w:u w:val="single"/>
        </w:rPr>
        <w:t>Consumer protection</w:t>
      </w:r>
      <w:r w:rsidRPr="009B5734">
        <w:rPr>
          <w:rFonts w:ascii="Times New Roman" w:hAnsi="Times New Roman" w:cs="Times New Roman"/>
          <w:noProof/>
          <w:sz w:val="24"/>
          <w:szCs w:val="24"/>
        </w:rPr>
        <w:t xml:space="preserve"> would also improve as consumers will be able to opt in a more transparent way for products with extended commercial guarantees if that would suit their needs. They would also be better protected from misleading environmental claims and products that fail early. In turn, this would lead to higher </w:t>
      </w:r>
      <w:r w:rsidRPr="009B5734">
        <w:rPr>
          <w:rFonts w:ascii="Times New Roman" w:hAnsi="Times New Roman" w:cs="Times New Roman"/>
          <w:noProof/>
          <w:sz w:val="24"/>
          <w:szCs w:val="24"/>
          <w:u w:val="single"/>
        </w:rPr>
        <w:t>consumer trust</w:t>
      </w:r>
      <w:r w:rsidRPr="009B5734">
        <w:rPr>
          <w:rFonts w:ascii="Times New Roman" w:hAnsi="Times New Roman" w:cs="Times New Roman"/>
          <w:noProof/>
          <w:sz w:val="24"/>
          <w:szCs w:val="24"/>
        </w:rPr>
        <w:t xml:space="preserve"> in the market, and notably in more sustainable products. Overall, the monetisable </w:t>
      </w:r>
      <w:r w:rsidRPr="009B5734">
        <w:rPr>
          <w:rFonts w:ascii="Times New Roman" w:hAnsi="Times New Roman" w:cs="Times New Roman"/>
          <w:noProof/>
          <w:sz w:val="24"/>
          <w:szCs w:val="24"/>
          <w:u w:val="single"/>
        </w:rPr>
        <w:t>consumer welfare</w:t>
      </w:r>
      <w:r w:rsidRPr="009B5734">
        <w:rPr>
          <w:rFonts w:ascii="Times New Roman" w:hAnsi="Times New Roman" w:cs="Times New Roman"/>
          <w:noProof/>
          <w:sz w:val="24"/>
          <w:szCs w:val="24"/>
        </w:rPr>
        <w:t xml:space="preserve"> would be quite consequent, primarily because consumers would save money on products that last longer and can be repaired more easily. </w:t>
      </w:r>
    </w:p>
    <w:p w:rsidR="00EA45F9" w:rsidRPr="009B5734" w:rsidRDefault="00EA45F9" w:rsidP="00EA45F9">
      <w:pPr>
        <w:ind w:left="0" w:firstLine="0"/>
        <w:rPr>
          <w:rFonts w:ascii="Times New Roman" w:hAnsi="Times New Roman" w:cs="Times New Roman"/>
          <w:noProof/>
          <w:sz w:val="24"/>
          <w:szCs w:val="24"/>
        </w:rPr>
      </w:pP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The impacts on the </w:t>
      </w:r>
      <w:r w:rsidRPr="009B5734">
        <w:rPr>
          <w:rFonts w:ascii="Times New Roman" w:hAnsi="Times New Roman" w:cs="Times New Roman"/>
          <w:noProof/>
          <w:sz w:val="24"/>
          <w:szCs w:val="24"/>
          <w:u w:val="single"/>
        </w:rPr>
        <w:t>environment</w:t>
      </w:r>
      <w:r w:rsidRPr="009B5734">
        <w:rPr>
          <w:rFonts w:ascii="Times New Roman" w:hAnsi="Times New Roman" w:cs="Times New Roman"/>
          <w:noProof/>
          <w:sz w:val="24"/>
          <w:szCs w:val="24"/>
        </w:rPr>
        <w:t xml:space="preserve"> would also be positive. The options would guide consumers towards these products that are the most sustainable. Thanks to the preferred options, products would also be expected to last longer and be repaired more often than they are now. This would in turn lead to higher circularity, less CO2 emitted in production and fewer other negative environmental impacts. </w:t>
      </w:r>
    </w:p>
    <w:p w:rsidR="00EA45F9" w:rsidRPr="009B5734" w:rsidRDefault="00EA45F9" w:rsidP="00EA45F9">
      <w:pPr>
        <w:ind w:left="0" w:firstLine="0"/>
        <w:rPr>
          <w:rFonts w:ascii="Times New Roman" w:hAnsi="Times New Roman" w:cs="Times New Roman"/>
          <w:noProof/>
          <w:sz w:val="24"/>
          <w:szCs w:val="24"/>
        </w:rPr>
      </w:pP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The impacts on </w:t>
      </w:r>
      <w:r w:rsidRPr="009B5734">
        <w:rPr>
          <w:rFonts w:ascii="Times New Roman" w:hAnsi="Times New Roman" w:cs="Times New Roman"/>
          <w:i/>
          <w:noProof/>
          <w:sz w:val="24"/>
          <w:szCs w:val="24"/>
        </w:rPr>
        <w:t>sellers and producers</w:t>
      </w:r>
      <w:r w:rsidRPr="009B5734">
        <w:rPr>
          <w:rFonts w:ascii="Times New Roman" w:hAnsi="Times New Roman" w:cs="Times New Roman"/>
          <w:noProof/>
          <w:sz w:val="24"/>
          <w:szCs w:val="24"/>
        </w:rPr>
        <w:t xml:space="preserve"> would be two-fold. On one hand, they would incur </w:t>
      </w:r>
      <w:r w:rsidRPr="009B5734">
        <w:rPr>
          <w:rFonts w:ascii="Times New Roman" w:hAnsi="Times New Roman" w:cs="Times New Roman"/>
          <w:noProof/>
          <w:sz w:val="24"/>
          <w:szCs w:val="24"/>
          <w:u w:val="single"/>
        </w:rPr>
        <w:t>higher costs</w:t>
      </w:r>
      <w:r w:rsidRPr="009B5734">
        <w:rPr>
          <w:rFonts w:ascii="Times New Roman" w:hAnsi="Times New Roman" w:cs="Times New Roman"/>
          <w:noProof/>
          <w:sz w:val="24"/>
          <w:szCs w:val="24"/>
        </w:rPr>
        <w:t xml:space="preserve">, particularly linked to obligations to provide certain information, for instance, on the existence of a producer’s commercial guarantees of durability or on reparability. However, these extra costs would be limited considering the average prices of the products concerned, and, even though they would likely be passed on to consumers, they are unlikely to affect the demand. On the other hand, options to address greenwashing and early obsolescence would also improve the </w:t>
      </w:r>
      <w:r w:rsidRPr="009B5734">
        <w:rPr>
          <w:rFonts w:ascii="Times New Roman" w:hAnsi="Times New Roman" w:cs="Times New Roman"/>
          <w:noProof/>
          <w:sz w:val="24"/>
          <w:szCs w:val="24"/>
          <w:u w:val="single"/>
        </w:rPr>
        <w:t>level-playing field</w:t>
      </w:r>
      <w:r w:rsidRPr="009B5734">
        <w:rPr>
          <w:rFonts w:ascii="Times New Roman" w:hAnsi="Times New Roman" w:cs="Times New Roman"/>
          <w:noProof/>
          <w:sz w:val="24"/>
          <w:szCs w:val="24"/>
        </w:rPr>
        <w:t xml:space="preserve"> between companies as businesses that currently mislead consumers would have to align their practices with those that are truly sustainable. In addition, as several Member States have enacted or are in the process of adopting specific legislation on durability or reparability information or obsolescence, the preferred options would reduce </w:t>
      </w:r>
      <w:r w:rsidRPr="009B5734">
        <w:rPr>
          <w:rFonts w:ascii="Times New Roman" w:hAnsi="Times New Roman" w:cs="Times New Roman"/>
          <w:noProof/>
          <w:sz w:val="24"/>
          <w:szCs w:val="24"/>
          <w:u w:val="single"/>
        </w:rPr>
        <w:t>barriers to cross-border trade</w:t>
      </w:r>
      <w:r w:rsidRPr="009B5734">
        <w:rPr>
          <w:rFonts w:ascii="Times New Roman" w:hAnsi="Times New Roman" w:cs="Times New Roman"/>
          <w:noProof/>
          <w:sz w:val="24"/>
          <w:szCs w:val="24"/>
        </w:rPr>
        <w:t xml:space="preserve"> within the Single Market and ensure that companies active on the Single Market play by the same rules. The initiative would also have an impact on organisations running sustainability labels as they would have to comply with new requirements increasing the transparency and credibility towards consumers. These costs are likely to be passed on to the companies applying for such labels. </w:t>
      </w:r>
    </w:p>
    <w:p w:rsidR="00EA45F9" w:rsidRPr="009B5734" w:rsidRDefault="00EA45F9" w:rsidP="00EA45F9">
      <w:pPr>
        <w:ind w:left="0" w:firstLine="0"/>
        <w:rPr>
          <w:rFonts w:ascii="Times New Roman" w:hAnsi="Times New Roman" w:cs="Times New Roman"/>
          <w:noProof/>
          <w:sz w:val="24"/>
          <w:szCs w:val="24"/>
        </w:rPr>
      </w:pPr>
    </w:p>
    <w:p w:rsidR="002E4933"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Public authorities would face higher costs particularly linked to the monitoring and enforcement of the preferred options. However, the options have also been designed to render enforcement easier: for instance, on greenwashing, authorities have mentioned that the options considered could even lead to savings as it will help them to prove the practice of “greenwashing” more easily. </w:t>
      </w:r>
    </w:p>
    <w:p w:rsidR="002E4933" w:rsidRDefault="002E4933" w:rsidP="00EA45F9">
      <w:pPr>
        <w:ind w:left="0" w:firstLine="0"/>
        <w:rPr>
          <w:rFonts w:ascii="Times New Roman" w:hAnsi="Times New Roman" w:cs="Times New Roman"/>
          <w:noProof/>
          <w:sz w:val="24"/>
          <w:szCs w:val="24"/>
        </w:rPr>
      </w:pPr>
    </w:p>
    <w:p w:rsidR="00EA45F9" w:rsidRPr="00C36B76" w:rsidRDefault="002E4933" w:rsidP="00EA45F9">
      <w:pPr>
        <w:ind w:left="0" w:firstLine="0"/>
        <w:rPr>
          <w:rFonts w:ascii="Times New Roman" w:hAnsi="Times New Roman" w:cs="Times New Roman"/>
          <w:noProof/>
          <w:sz w:val="24"/>
          <w:szCs w:val="24"/>
        </w:rPr>
      </w:pPr>
      <w:r w:rsidRPr="002E4933">
        <w:rPr>
          <w:rFonts w:ascii="Times New Roman" w:hAnsi="Times New Roman" w:cs="Times New Roman"/>
          <w:noProof/>
          <w:sz w:val="24"/>
          <w:szCs w:val="24"/>
        </w:rPr>
        <w:t>There are also other parties who may be affected</w:t>
      </w:r>
      <w:r>
        <w:rPr>
          <w:rFonts w:ascii="Times New Roman" w:hAnsi="Times New Roman" w:cs="Times New Roman"/>
          <w:noProof/>
          <w:sz w:val="24"/>
          <w:szCs w:val="24"/>
        </w:rPr>
        <w:t xml:space="preserve"> by the measures introduced by this initiative</w:t>
      </w:r>
      <w:r w:rsidRPr="002E4933">
        <w:rPr>
          <w:rFonts w:ascii="Times New Roman" w:hAnsi="Times New Roman" w:cs="Times New Roman"/>
          <w:noProof/>
          <w:sz w:val="24"/>
          <w:szCs w:val="24"/>
        </w:rPr>
        <w:t>, but who were not considered in the analysis because the corresponding impacts were considered minor and therefore not selected in the scr</w:t>
      </w:r>
      <w:r>
        <w:rPr>
          <w:rFonts w:ascii="Times New Roman" w:hAnsi="Times New Roman" w:cs="Times New Roman"/>
          <w:noProof/>
          <w:sz w:val="24"/>
          <w:szCs w:val="24"/>
        </w:rPr>
        <w:t>eening of impacts</w:t>
      </w:r>
      <w:r w:rsidRPr="002E4933">
        <w:rPr>
          <w:rFonts w:ascii="Times New Roman" w:hAnsi="Times New Roman" w:cs="Times New Roman"/>
          <w:noProof/>
          <w:sz w:val="24"/>
          <w:szCs w:val="24"/>
        </w:rPr>
        <w:t>. One such category is Third Countries</w:t>
      </w:r>
      <w:r>
        <w:rPr>
          <w:rFonts w:ascii="Times New Roman" w:hAnsi="Times New Roman" w:cs="Times New Roman"/>
          <w:noProof/>
          <w:sz w:val="24"/>
          <w:szCs w:val="24"/>
        </w:rPr>
        <w:t>. I</w:t>
      </w:r>
      <w:r w:rsidRPr="002E4933">
        <w:rPr>
          <w:rFonts w:ascii="Times New Roman" w:hAnsi="Times New Roman" w:cs="Times New Roman"/>
          <w:noProof/>
          <w:sz w:val="24"/>
          <w:szCs w:val="24"/>
        </w:rPr>
        <w:t xml:space="preserve">t can be estimated that the level playing field established by </w:t>
      </w:r>
      <w:r>
        <w:rPr>
          <w:rFonts w:ascii="Times New Roman" w:hAnsi="Times New Roman" w:cs="Times New Roman"/>
          <w:noProof/>
          <w:sz w:val="24"/>
          <w:szCs w:val="24"/>
        </w:rPr>
        <w:t>this initiative</w:t>
      </w:r>
      <w:r w:rsidRPr="002E4933">
        <w:rPr>
          <w:rFonts w:ascii="Times New Roman" w:hAnsi="Times New Roman" w:cs="Times New Roman"/>
          <w:noProof/>
          <w:sz w:val="24"/>
          <w:szCs w:val="24"/>
        </w:rPr>
        <w:t xml:space="preserve"> would also bring benefits to businesses located in Third Countries, as those businesses that currently mislead consumers would also have to align their practices with those that are truly sustainable in order to sell their products on the EU market in conformity with the measures </w:t>
      </w:r>
      <w:r>
        <w:rPr>
          <w:rFonts w:ascii="Times New Roman" w:hAnsi="Times New Roman" w:cs="Times New Roman"/>
          <w:noProof/>
          <w:sz w:val="24"/>
          <w:szCs w:val="24"/>
        </w:rPr>
        <w:t>selected</w:t>
      </w:r>
      <w:r w:rsidRPr="002E4933">
        <w:rPr>
          <w:rFonts w:ascii="Times New Roman" w:hAnsi="Times New Roman" w:cs="Times New Roman"/>
          <w:noProof/>
          <w:sz w:val="24"/>
          <w:szCs w:val="24"/>
        </w:rPr>
        <w:t>.</w:t>
      </w:r>
      <w:r>
        <w:rPr>
          <w:rFonts w:ascii="Times New Roman" w:hAnsi="Times New Roman" w:cs="Times New Roman"/>
          <w:noProof/>
          <w:sz w:val="24"/>
          <w:szCs w:val="24"/>
        </w:rPr>
        <w:t xml:space="preserve"> Furthermore, none of the preferred policy options selected would negatively impact Third Country trade, as the requirements selected are of such a nature as to be easily complied with by traders located in Third Countries.</w:t>
      </w:r>
      <w:r w:rsidR="00B06988">
        <w:rPr>
          <w:rFonts w:ascii="Times New Roman" w:hAnsi="Times New Roman" w:cs="Times New Roman"/>
          <w:noProof/>
          <w:sz w:val="24"/>
          <w:szCs w:val="24"/>
        </w:rPr>
        <w:t xml:space="preserve"> The screening of impacts is further specified in Annex 4.</w:t>
      </w:r>
    </w:p>
    <w:p w:rsidR="00C36B76" w:rsidRDefault="00C36B76">
      <w:pPr>
        <w:rPr>
          <w:rFonts w:ascii="Times New Roman" w:eastAsia="Times New Roman" w:hAnsi="Times New Roman" w:cs="Times New Roman"/>
          <w:b/>
          <w:noProof/>
          <w:sz w:val="24"/>
          <w:szCs w:val="20"/>
        </w:rPr>
      </w:pPr>
      <w:bookmarkStart w:id="515" w:name="_Toc58149111"/>
      <w:bookmarkStart w:id="516" w:name="_Toc58222489"/>
      <w:bookmarkStart w:id="517" w:name="_Toc58603274"/>
      <w:bookmarkStart w:id="518" w:name="_Toc58604134"/>
      <w:bookmarkStart w:id="519" w:name="_Toc58605452"/>
      <w:bookmarkStart w:id="520" w:name="_Toc60734089"/>
      <w:bookmarkStart w:id="521" w:name="_Toc75440983"/>
      <w:bookmarkStart w:id="522" w:name="_Toc75446982"/>
      <w:bookmarkStart w:id="523" w:name="_Toc75448855"/>
      <w:bookmarkStart w:id="524" w:name="_Toc77844255"/>
      <w:r>
        <w:rPr>
          <w:noProof/>
        </w:rPr>
        <w:br w:type="page"/>
      </w:r>
    </w:p>
    <w:p w:rsidR="00EA45F9" w:rsidRPr="009B5734" w:rsidRDefault="00A00208" w:rsidP="00A00208">
      <w:pPr>
        <w:pStyle w:val="Heading2"/>
        <w:rPr>
          <w:noProof/>
        </w:rPr>
      </w:pPr>
      <w:bookmarkStart w:id="525" w:name="_Toc86391758"/>
      <w:r w:rsidRPr="00A00208">
        <w:t>2.</w:t>
      </w:r>
      <w:r w:rsidRPr="00A00208">
        <w:tab/>
      </w:r>
      <w:r w:rsidR="00EA45F9" w:rsidRPr="009B5734">
        <w:rPr>
          <w:noProof/>
        </w:rPr>
        <w:t>Summary of costs and benefits</w:t>
      </w:r>
      <w:bookmarkEnd w:id="515"/>
      <w:bookmarkEnd w:id="516"/>
      <w:bookmarkEnd w:id="517"/>
      <w:bookmarkEnd w:id="518"/>
      <w:bookmarkEnd w:id="519"/>
      <w:bookmarkEnd w:id="520"/>
      <w:bookmarkEnd w:id="521"/>
      <w:bookmarkEnd w:id="522"/>
      <w:bookmarkEnd w:id="523"/>
      <w:bookmarkEnd w:id="524"/>
      <w:bookmarkEnd w:id="525"/>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All figures presented below are </w:t>
      </w:r>
      <w:r w:rsidRPr="009B5734">
        <w:rPr>
          <w:rFonts w:ascii="Times New Roman" w:hAnsi="Times New Roman" w:cs="Times New Roman"/>
          <w:b/>
          <w:noProof/>
          <w:sz w:val="24"/>
          <w:szCs w:val="24"/>
        </w:rPr>
        <w:t>for the entire period 2025-2040 for the entire EU-27</w:t>
      </w:r>
      <w:r w:rsidRPr="009B5734">
        <w:rPr>
          <w:rFonts w:ascii="Times New Roman" w:hAnsi="Times New Roman" w:cs="Times New Roman"/>
          <w:noProof/>
          <w:sz w:val="24"/>
          <w:szCs w:val="24"/>
        </w:rPr>
        <w:t xml:space="preserve">, explaining the high values. </w:t>
      </w:r>
    </w:p>
    <w:p w:rsidR="00EA45F9" w:rsidRPr="009B5734" w:rsidRDefault="00EA45F9" w:rsidP="00EA45F9">
      <w:pPr>
        <w:rPr>
          <w:noProof/>
        </w:rPr>
      </w:pPr>
    </w:p>
    <w:tbl>
      <w:tblPr>
        <w:tblStyle w:val="CV12"/>
        <w:tblW w:w="10377"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52"/>
        <w:gridCol w:w="4111"/>
        <w:gridCol w:w="3714"/>
      </w:tblGrid>
      <w:tr w:rsidR="00EA45F9" w:rsidRPr="009B5734" w:rsidTr="00C84A99">
        <w:tc>
          <w:tcPr>
            <w:tcW w:w="10377" w:type="dxa"/>
            <w:gridSpan w:val="3"/>
            <w:tcBorders>
              <w:top w:val="double" w:sz="4" w:space="0" w:color="auto"/>
              <w:bottom w:val="single" w:sz="4" w:space="0" w:color="auto"/>
            </w:tcBorders>
            <w:shd w:val="clear" w:color="auto" w:fill="C6D9F1" w:themeFill="text2" w:themeFillTint="33"/>
          </w:tcPr>
          <w:p w:rsidR="00EA45F9" w:rsidRPr="009B5734" w:rsidRDefault="00EA45F9" w:rsidP="00981615">
            <w:pPr>
              <w:tabs>
                <w:tab w:val="num" w:pos="425"/>
              </w:tabs>
              <w:jc w:val="center"/>
              <w:rPr>
                <w:b/>
                <w:i/>
                <w:noProof/>
                <w:sz w:val="22"/>
                <w:szCs w:val="22"/>
              </w:rPr>
            </w:pPr>
            <w:r w:rsidRPr="009B5734">
              <w:rPr>
                <w:b/>
                <w:i/>
                <w:noProof/>
                <w:sz w:val="22"/>
                <w:szCs w:val="22"/>
              </w:rPr>
              <w:t xml:space="preserve">I. Overview of Benefits of the Preferred Options for the period 2025-2040 </w:t>
            </w:r>
          </w:p>
        </w:tc>
      </w:tr>
      <w:tr w:rsidR="00EA45F9" w:rsidRPr="009B5734" w:rsidTr="00C84A99">
        <w:tc>
          <w:tcPr>
            <w:tcW w:w="2552" w:type="dxa"/>
            <w:tcBorders>
              <w:top w:val="single" w:sz="4" w:space="0" w:color="auto"/>
            </w:tcBorders>
            <w:shd w:val="clear" w:color="auto" w:fill="C6D9F1" w:themeFill="text2" w:themeFillTint="33"/>
          </w:tcPr>
          <w:p w:rsidR="00EA45F9" w:rsidRPr="009B5734" w:rsidRDefault="00EA45F9" w:rsidP="00981615">
            <w:pPr>
              <w:tabs>
                <w:tab w:val="num" w:pos="425"/>
              </w:tabs>
              <w:jc w:val="center"/>
              <w:rPr>
                <w:b/>
                <w:i/>
                <w:noProof/>
              </w:rPr>
            </w:pPr>
            <w:r w:rsidRPr="009B5734">
              <w:rPr>
                <w:b/>
                <w:i/>
                <w:noProof/>
              </w:rPr>
              <w:t>Description</w:t>
            </w:r>
          </w:p>
        </w:tc>
        <w:tc>
          <w:tcPr>
            <w:tcW w:w="4111" w:type="dxa"/>
            <w:tcBorders>
              <w:top w:val="single" w:sz="4" w:space="0" w:color="auto"/>
            </w:tcBorders>
            <w:shd w:val="clear" w:color="auto" w:fill="C6D9F1" w:themeFill="text2" w:themeFillTint="33"/>
          </w:tcPr>
          <w:p w:rsidR="00EA45F9" w:rsidRPr="009B5734" w:rsidRDefault="00EA45F9" w:rsidP="00981615">
            <w:pPr>
              <w:tabs>
                <w:tab w:val="num" w:pos="425"/>
              </w:tabs>
              <w:jc w:val="center"/>
              <w:rPr>
                <w:b/>
                <w:i/>
                <w:noProof/>
              </w:rPr>
            </w:pPr>
            <w:r w:rsidRPr="009B5734">
              <w:rPr>
                <w:b/>
                <w:i/>
                <w:noProof/>
              </w:rPr>
              <w:t>Amount</w:t>
            </w:r>
          </w:p>
        </w:tc>
        <w:tc>
          <w:tcPr>
            <w:tcW w:w="3714" w:type="dxa"/>
            <w:tcBorders>
              <w:top w:val="single" w:sz="4" w:space="0" w:color="auto"/>
            </w:tcBorders>
            <w:shd w:val="clear" w:color="auto" w:fill="C6D9F1" w:themeFill="text2" w:themeFillTint="33"/>
            <w:tcMar>
              <w:top w:w="57" w:type="dxa"/>
              <w:left w:w="57" w:type="dxa"/>
              <w:bottom w:w="57" w:type="dxa"/>
              <w:right w:w="57" w:type="dxa"/>
            </w:tcMar>
          </w:tcPr>
          <w:p w:rsidR="00EA45F9" w:rsidRPr="009B5734" w:rsidRDefault="00EA45F9" w:rsidP="00981615">
            <w:pPr>
              <w:tabs>
                <w:tab w:val="num" w:pos="425"/>
              </w:tabs>
              <w:jc w:val="center"/>
              <w:rPr>
                <w:b/>
                <w:i/>
                <w:noProof/>
              </w:rPr>
            </w:pPr>
            <w:r w:rsidRPr="009B5734">
              <w:rPr>
                <w:b/>
                <w:i/>
                <w:noProof/>
              </w:rPr>
              <w:t>Comments</w:t>
            </w:r>
          </w:p>
        </w:tc>
      </w:tr>
      <w:tr w:rsidR="00EA45F9" w:rsidRPr="009B5734" w:rsidTr="00C84A99">
        <w:tc>
          <w:tcPr>
            <w:tcW w:w="10377" w:type="dxa"/>
            <w:gridSpan w:val="3"/>
            <w:tcBorders>
              <w:top w:val="double" w:sz="4" w:space="0" w:color="auto"/>
              <w:bottom w:val="double" w:sz="4" w:space="0" w:color="auto"/>
            </w:tcBorders>
            <w:shd w:val="clear" w:color="auto" w:fill="F2F2F2" w:themeFill="background1" w:themeFillShade="F2"/>
          </w:tcPr>
          <w:p w:rsidR="00EA45F9" w:rsidRPr="0084232A" w:rsidRDefault="00EA45F9">
            <w:pPr>
              <w:tabs>
                <w:tab w:val="num" w:pos="425"/>
              </w:tabs>
              <w:jc w:val="center"/>
              <w:rPr>
                <w:b/>
                <w:i/>
                <w:noProof/>
              </w:rPr>
            </w:pPr>
            <w:r w:rsidRPr="005D24D2">
              <w:rPr>
                <w:b/>
                <w:bCs/>
                <w:i/>
                <w:iCs/>
                <w:noProof/>
              </w:rPr>
              <w:t>Direct benefits (present value of the total monetisable direct benefits for the period 2025-2040)</w:t>
            </w:r>
          </w:p>
        </w:tc>
      </w:tr>
      <w:tr w:rsidR="00EA45F9" w:rsidRPr="009B5734" w:rsidTr="00C84A99">
        <w:tc>
          <w:tcPr>
            <w:tcW w:w="10377" w:type="dxa"/>
            <w:gridSpan w:val="3"/>
            <w:tcBorders>
              <w:top w:val="double" w:sz="4" w:space="0" w:color="auto"/>
              <w:bottom w:val="single" w:sz="4" w:space="0" w:color="auto"/>
            </w:tcBorders>
          </w:tcPr>
          <w:p w:rsidR="00EA45F9" w:rsidRPr="009B5734" w:rsidRDefault="00EA45F9" w:rsidP="00981615">
            <w:pPr>
              <w:ind w:left="35" w:firstLine="0"/>
              <w:jc w:val="center"/>
              <w:rPr>
                <w:b/>
                <w:i/>
                <w:noProof/>
              </w:rPr>
            </w:pPr>
            <w:r w:rsidRPr="009B5734">
              <w:rPr>
                <w:b/>
                <w:i/>
                <w:noProof/>
              </w:rPr>
              <w:t>Option 1.2.C: Information on the existence and length of a producer’s commercial guarantee of durability and</w:t>
            </w:r>
            <w:r w:rsidRPr="009B5734">
              <w:rPr>
                <w:b/>
                <w:bCs/>
                <w:i/>
                <w:iCs/>
                <w:noProof/>
              </w:rPr>
              <w:t xml:space="preserve"> on the period of time during which free software updates will be provided by manufacturers</w:t>
            </w:r>
          </w:p>
        </w:tc>
      </w:tr>
      <w:tr w:rsidR="00EA45F9" w:rsidRPr="009B5734" w:rsidTr="00C84A99">
        <w:tc>
          <w:tcPr>
            <w:tcW w:w="2552" w:type="dxa"/>
            <w:tcBorders>
              <w:top w:val="single" w:sz="4" w:space="0" w:color="auto"/>
            </w:tcBorders>
          </w:tcPr>
          <w:p w:rsidR="00EA45F9" w:rsidRPr="009B5734" w:rsidRDefault="00EA45F9" w:rsidP="00981615">
            <w:pPr>
              <w:ind w:left="35" w:firstLine="0"/>
              <w:rPr>
                <w:i/>
                <w:noProof/>
              </w:rPr>
            </w:pPr>
            <w:r w:rsidRPr="009B5734">
              <w:rPr>
                <w:i/>
                <w:noProof/>
              </w:rPr>
              <w:t xml:space="preserve">Consumer welfare </w:t>
            </w:r>
          </w:p>
        </w:tc>
        <w:tc>
          <w:tcPr>
            <w:tcW w:w="4111" w:type="dxa"/>
            <w:tcBorders>
              <w:top w:val="single" w:sz="4" w:space="0" w:color="auto"/>
            </w:tcBorders>
            <w:tcMar>
              <w:top w:w="57" w:type="dxa"/>
              <w:left w:w="57" w:type="dxa"/>
              <w:bottom w:w="57" w:type="dxa"/>
              <w:right w:w="57" w:type="dxa"/>
            </w:tcMar>
          </w:tcPr>
          <w:p w:rsidR="00EA45F9" w:rsidRPr="009B5734" w:rsidRDefault="00EA45F9" w:rsidP="00981615">
            <w:pPr>
              <w:tabs>
                <w:tab w:val="num" w:pos="425"/>
              </w:tabs>
              <w:rPr>
                <w:noProof/>
              </w:rPr>
            </w:pPr>
            <w:r w:rsidRPr="009B5734">
              <w:rPr>
                <w:noProof/>
              </w:rPr>
              <w:t>~EUR 2 355 - 3 555 million</w:t>
            </w:r>
          </w:p>
        </w:tc>
        <w:tc>
          <w:tcPr>
            <w:tcW w:w="3714" w:type="dxa"/>
            <w:tcBorders>
              <w:top w:val="single" w:sz="4" w:space="0" w:color="auto"/>
            </w:tcBorders>
            <w:tcMar>
              <w:top w:w="57" w:type="dxa"/>
              <w:left w:w="57" w:type="dxa"/>
              <w:bottom w:w="57" w:type="dxa"/>
              <w:right w:w="57" w:type="dxa"/>
            </w:tcMar>
          </w:tcPr>
          <w:p w:rsidR="00EA45F9" w:rsidRPr="009B5734" w:rsidRDefault="00EA45F9" w:rsidP="00981615">
            <w:pPr>
              <w:ind w:left="0" w:firstLine="0"/>
              <w:rPr>
                <w:noProof/>
              </w:rPr>
            </w:pPr>
            <w:r w:rsidRPr="009B5734">
              <w:rPr>
                <w:noProof/>
              </w:rPr>
              <w:t>Main beneficiaries: consumers</w:t>
            </w:r>
          </w:p>
          <w:p w:rsidR="00EA45F9" w:rsidRPr="009B5734" w:rsidRDefault="00EA45F9" w:rsidP="00981615">
            <w:pPr>
              <w:ind w:left="0" w:firstLine="0"/>
              <w:rPr>
                <w:noProof/>
              </w:rPr>
            </w:pPr>
          </w:p>
        </w:tc>
      </w:tr>
      <w:tr w:rsidR="00EA45F9" w:rsidRPr="009B5734" w:rsidTr="00C84A99">
        <w:tc>
          <w:tcPr>
            <w:tcW w:w="2552" w:type="dxa"/>
            <w:tcBorders>
              <w:bottom w:val="double" w:sz="4" w:space="0" w:color="auto"/>
            </w:tcBorders>
          </w:tcPr>
          <w:p w:rsidR="00EA45F9" w:rsidRPr="009B5734" w:rsidRDefault="00EA45F9" w:rsidP="00981615">
            <w:pPr>
              <w:tabs>
                <w:tab w:val="num" w:pos="425"/>
              </w:tabs>
              <w:rPr>
                <w:i/>
                <w:noProof/>
              </w:rPr>
            </w:pPr>
            <w:r w:rsidRPr="009B5734">
              <w:rPr>
                <w:i/>
                <w:noProof/>
              </w:rPr>
              <w:t>Reduction of CO2 emissions</w:t>
            </w:r>
          </w:p>
        </w:tc>
        <w:tc>
          <w:tcPr>
            <w:tcW w:w="4111" w:type="dxa"/>
            <w:tcBorders>
              <w:bottom w:val="double" w:sz="4" w:space="0" w:color="auto"/>
            </w:tcBorders>
            <w:tcMar>
              <w:top w:w="57" w:type="dxa"/>
              <w:left w:w="57" w:type="dxa"/>
              <w:bottom w:w="57" w:type="dxa"/>
              <w:right w:w="57" w:type="dxa"/>
            </w:tcMar>
          </w:tcPr>
          <w:p w:rsidR="00EA45F9" w:rsidRPr="009B5734" w:rsidRDefault="00EA45F9" w:rsidP="00981615">
            <w:pPr>
              <w:tabs>
                <w:tab w:val="num" w:pos="425"/>
              </w:tabs>
              <w:rPr>
                <w:noProof/>
              </w:rPr>
            </w:pPr>
            <w:r w:rsidRPr="009B5734">
              <w:rPr>
                <w:noProof/>
              </w:rPr>
              <w:t>~EUR 8 - 13 million</w:t>
            </w:r>
          </w:p>
        </w:tc>
        <w:tc>
          <w:tcPr>
            <w:tcW w:w="3714" w:type="dxa"/>
            <w:tcBorders>
              <w:bottom w:val="double" w:sz="4" w:space="0" w:color="auto"/>
            </w:tcBorders>
            <w:tcMar>
              <w:top w:w="57" w:type="dxa"/>
              <w:left w:w="57" w:type="dxa"/>
              <w:bottom w:w="57" w:type="dxa"/>
              <w:right w:w="57" w:type="dxa"/>
            </w:tcMar>
          </w:tcPr>
          <w:p w:rsidR="00EA45F9" w:rsidRPr="009B5734" w:rsidRDefault="00EA45F9" w:rsidP="00981615">
            <w:pPr>
              <w:ind w:left="0" w:firstLine="0"/>
              <w:rPr>
                <w:noProof/>
              </w:rPr>
            </w:pPr>
            <w:r w:rsidRPr="009B5734">
              <w:rPr>
                <w:noProof/>
              </w:rPr>
              <w:t xml:space="preserve">Main beneficiaries: society </w:t>
            </w:r>
          </w:p>
          <w:p w:rsidR="00EA45F9" w:rsidRPr="009B5734" w:rsidRDefault="00EA45F9" w:rsidP="00981615">
            <w:pPr>
              <w:ind w:left="0" w:firstLine="0"/>
              <w:rPr>
                <w:noProof/>
              </w:rPr>
            </w:pPr>
            <w:r w:rsidRPr="009B5734">
              <w:rPr>
                <w:noProof/>
              </w:rPr>
              <w:t xml:space="preserve">Emissions reduced during production, based on products lasting 1 year longer. </w:t>
            </w:r>
          </w:p>
        </w:tc>
      </w:tr>
      <w:tr w:rsidR="00EA45F9" w:rsidRPr="009B5734" w:rsidTr="00C84A99">
        <w:tc>
          <w:tcPr>
            <w:tcW w:w="10377" w:type="dxa"/>
            <w:gridSpan w:val="3"/>
            <w:tcBorders>
              <w:top w:val="double" w:sz="4" w:space="0" w:color="auto"/>
              <w:bottom w:val="single" w:sz="4" w:space="0" w:color="auto"/>
            </w:tcBorders>
            <w:shd w:val="clear" w:color="auto" w:fill="auto"/>
          </w:tcPr>
          <w:p w:rsidR="00EA45F9" w:rsidRPr="009B5734" w:rsidRDefault="00EA45F9" w:rsidP="00981615">
            <w:pPr>
              <w:ind w:left="0" w:firstLine="0"/>
              <w:jc w:val="center"/>
              <w:rPr>
                <w:b/>
                <w:i/>
                <w:noProof/>
              </w:rPr>
            </w:pPr>
            <w:r w:rsidRPr="009B5734">
              <w:rPr>
                <w:b/>
                <w:i/>
                <w:noProof/>
              </w:rPr>
              <w:t>Option 1.3.E: Provision of Repair Scoring Index, or other relevant repair information on a where applicable/available basis</w:t>
            </w:r>
          </w:p>
        </w:tc>
      </w:tr>
      <w:tr w:rsidR="00EA45F9" w:rsidRPr="009B5734" w:rsidTr="00C84A99">
        <w:tc>
          <w:tcPr>
            <w:tcW w:w="2552" w:type="dxa"/>
            <w:tcBorders>
              <w:top w:val="single" w:sz="4" w:space="0" w:color="auto"/>
            </w:tcBorders>
          </w:tcPr>
          <w:p w:rsidR="00EA45F9" w:rsidRPr="009B5734" w:rsidRDefault="00EA45F9" w:rsidP="00981615">
            <w:pPr>
              <w:tabs>
                <w:tab w:val="num" w:pos="425"/>
              </w:tabs>
              <w:rPr>
                <w:i/>
                <w:noProof/>
              </w:rPr>
            </w:pPr>
            <w:r w:rsidRPr="009B5734">
              <w:rPr>
                <w:i/>
                <w:noProof/>
              </w:rPr>
              <w:t>Consumer welfare</w:t>
            </w:r>
          </w:p>
          <w:p w:rsidR="00EA45F9" w:rsidRPr="009B5734" w:rsidRDefault="00EA45F9" w:rsidP="00981615">
            <w:pPr>
              <w:tabs>
                <w:tab w:val="num" w:pos="425"/>
              </w:tabs>
              <w:ind w:left="0" w:firstLine="0"/>
              <w:rPr>
                <w:noProof/>
              </w:rPr>
            </w:pPr>
          </w:p>
        </w:tc>
        <w:tc>
          <w:tcPr>
            <w:tcW w:w="4111" w:type="dxa"/>
            <w:tcBorders>
              <w:top w:val="single" w:sz="4" w:space="0" w:color="auto"/>
            </w:tcBorders>
            <w:tcMar>
              <w:top w:w="57" w:type="dxa"/>
              <w:left w:w="57" w:type="dxa"/>
              <w:bottom w:w="57" w:type="dxa"/>
              <w:right w:w="57" w:type="dxa"/>
            </w:tcMar>
          </w:tcPr>
          <w:p w:rsidR="00EA45F9" w:rsidRPr="009B5734" w:rsidRDefault="00EA45F9" w:rsidP="00981615">
            <w:pPr>
              <w:tabs>
                <w:tab w:val="num" w:pos="425"/>
              </w:tabs>
              <w:rPr>
                <w:noProof/>
              </w:rPr>
            </w:pPr>
          </w:p>
          <w:p w:rsidR="00EA45F9" w:rsidRPr="009B5734" w:rsidRDefault="00EA45F9" w:rsidP="00981615">
            <w:pPr>
              <w:tabs>
                <w:tab w:val="num" w:pos="425"/>
              </w:tabs>
              <w:rPr>
                <w:noProof/>
              </w:rPr>
            </w:pPr>
            <w:r w:rsidRPr="009B5734">
              <w:rPr>
                <w:noProof/>
              </w:rPr>
              <w:t>Not possible to assess</w:t>
            </w:r>
          </w:p>
        </w:tc>
        <w:tc>
          <w:tcPr>
            <w:tcW w:w="3714" w:type="dxa"/>
            <w:tcBorders>
              <w:top w:val="single" w:sz="4" w:space="0" w:color="auto"/>
            </w:tcBorders>
            <w:tcMar>
              <w:top w:w="57" w:type="dxa"/>
              <w:left w:w="57" w:type="dxa"/>
              <w:bottom w:w="57" w:type="dxa"/>
              <w:right w:w="57" w:type="dxa"/>
            </w:tcMar>
          </w:tcPr>
          <w:p w:rsidR="00EA45F9" w:rsidRPr="009B5734" w:rsidRDefault="00EA45F9" w:rsidP="00981615">
            <w:pPr>
              <w:ind w:left="0" w:firstLine="0"/>
              <w:rPr>
                <w:noProof/>
              </w:rPr>
            </w:pPr>
            <w:r w:rsidRPr="009B5734">
              <w:rPr>
                <w:noProof/>
              </w:rPr>
              <w:t>Main beneficiaries: consumers</w:t>
            </w:r>
          </w:p>
          <w:p w:rsidR="00EA45F9" w:rsidRPr="009B5734" w:rsidRDefault="00EA45F9" w:rsidP="00981615">
            <w:pPr>
              <w:ind w:left="0" w:firstLine="0"/>
              <w:rPr>
                <w:noProof/>
              </w:rPr>
            </w:pPr>
          </w:p>
        </w:tc>
      </w:tr>
      <w:tr w:rsidR="00EA45F9" w:rsidRPr="009B5734" w:rsidTr="00C84A99">
        <w:tc>
          <w:tcPr>
            <w:tcW w:w="2552" w:type="dxa"/>
            <w:tcBorders>
              <w:bottom w:val="double" w:sz="4" w:space="0" w:color="auto"/>
            </w:tcBorders>
          </w:tcPr>
          <w:p w:rsidR="00EA45F9" w:rsidRPr="009B5734" w:rsidRDefault="00EA45F9" w:rsidP="00981615">
            <w:pPr>
              <w:tabs>
                <w:tab w:val="num" w:pos="425"/>
              </w:tabs>
              <w:rPr>
                <w:i/>
                <w:noProof/>
              </w:rPr>
            </w:pPr>
            <w:r w:rsidRPr="009B5734">
              <w:rPr>
                <w:i/>
                <w:noProof/>
              </w:rPr>
              <w:t>Reduction of CO2 emissions</w:t>
            </w:r>
          </w:p>
          <w:p w:rsidR="00EA45F9" w:rsidRPr="009B5734" w:rsidRDefault="00EA45F9" w:rsidP="00981615">
            <w:pPr>
              <w:tabs>
                <w:tab w:val="num" w:pos="425"/>
              </w:tabs>
              <w:ind w:left="0" w:firstLine="0"/>
              <w:rPr>
                <w:noProof/>
              </w:rPr>
            </w:pPr>
          </w:p>
        </w:tc>
        <w:tc>
          <w:tcPr>
            <w:tcW w:w="4111" w:type="dxa"/>
            <w:tcBorders>
              <w:bottom w:val="double" w:sz="4" w:space="0" w:color="auto"/>
            </w:tcBorders>
            <w:tcMar>
              <w:top w:w="57" w:type="dxa"/>
              <w:left w:w="57" w:type="dxa"/>
              <w:bottom w:w="57" w:type="dxa"/>
              <w:right w:w="57" w:type="dxa"/>
            </w:tcMar>
          </w:tcPr>
          <w:p w:rsidR="00EA45F9" w:rsidRPr="009B5734" w:rsidRDefault="00EA45F9" w:rsidP="00981615">
            <w:pPr>
              <w:tabs>
                <w:tab w:val="num" w:pos="425"/>
              </w:tabs>
              <w:rPr>
                <w:noProof/>
              </w:rPr>
            </w:pPr>
          </w:p>
          <w:p w:rsidR="00EA45F9" w:rsidRPr="009B5734" w:rsidRDefault="00EA45F9" w:rsidP="00981615">
            <w:pPr>
              <w:tabs>
                <w:tab w:val="num" w:pos="425"/>
              </w:tabs>
              <w:rPr>
                <w:noProof/>
              </w:rPr>
            </w:pPr>
            <w:r w:rsidRPr="009B5734">
              <w:rPr>
                <w:noProof/>
              </w:rPr>
              <w:t>Not possible to assess</w:t>
            </w:r>
          </w:p>
        </w:tc>
        <w:tc>
          <w:tcPr>
            <w:tcW w:w="3714" w:type="dxa"/>
            <w:tcBorders>
              <w:bottom w:val="double" w:sz="4" w:space="0" w:color="auto"/>
            </w:tcBorders>
            <w:tcMar>
              <w:top w:w="57" w:type="dxa"/>
              <w:left w:w="57" w:type="dxa"/>
              <w:bottom w:w="57" w:type="dxa"/>
              <w:right w:w="57" w:type="dxa"/>
            </w:tcMar>
          </w:tcPr>
          <w:p w:rsidR="00EA45F9" w:rsidRPr="009B5734" w:rsidRDefault="00EA45F9" w:rsidP="00981615">
            <w:pPr>
              <w:ind w:left="0" w:firstLine="0"/>
              <w:rPr>
                <w:noProof/>
              </w:rPr>
            </w:pPr>
            <w:r w:rsidRPr="009B5734">
              <w:rPr>
                <w:noProof/>
              </w:rPr>
              <w:t xml:space="preserve">Main beneficiaries: society </w:t>
            </w:r>
          </w:p>
          <w:p w:rsidR="00EA45F9" w:rsidRPr="009B5734" w:rsidRDefault="00EA45F9" w:rsidP="00981615">
            <w:pPr>
              <w:ind w:left="0" w:firstLine="0"/>
              <w:rPr>
                <w:noProof/>
              </w:rPr>
            </w:pPr>
          </w:p>
        </w:tc>
      </w:tr>
      <w:tr w:rsidR="00EA45F9" w:rsidRPr="009B5734" w:rsidTr="00C84A99">
        <w:tc>
          <w:tcPr>
            <w:tcW w:w="10377" w:type="dxa"/>
            <w:gridSpan w:val="3"/>
            <w:tcBorders>
              <w:top w:val="double" w:sz="4" w:space="0" w:color="auto"/>
              <w:bottom w:val="single" w:sz="4" w:space="0" w:color="auto"/>
            </w:tcBorders>
            <w:shd w:val="clear" w:color="auto" w:fill="auto"/>
          </w:tcPr>
          <w:p w:rsidR="00EA45F9" w:rsidRPr="009B5734" w:rsidRDefault="00EA45F9" w:rsidP="00981615">
            <w:pPr>
              <w:ind w:left="0" w:firstLine="0"/>
              <w:jc w:val="center"/>
              <w:rPr>
                <w:b/>
                <w:i/>
                <w:noProof/>
              </w:rPr>
            </w:pPr>
            <w:r w:rsidRPr="009B5734">
              <w:rPr>
                <w:b/>
                <w:i/>
                <w:noProof/>
              </w:rPr>
              <w:t>Option 2.1.B:  Ban of certain identified practices associated with early obsolescence</w:t>
            </w:r>
          </w:p>
        </w:tc>
      </w:tr>
      <w:tr w:rsidR="00EA45F9" w:rsidRPr="009B5734" w:rsidTr="00C84A99">
        <w:tc>
          <w:tcPr>
            <w:tcW w:w="2552" w:type="dxa"/>
            <w:tcBorders>
              <w:top w:val="single" w:sz="4" w:space="0" w:color="auto"/>
            </w:tcBorders>
          </w:tcPr>
          <w:p w:rsidR="00EA45F9" w:rsidRPr="009B5734" w:rsidRDefault="00EA45F9" w:rsidP="00981615">
            <w:pPr>
              <w:tabs>
                <w:tab w:val="num" w:pos="425"/>
              </w:tabs>
              <w:rPr>
                <w:i/>
                <w:noProof/>
              </w:rPr>
            </w:pPr>
            <w:r w:rsidRPr="009B5734">
              <w:rPr>
                <w:i/>
                <w:noProof/>
              </w:rPr>
              <w:t>Consumer welfare</w:t>
            </w:r>
          </w:p>
          <w:p w:rsidR="00EA45F9" w:rsidRPr="009B5734" w:rsidRDefault="00EA45F9" w:rsidP="00981615">
            <w:pPr>
              <w:tabs>
                <w:tab w:val="num" w:pos="425"/>
              </w:tabs>
              <w:rPr>
                <w:noProof/>
              </w:rPr>
            </w:pPr>
          </w:p>
          <w:p w:rsidR="00EA45F9" w:rsidRPr="009B5734" w:rsidRDefault="00EA45F9" w:rsidP="00981615">
            <w:pPr>
              <w:tabs>
                <w:tab w:val="num" w:pos="425"/>
              </w:tabs>
              <w:rPr>
                <w:noProof/>
              </w:rPr>
            </w:pPr>
          </w:p>
        </w:tc>
        <w:tc>
          <w:tcPr>
            <w:tcW w:w="4111" w:type="dxa"/>
            <w:tcBorders>
              <w:top w:val="single" w:sz="4" w:space="0" w:color="auto"/>
            </w:tcBorders>
            <w:tcMar>
              <w:top w:w="57" w:type="dxa"/>
              <w:left w:w="57" w:type="dxa"/>
              <w:bottom w:w="57" w:type="dxa"/>
              <w:right w:w="57" w:type="dxa"/>
            </w:tcMar>
          </w:tcPr>
          <w:p w:rsidR="00EA45F9" w:rsidRPr="009B5734" w:rsidRDefault="00EA45F9" w:rsidP="00981615">
            <w:pPr>
              <w:tabs>
                <w:tab w:val="num" w:pos="425"/>
              </w:tabs>
              <w:rPr>
                <w:noProof/>
              </w:rPr>
            </w:pPr>
          </w:p>
          <w:p w:rsidR="00EA45F9" w:rsidRPr="009B5734" w:rsidRDefault="00EA45F9" w:rsidP="00981615">
            <w:pPr>
              <w:tabs>
                <w:tab w:val="num" w:pos="425"/>
              </w:tabs>
              <w:rPr>
                <w:noProof/>
              </w:rPr>
            </w:pPr>
            <w:r w:rsidRPr="009B5734">
              <w:rPr>
                <w:noProof/>
              </w:rPr>
              <w:t>~EUR 1 800 – 2 250 million</w:t>
            </w:r>
          </w:p>
        </w:tc>
        <w:tc>
          <w:tcPr>
            <w:tcW w:w="3714" w:type="dxa"/>
            <w:tcBorders>
              <w:top w:val="single" w:sz="4" w:space="0" w:color="auto"/>
            </w:tcBorders>
            <w:tcMar>
              <w:top w:w="57" w:type="dxa"/>
              <w:left w:w="57" w:type="dxa"/>
              <w:bottom w:w="57" w:type="dxa"/>
              <w:right w:w="57" w:type="dxa"/>
            </w:tcMar>
          </w:tcPr>
          <w:p w:rsidR="00EA45F9" w:rsidRPr="009B5734" w:rsidRDefault="00EA45F9" w:rsidP="00981615">
            <w:pPr>
              <w:ind w:left="0" w:firstLine="0"/>
              <w:rPr>
                <w:noProof/>
              </w:rPr>
            </w:pPr>
            <w:r w:rsidRPr="009B5734">
              <w:rPr>
                <w:noProof/>
              </w:rPr>
              <w:t>Main beneficiaries: consumers</w:t>
            </w:r>
          </w:p>
          <w:p w:rsidR="00EA45F9" w:rsidRPr="009B5734" w:rsidRDefault="00EA45F9" w:rsidP="00981615">
            <w:pPr>
              <w:ind w:left="0" w:firstLine="0"/>
              <w:rPr>
                <w:noProof/>
              </w:rPr>
            </w:pPr>
          </w:p>
        </w:tc>
      </w:tr>
      <w:tr w:rsidR="00EA45F9" w:rsidRPr="009B5734" w:rsidTr="00C84A99">
        <w:tc>
          <w:tcPr>
            <w:tcW w:w="2552" w:type="dxa"/>
            <w:tcBorders>
              <w:bottom w:val="double" w:sz="4" w:space="0" w:color="auto"/>
            </w:tcBorders>
          </w:tcPr>
          <w:p w:rsidR="00EA45F9" w:rsidRPr="009B5734" w:rsidRDefault="00EA45F9" w:rsidP="00981615">
            <w:pPr>
              <w:tabs>
                <w:tab w:val="num" w:pos="425"/>
              </w:tabs>
              <w:rPr>
                <w:noProof/>
              </w:rPr>
            </w:pPr>
            <w:r w:rsidRPr="009B5734">
              <w:rPr>
                <w:i/>
                <w:noProof/>
              </w:rPr>
              <w:t>Reduction of CO2 emissions</w:t>
            </w:r>
          </w:p>
        </w:tc>
        <w:tc>
          <w:tcPr>
            <w:tcW w:w="4111" w:type="dxa"/>
            <w:tcBorders>
              <w:bottom w:val="double" w:sz="4" w:space="0" w:color="auto"/>
            </w:tcBorders>
            <w:tcMar>
              <w:top w:w="57" w:type="dxa"/>
              <w:left w:w="57" w:type="dxa"/>
              <w:bottom w:w="57" w:type="dxa"/>
              <w:right w:w="57" w:type="dxa"/>
            </w:tcMar>
          </w:tcPr>
          <w:p w:rsidR="00EA45F9" w:rsidRPr="009B5734" w:rsidRDefault="00EA45F9" w:rsidP="00981615">
            <w:pPr>
              <w:tabs>
                <w:tab w:val="num" w:pos="425"/>
              </w:tabs>
              <w:rPr>
                <w:noProof/>
              </w:rPr>
            </w:pPr>
          </w:p>
          <w:p w:rsidR="00EA45F9" w:rsidRPr="009B5734" w:rsidRDefault="00EA45F9" w:rsidP="00981615">
            <w:pPr>
              <w:tabs>
                <w:tab w:val="num" w:pos="425"/>
              </w:tabs>
              <w:rPr>
                <w:noProof/>
              </w:rPr>
            </w:pPr>
            <w:r w:rsidRPr="009B5734">
              <w:rPr>
                <w:noProof/>
              </w:rPr>
              <w:t>~EUR 77 - 90 million</w:t>
            </w:r>
          </w:p>
        </w:tc>
        <w:tc>
          <w:tcPr>
            <w:tcW w:w="3714" w:type="dxa"/>
            <w:tcBorders>
              <w:bottom w:val="double" w:sz="4" w:space="0" w:color="auto"/>
            </w:tcBorders>
            <w:tcMar>
              <w:top w:w="57" w:type="dxa"/>
              <w:left w:w="57" w:type="dxa"/>
              <w:bottom w:w="57" w:type="dxa"/>
              <w:right w:w="57" w:type="dxa"/>
            </w:tcMar>
          </w:tcPr>
          <w:p w:rsidR="00EA45F9" w:rsidRPr="009B5734" w:rsidRDefault="00EA45F9" w:rsidP="00981615">
            <w:pPr>
              <w:ind w:left="0" w:firstLine="0"/>
              <w:rPr>
                <w:noProof/>
              </w:rPr>
            </w:pPr>
            <w:r w:rsidRPr="009B5734">
              <w:rPr>
                <w:noProof/>
              </w:rPr>
              <w:t xml:space="preserve">Main beneficiaries: society </w:t>
            </w:r>
          </w:p>
          <w:p w:rsidR="00EA45F9" w:rsidRPr="009B5734" w:rsidRDefault="00EA45F9" w:rsidP="00981615">
            <w:pPr>
              <w:ind w:left="0" w:firstLine="0"/>
              <w:rPr>
                <w:noProof/>
              </w:rPr>
            </w:pPr>
          </w:p>
        </w:tc>
      </w:tr>
      <w:tr w:rsidR="00EA45F9" w:rsidRPr="009B5734" w:rsidTr="00C84A99">
        <w:tc>
          <w:tcPr>
            <w:tcW w:w="10377" w:type="dxa"/>
            <w:gridSpan w:val="3"/>
            <w:tcBorders>
              <w:top w:val="double" w:sz="4" w:space="0" w:color="auto"/>
              <w:bottom w:val="single" w:sz="4" w:space="0" w:color="auto"/>
            </w:tcBorders>
            <w:shd w:val="clear" w:color="auto" w:fill="auto"/>
          </w:tcPr>
          <w:p w:rsidR="00EA45F9" w:rsidRPr="009B5734" w:rsidRDefault="00EA45F9" w:rsidP="00981615">
            <w:pPr>
              <w:ind w:left="0" w:firstLine="0"/>
              <w:jc w:val="center"/>
              <w:rPr>
                <w:b/>
                <w:i/>
                <w:noProof/>
              </w:rPr>
            </w:pPr>
            <w:r w:rsidRPr="009B5734">
              <w:rPr>
                <w:b/>
                <w:i/>
                <w:noProof/>
              </w:rPr>
              <w:t>Option 2.2.C: Ban of general /vague environmental claims  + Prohibition of environmental claims that do not fulfil a minimum set of criteria</w:t>
            </w:r>
          </w:p>
        </w:tc>
      </w:tr>
      <w:tr w:rsidR="00EA45F9" w:rsidRPr="009B5734" w:rsidTr="00C84A99">
        <w:tc>
          <w:tcPr>
            <w:tcW w:w="2552" w:type="dxa"/>
            <w:tcBorders>
              <w:top w:val="single" w:sz="4" w:space="0" w:color="auto"/>
              <w:bottom w:val="double" w:sz="4" w:space="0" w:color="auto"/>
            </w:tcBorders>
          </w:tcPr>
          <w:p w:rsidR="00EA45F9" w:rsidRPr="009B5734" w:rsidRDefault="00EA45F9" w:rsidP="00981615">
            <w:pPr>
              <w:tabs>
                <w:tab w:val="num" w:pos="425"/>
              </w:tabs>
              <w:rPr>
                <w:noProof/>
              </w:rPr>
            </w:pPr>
            <w:r w:rsidRPr="009B5734">
              <w:rPr>
                <w:i/>
                <w:noProof/>
              </w:rPr>
              <w:t>Consumer welfare</w:t>
            </w:r>
          </w:p>
        </w:tc>
        <w:tc>
          <w:tcPr>
            <w:tcW w:w="4111" w:type="dxa"/>
            <w:tcBorders>
              <w:top w:val="single" w:sz="4" w:space="0" w:color="auto"/>
              <w:bottom w:val="double" w:sz="4" w:space="0" w:color="auto"/>
            </w:tcBorders>
            <w:tcMar>
              <w:top w:w="57" w:type="dxa"/>
              <w:left w:w="57" w:type="dxa"/>
              <w:bottom w:w="57" w:type="dxa"/>
              <w:right w:w="57" w:type="dxa"/>
            </w:tcMar>
          </w:tcPr>
          <w:p w:rsidR="00EA45F9" w:rsidRPr="009B5734" w:rsidRDefault="00EA45F9" w:rsidP="00981615">
            <w:pPr>
              <w:tabs>
                <w:tab w:val="num" w:pos="425"/>
              </w:tabs>
              <w:rPr>
                <w:noProof/>
              </w:rPr>
            </w:pPr>
          </w:p>
          <w:p w:rsidR="00EA45F9" w:rsidRPr="009B5734" w:rsidRDefault="00EA45F9" w:rsidP="00981615">
            <w:pPr>
              <w:tabs>
                <w:tab w:val="num" w:pos="425"/>
              </w:tabs>
              <w:rPr>
                <w:noProof/>
              </w:rPr>
            </w:pPr>
            <w:r w:rsidRPr="009B5734">
              <w:rPr>
                <w:noProof/>
              </w:rPr>
              <w:t>~EUR 3 735 – 8 870 million</w:t>
            </w:r>
          </w:p>
        </w:tc>
        <w:tc>
          <w:tcPr>
            <w:tcW w:w="3714" w:type="dxa"/>
            <w:tcBorders>
              <w:top w:val="single" w:sz="4" w:space="0" w:color="auto"/>
              <w:bottom w:val="double" w:sz="4" w:space="0" w:color="auto"/>
            </w:tcBorders>
            <w:tcMar>
              <w:top w:w="57" w:type="dxa"/>
              <w:left w:w="57" w:type="dxa"/>
              <w:bottom w:w="57" w:type="dxa"/>
              <w:right w:w="57" w:type="dxa"/>
            </w:tcMar>
          </w:tcPr>
          <w:p w:rsidR="00EA45F9" w:rsidRPr="009B5734" w:rsidRDefault="00EA45F9" w:rsidP="00981615">
            <w:pPr>
              <w:ind w:left="0" w:firstLine="0"/>
              <w:rPr>
                <w:noProof/>
              </w:rPr>
            </w:pPr>
            <w:r w:rsidRPr="009B5734">
              <w:rPr>
                <w:noProof/>
              </w:rPr>
              <w:t>Main beneficiaries: consumers</w:t>
            </w:r>
          </w:p>
          <w:p w:rsidR="00EA45F9" w:rsidRPr="009B5734" w:rsidRDefault="00EA45F9" w:rsidP="00981615">
            <w:pPr>
              <w:ind w:left="0" w:firstLine="0"/>
              <w:rPr>
                <w:noProof/>
              </w:rPr>
            </w:pPr>
          </w:p>
        </w:tc>
      </w:tr>
      <w:tr w:rsidR="00EA45F9" w:rsidRPr="009B5734" w:rsidTr="00C84A99">
        <w:tc>
          <w:tcPr>
            <w:tcW w:w="10377" w:type="dxa"/>
            <w:gridSpan w:val="3"/>
            <w:tcBorders>
              <w:top w:val="double" w:sz="4" w:space="0" w:color="auto"/>
              <w:bottom w:val="single" w:sz="4" w:space="0" w:color="auto"/>
            </w:tcBorders>
            <w:shd w:val="clear" w:color="auto" w:fill="auto"/>
          </w:tcPr>
          <w:p w:rsidR="00EA45F9" w:rsidRPr="009B5734" w:rsidRDefault="00EA45F9" w:rsidP="00981615">
            <w:pPr>
              <w:ind w:left="0" w:firstLine="0"/>
              <w:rPr>
                <w:b/>
                <w:i/>
                <w:noProof/>
              </w:rPr>
            </w:pPr>
            <w:r w:rsidRPr="009B5734">
              <w:rPr>
                <w:b/>
                <w:i/>
                <w:noProof/>
              </w:rPr>
              <w:t xml:space="preserve">Option 2.3.B: </w:t>
            </w:r>
            <w:r w:rsidR="00821C27" w:rsidRPr="009B5734">
              <w:rPr>
                <w:b/>
                <w:i/>
                <w:noProof/>
              </w:rPr>
              <w:t>Prohibition of sustainability labels and digital information tools not meeting minimum transparency and credibility requirements</w:t>
            </w:r>
            <w:r w:rsidR="00821C27" w:rsidRPr="009B5734">
              <w:rPr>
                <w:b/>
                <w:noProof/>
                <w:sz w:val="22"/>
                <w:szCs w:val="22"/>
              </w:rPr>
              <w:t xml:space="preserve">  </w:t>
            </w:r>
          </w:p>
        </w:tc>
      </w:tr>
      <w:tr w:rsidR="00EA45F9" w:rsidRPr="009B5734" w:rsidTr="00C84A99">
        <w:tc>
          <w:tcPr>
            <w:tcW w:w="2552" w:type="dxa"/>
            <w:tcBorders>
              <w:top w:val="single" w:sz="4" w:space="0" w:color="auto"/>
              <w:bottom w:val="double" w:sz="4" w:space="0" w:color="auto"/>
            </w:tcBorders>
          </w:tcPr>
          <w:p w:rsidR="00EA45F9" w:rsidRPr="009B5734" w:rsidRDefault="00EA45F9" w:rsidP="00981615">
            <w:pPr>
              <w:tabs>
                <w:tab w:val="num" w:pos="425"/>
              </w:tabs>
              <w:rPr>
                <w:noProof/>
              </w:rPr>
            </w:pPr>
            <w:r w:rsidRPr="009B5734">
              <w:rPr>
                <w:i/>
                <w:noProof/>
              </w:rPr>
              <w:t>Consumer welfare</w:t>
            </w:r>
          </w:p>
        </w:tc>
        <w:tc>
          <w:tcPr>
            <w:tcW w:w="4111" w:type="dxa"/>
            <w:tcBorders>
              <w:top w:val="single" w:sz="4" w:space="0" w:color="auto"/>
              <w:bottom w:val="double" w:sz="4" w:space="0" w:color="auto"/>
            </w:tcBorders>
            <w:tcMar>
              <w:top w:w="57" w:type="dxa"/>
              <w:left w:w="57" w:type="dxa"/>
              <w:bottom w:w="57" w:type="dxa"/>
              <w:right w:w="57" w:type="dxa"/>
            </w:tcMar>
          </w:tcPr>
          <w:p w:rsidR="00EA45F9" w:rsidRPr="009B5734" w:rsidRDefault="00EA45F9" w:rsidP="00981615">
            <w:pPr>
              <w:tabs>
                <w:tab w:val="num" w:pos="425"/>
              </w:tabs>
              <w:rPr>
                <w:noProof/>
              </w:rPr>
            </w:pPr>
            <w:r w:rsidRPr="009B5734">
              <w:rPr>
                <w:noProof/>
              </w:rPr>
              <w:t xml:space="preserve">~EUR 4 500 – 6 610 million </w:t>
            </w:r>
          </w:p>
        </w:tc>
        <w:tc>
          <w:tcPr>
            <w:tcW w:w="3714" w:type="dxa"/>
            <w:tcBorders>
              <w:top w:val="single" w:sz="4" w:space="0" w:color="auto"/>
              <w:bottom w:val="double" w:sz="4" w:space="0" w:color="auto"/>
            </w:tcBorders>
            <w:tcMar>
              <w:top w:w="57" w:type="dxa"/>
              <w:left w:w="57" w:type="dxa"/>
              <w:bottom w:w="57" w:type="dxa"/>
              <w:right w:w="57" w:type="dxa"/>
            </w:tcMar>
          </w:tcPr>
          <w:p w:rsidR="00EA45F9" w:rsidRPr="009B5734" w:rsidRDefault="00EA45F9" w:rsidP="00981615">
            <w:pPr>
              <w:ind w:left="0" w:firstLine="0"/>
              <w:rPr>
                <w:noProof/>
              </w:rPr>
            </w:pPr>
            <w:r w:rsidRPr="009B5734">
              <w:rPr>
                <w:noProof/>
              </w:rPr>
              <w:t>Main beneficiaries: consumers.</w:t>
            </w:r>
          </w:p>
        </w:tc>
      </w:tr>
      <w:tr w:rsidR="00EA45F9" w:rsidRPr="009B5734" w:rsidTr="00C84A99">
        <w:tc>
          <w:tcPr>
            <w:tcW w:w="10377" w:type="dxa"/>
            <w:gridSpan w:val="3"/>
            <w:tcBorders>
              <w:top w:val="double" w:sz="4" w:space="0" w:color="auto"/>
              <w:bottom w:val="single" w:sz="4" w:space="0" w:color="auto"/>
            </w:tcBorders>
            <w:shd w:val="clear" w:color="auto" w:fill="C6D9F1" w:themeFill="text2" w:themeFillTint="33"/>
          </w:tcPr>
          <w:p w:rsidR="00EA45F9" w:rsidRPr="009B5734" w:rsidRDefault="00EA45F9" w:rsidP="00981615">
            <w:pPr>
              <w:ind w:left="0" w:firstLine="0"/>
              <w:jc w:val="center"/>
              <w:rPr>
                <w:b/>
                <w:i/>
                <w:noProof/>
              </w:rPr>
            </w:pPr>
            <w:r w:rsidRPr="009B5734">
              <w:rPr>
                <w:b/>
                <w:i/>
                <w:noProof/>
              </w:rPr>
              <w:t xml:space="preserve">Total benefits of all preferred options together </w:t>
            </w:r>
          </w:p>
        </w:tc>
      </w:tr>
      <w:tr w:rsidR="00EA45F9" w:rsidRPr="009B5734" w:rsidTr="00C84A99">
        <w:tc>
          <w:tcPr>
            <w:tcW w:w="2552" w:type="dxa"/>
            <w:tcBorders>
              <w:top w:val="single" w:sz="4" w:space="0" w:color="auto"/>
              <w:bottom w:val="single" w:sz="4" w:space="0" w:color="auto"/>
            </w:tcBorders>
            <w:shd w:val="clear" w:color="auto" w:fill="C6D9F1" w:themeFill="text2" w:themeFillTint="33"/>
          </w:tcPr>
          <w:p w:rsidR="00EA45F9" w:rsidRPr="009B5734" w:rsidRDefault="00EA45F9" w:rsidP="00981615">
            <w:pPr>
              <w:tabs>
                <w:tab w:val="num" w:pos="425"/>
              </w:tabs>
              <w:rPr>
                <w:b/>
                <w:i/>
                <w:noProof/>
              </w:rPr>
            </w:pPr>
            <w:r w:rsidRPr="009B5734">
              <w:rPr>
                <w:b/>
                <w:i/>
                <w:noProof/>
              </w:rPr>
              <w:t>Consumer welfare</w:t>
            </w:r>
          </w:p>
          <w:p w:rsidR="00EA45F9" w:rsidRPr="009B5734" w:rsidRDefault="00EA45F9" w:rsidP="00981615">
            <w:pPr>
              <w:tabs>
                <w:tab w:val="num" w:pos="425"/>
              </w:tabs>
              <w:rPr>
                <w:b/>
                <w:i/>
                <w:noProof/>
              </w:rPr>
            </w:pPr>
          </w:p>
        </w:tc>
        <w:tc>
          <w:tcPr>
            <w:tcW w:w="4111" w:type="dxa"/>
            <w:tcBorders>
              <w:top w:val="single" w:sz="4" w:space="0" w:color="auto"/>
              <w:bottom w:val="single" w:sz="4" w:space="0" w:color="auto"/>
            </w:tcBorders>
            <w:shd w:val="clear" w:color="auto" w:fill="C6D9F1" w:themeFill="text2" w:themeFillTint="33"/>
            <w:tcMar>
              <w:top w:w="57" w:type="dxa"/>
              <w:left w:w="57" w:type="dxa"/>
              <w:bottom w:w="57" w:type="dxa"/>
              <w:right w:w="57" w:type="dxa"/>
            </w:tcMar>
          </w:tcPr>
          <w:p w:rsidR="00EA45F9" w:rsidRPr="009B5734" w:rsidRDefault="00EA45F9" w:rsidP="00981615">
            <w:pPr>
              <w:tabs>
                <w:tab w:val="num" w:pos="425"/>
              </w:tabs>
              <w:rPr>
                <w:b/>
                <w:noProof/>
              </w:rPr>
            </w:pPr>
            <w:r w:rsidRPr="009B5734">
              <w:rPr>
                <w:b/>
                <w:noProof/>
              </w:rPr>
              <w:t>~EUR 12 390 – 19 285 million</w:t>
            </w:r>
          </w:p>
        </w:tc>
        <w:tc>
          <w:tcPr>
            <w:tcW w:w="3714" w:type="dxa"/>
            <w:tcBorders>
              <w:top w:val="single" w:sz="4" w:space="0" w:color="auto"/>
              <w:bottom w:val="single" w:sz="4" w:space="0" w:color="auto"/>
            </w:tcBorders>
            <w:shd w:val="clear" w:color="auto" w:fill="C6D9F1" w:themeFill="text2" w:themeFillTint="33"/>
            <w:tcMar>
              <w:top w:w="57" w:type="dxa"/>
              <w:left w:w="57" w:type="dxa"/>
              <w:bottom w:w="57" w:type="dxa"/>
              <w:right w:w="57" w:type="dxa"/>
            </w:tcMar>
          </w:tcPr>
          <w:p w:rsidR="00EA45F9" w:rsidRPr="009B5734" w:rsidRDefault="00EA45F9" w:rsidP="00981615">
            <w:pPr>
              <w:ind w:left="0" w:firstLine="0"/>
              <w:rPr>
                <w:b/>
                <w:noProof/>
              </w:rPr>
            </w:pPr>
          </w:p>
        </w:tc>
      </w:tr>
    </w:tbl>
    <w:tbl>
      <w:tblPr>
        <w:tblW w:w="10377" w:type="dxa"/>
        <w:tblInd w:w="-45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552"/>
        <w:gridCol w:w="4111"/>
        <w:gridCol w:w="3714"/>
      </w:tblGrid>
      <w:tr w:rsidR="00EA45F9" w:rsidRPr="009B5734" w:rsidTr="00981615">
        <w:tc>
          <w:tcPr>
            <w:tcW w:w="2552" w:type="dxa"/>
            <w:tcBorders>
              <w:top w:val="single" w:sz="4" w:space="0" w:color="auto"/>
              <w:bottom w:val="single" w:sz="4" w:space="0" w:color="auto"/>
            </w:tcBorders>
            <w:shd w:val="clear" w:color="auto" w:fill="C6D9F1" w:themeFill="text2" w:themeFillTint="33"/>
          </w:tcPr>
          <w:p w:rsidR="00EA45F9" w:rsidRPr="009B5734" w:rsidRDefault="00EA45F9" w:rsidP="00981615">
            <w:pPr>
              <w:tabs>
                <w:tab w:val="num" w:pos="425"/>
              </w:tabs>
              <w:rPr>
                <w:rFonts w:ascii="Times New Roman" w:hAnsi="Times New Roman" w:cs="Times New Roman"/>
                <w:b/>
                <w:i/>
                <w:noProof/>
                <w:sz w:val="20"/>
                <w:szCs w:val="20"/>
              </w:rPr>
            </w:pPr>
            <w:r w:rsidRPr="009B5734">
              <w:rPr>
                <w:rFonts w:ascii="Times New Roman" w:hAnsi="Times New Roman" w:cs="Times New Roman"/>
                <w:b/>
                <w:i/>
                <w:noProof/>
                <w:sz w:val="20"/>
                <w:szCs w:val="20"/>
              </w:rPr>
              <w:t>Reduction of CO2 emissions</w:t>
            </w:r>
          </w:p>
        </w:tc>
        <w:tc>
          <w:tcPr>
            <w:tcW w:w="4111" w:type="dxa"/>
            <w:tcBorders>
              <w:top w:val="single" w:sz="4" w:space="0" w:color="auto"/>
              <w:bottom w:val="single" w:sz="4" w:space="0" w:color="auto"/>
            </w:tcBorders>
            <w:shd w:val="clear" w:color="auto" w:fill="C6D9F1" w:themeFill="text2" w:themeFillTint="33"/>
            <w:tcMar>
              <w:top w:w="57" w:type="dxa"/>
              <w:left w:w="57" w:type="dxa"/>
              <w:bottom w:w="57" w:type="dxa"/>
              <w:right w:w="57" w:type="dxa"/>
            </w:tcMar>
          </w:tcPr>
          <w:p w:rsidR="00EA45F9" w:rsidRPr="009B5734" w:rsidRDefault="00EA45F9" w:rsidP="00981615">
            <w:pPr>
              <w:tabs>
                <w:tab w:val="num" w:pos="425"/>
              </w:tabs>
              <w:rPr>
                <w:rFonts w:ascii="Times New Roman" w:hAnsi="Times New Roman" w:cs="Times New Roman"/>
                <w:b/>
                <w:noProof/>
                <w:sz w:val="20"/>
                <w:szCs w:val="20"/>
              </w:rPr>
            </w:pPr>
            <w:r w:rsidRPr="009B5734">
              <w:rPr>
                <w:rFonts w:ascii="Times New Roman" w:hAnsi="Times New Roman" w:cs="Times New Roman"/>
                <w:b/>
                <w:noProof/>
                <w:sz w:val="20"/>
                <w:szCs w:val="20"/>
              </w:rPr>
              <w:t>~EUR 80 - 103 million</w:t>
            </w:r>
          </w:p>
        </w:tc>
        <w:tc>
          <w:tcPr>
            <w:tcW w:w="3714" w:type="dxa"/>
            <w:tcBorders>
              <w:top w:val="single" w:sz="4" w:space="0" w:color="auto"/>
              <w:bottom w:val="single" w:sz="4" w:space="0" w:color="auto"/>
            </w:tcBorders>
            <w:shd w:val="clear" w:color="auto" w:fill="C6D9F1" w:themeFill="text2" w:themeFillTint="33"/>
            <w:tcMar>
              <w:top w:w="57" w:type="dxa"/>
              <w:left w:w="57" w:type="dxa"/>
              <w:bottom w:w="57" w:type="dxa"/>
              <w:right w:w="57" w:type="dxa"/>
            </w:tcMar>
          </w:tcPr>
          <w:p w:rsidR="00EA45F9" w:rsidRPr="009B5734" w:rsidRDefault="00EA45F9" w:rsidP="00981615">
            <w:pPr>
              <w:ind w:left="0" w:firstLine="0"/>
              <w:rPr>
                <w:rFonts w:ascii="Times New Roman" w:hAnsi="Times New Roman" w:cs="Times New Roman"/>
                <w:b/>
                <w:noProof/>
                <w:sz w:val="20"/>
                <w:szCs w:val="20"/>
              </w:rPr>
            </w:pPr>
          </w:p>
        </w:tc>
      </w:tr>
    </w:tbl>
    <w:tbl>
      <w:tblPr>
        <w:tblStyle w:val="CV12"/>
        <w:tblW w:w="10377"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52"/>
        <w:gridCol w:w="4111"/>
        <w:gridCol w:w="3714"/>
      </w:tblGrid>
      <w:tr w:rsidR="00EA45F9" w:rsidRPr="009B5734" w:rsidTr="00981615">
        <w:tc>
          <w:tcPr>
            <w:tcW w:w="2552" w:type="dxa"/>
            <w:tcBorders>
              <w:top w:val="single" w:sz="4" w:space="0" w:color="auto"/>
            </w:tcBorders>
            <w:shd w:val="clear" w:color="auto" w:fill="C6D9F1" w:themeFill="text2" w:themeFillTint="33"/>
          </w:tcPr>
          <w:p w:rsidR="00EA45F9" w:rsidRPr="009B5734" w:rsidRDefault="00EA45F9" w:rsidP="00981615">
            <w:pPr>
              <w:tabs>
                <w:tab w:val="num" w:pos="425"/>
              </w:tabs>
              <w:rPr>
                <w:b/>
                <w:i/>
                <w:noProof/>
              </w:rPr>
            </w:pPr>
            <w:r w:rsidRPr="009B5734">
              <w:rPr>
                <w:b/>
                <w:i/>
                <w:noProof/>
              </w:rPr>
              <w:t>TOTAL</w:t>
            </w:r>
          </w:p>
        </w:tc>
        <w:tc>
          <w:tcPr>
            <w:tcW w:w="4111" w:type="dxa"/>
            <w:tcBorders>
              <w:top w:val="single" w:sz="4" w:space="0" w:color="auto"/>
            </w:tcBorders>
            <w:shd w:val="clear" w:color="auto" w:fill="C6D9F1" w:themeFill="text2" w:themeFillTint="33"/>
            <w:tcMar>
              <w:top w:w="57" w:type="dxa"/>
              <w:left w:w="57" w:type="dxa"/>
              <w:bottom w:w="57" w:type="dxa"/>
              <w:right w:w="57" w:type="dxa"/>
            </w:tcMar>
          </w:tcPr>
          <w:p w:rsidR="00EA45F9" w:rsidRPr="009B5734" w:rsidRDefault="00EA45F9" w:rsidP="00981615">
            <w:pPr>
              <w:tabs>
                <w:tab w:val="num" w:pos="425"/>
              </w:tabs>
              <w:rPr>
                <w:b/>
                <w:noProof/>
              </w:rPr>
            </w:pPr>
            <w:r w:rsidRPr="009B5734">
              <w:rPr>
                <w:b/>
                <w:noProof/>
              </w:rPr>
              <w:t>~EUR 12 470 – 19 388 million</w:t>
            </w:r>
          </w:p>
          <w:p w:rsidR="00EA45F9" w:rsidRPr="009B5734" w:rsidRDefault="00EA45F9" w:rsidP="00981615">
            <w:pPr>
              <w:tabs>
                <w:tab w:val="num" w:pos="425"/>
              </w:tabs>
              <w:rPr>
                <w:b/>
                <w:noProof/>
              </w:rPr>
            </w:pPr>
          </w:p>
        </w:tc>
        <w:tc>
          <w:tcPr>
            <w:tcW w:w="3714" w:type="dxa"/>
            <w:tcBorders>
              <w:top w:val="single" w:sz="4" w:space="0" w:color="auto"/>
            </w:tcBorders>
            <w:shd w:val="clear" w:color="auto" w:fill="C6D9F1" w:themeFill="text2" w:themeFillTint="33"/>
            <w:tcMar>
              <w:top w:w="57" w:type="dxa"/>
              <w:left w:w="57" w:type="dxa"/>
              <w:bottom w:w="57" w:type="dxa"/>
              <w:right w:w="57" w:type="dxa"/>
            </w:tcMar>
          </w:tcPr>
          <w:p w:rsidR="00EA45F9" w:rsidRPr="009B5734" w:rsidRDefault="00EA45F9" w:rsidP="00981615">
            <w:pPr>
              <w:ind w:left="0" w:firstLine="0"/>
              <w:rPr>
                <w:b/>
                <w:noProof/>
              </w:rPr>
            </w:pPr>
          </w:p>
        </w:tc>
      </w:tr>
    </w:tbl>
    <w:p w:rsidR="00EA45F9" w:rsidRPr="009B5734" w:rsidRDefault="00EA45F9" w:rsidP="00EA45F9">
      <w:pPr>
        <w:ind w:left="0" w:firstLine="0"/>
        <w:rPr>
          <w:noProof/>
        </w:rPr>
      </w:pPr>
    </w:p>
    <w:p w:rsidR="00EA45F9" w:rsidRPr="009B5734" w:rsidRDefault="00EA45F9" w:rsidP="00EA45F9">
      <w:pPr>
        <w:rPr>
          <w:noProof/>
        </w:rPr>
      </w:pPr>
      <w:r w:rsidRPr="009B5734">
        <w:rPr>
          <w:noProof/>
        </w:rPr>
        <w:br w:type="page"/>
      </w:r>
    </w:p>
    <w:p w:rsidR="00EA45F9" w:rsidRPr="009B5734" w:rsidRDefault="00EA45F9" w:rsidP="00EA45F9">
      <w:pPr>
        <w:ind w:left="0" w:firstLine="0"/>
        <w:rPr>
          <w:noProof/>
        </w:rPr>
      </w:pPr>
    </w:p>
    <w:tbl>
      <w:tblPr>
        <w:tblStyle w:val="CV11"/>
        <w:tblW w:w="10428"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93"/>
        <w:gridCol w:w="1610"/>
        <w:gridCol w:w="1134"/>
        <w:gridCol w:w="1446"/>
        <w:gridCol w:w="1408"/>
        <w:gridCol w:w="1427"/>
        <w:gridCol w:w="1134"/>
        <w:gridCol w:w="1276"/>
      </w:tblGrid>
      <w:tr w:rsidR="00EA45F9" w:rsidRPr="009B5734" w:rsidTr="6B053803">
        <w:tc>
          <w:tcPr>
            <w:tcW w:w="10428" w:type="dxa"/>
            <w:gridSpan w:val="8"/>
            <w:shd w:val="clear" w:color="auto" w:fill="C6D9F1" w:themeFill="text2" w:themeFillTint="33"/>
            <w:tcMar>
              <w:top w:w="57" w:type="dxa"/>
              <w:left w:w="57" w:type="dxa"/>
              <w:bottom w:w="57" w:type="dxa"/>
              <w:right w:w="57" w:type="dxa"/>
            </w:tcMar>
          </w:tcPr>
          <w:p w:rsidR="00EA45F9" w:rsidRPr="009B5734" w:rsidRDefault="00EA45F9" w:rsidP="00981615">
            <w:pPr>
              <w:tabs>
                <w:tab w:val="num" w:pos="425"/>
              </w:tabs>
              <w:jc w:val="center"/>
              <w:rPr>
                <w:b/>
                <w:i/>
                <w:noProof/>
              </w:rPr>
            </w:pPr>
            <w:r w:rsidRPr="009B5734">
              <w:rPr>
                <w:b/>
                <w:i/>
                <w:noProof/>
              </w:rPr>
              <w:t xml:space="preserve">II. </w:t>
            </w:r>
            <w:r w:rsidRPr="009B5734">
              <w:rPr>
                <w:b/>
                <w:i/>
                <w:noProof/>
                <w:sz w:val="22"/>
                <w:szCs w:val="22"/>
              </w:rPr>
              <w:t>Overview of Costs of the Preferred Options for the period 2025-2040</w:t>
            </w:r>
            <w:r w:rsidRPr="009B5734">
              <w:rPr>
                <w:b/>
                <w:i/>
                <w:noProof/>
              </w:rPr>
              <w:t xml:space="preserve"> </w:t>
            </w:r>
          </w:p>
        </w:tc>
      </w:tr>
      <w:tr w:rsidR="00EA45F9" w:rsidRPr="009B5734" w:rsidTr="6B053803">
        <w:tc>
          <w:tcPr>
            <w:tcW w:w="2603"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rsidR="00EA45F9" w:rsidRPr="009B5734" w:rsidRDefault="00EA45F9" w:rsidP="00981615">
            <w:pPr>
              <w:tabs>
                <w:tab w:val="num" w:pos="425"/>
              </w:tabs>
              <w:rPr>
                <w:noProof/>
              </w:rPr>
            </w:pPr>
          </w:p>
        </w:tc>
        <w:tc>
          <w:tcPr>
            <w:tcW w:w="2580" w:type="dxa"/>
            <w:gridSpan w:val="2"/>
            <w:tcBorders>
              <w:left w:val="double" w:sz="4" w:space="0" w:color="auto"/>
            </w:tcBorders>
            <w:tcMar>
              <w:top w:w="57" w:type="dxa"/>
              <w:left w:w="57" w:type="dxa"/>
              <w:bottom w:w="57" w:type="dxa"/>
              <w:right w:w="57" w:type="dxa"/>
            </w:tcMar>
          </w:tcPr>
          <w:p w:rsidR="00EA45F9" w:rsidRPr="009B5734" w:rsidRDefault="00EA45F9" w:rsidP="00981615">
            <w:pPr>
              <w:tabs>
                <w:tab w:val="num" w:pos="425"/>
              </w:tabs>
              <w:jc w:val="center"/>
              <w:rPr>
                <w:noProof/>
              </w:rPr>
            </w:pPr>
            <w:r w:rsidRPr="009B5734">
              <w:rPr>
                <w:noProof/>
              </w:rPr>
              <w:t>Citizens/Consumers</w:t>
            </w:r>
            <w:r w:rsidRPr="009B5734">
              <w:rPr>
                <w:rStyle w:val="FootnoteReference"/>
                <w:noProof/>
              </w:rPr>
              <w:footnoteReference w:id="143"/>
            </w:r>
            <w:r w:rsidRPr="009B5734">
              <w:rPr>
                <w:noProof/>
              </w:rPr>
              <w:t xml:space="preserve"> </w:t>
            </w:r>
          </w:p>
        </w:tc>
        <w:tc>
          <w:tcPr>
            <w:tcW w:w="2835" w:type="dxa"/>
            <w:gridSpan w:val="2"/>
            <w:tcMar>
              <w:top w:w="57" w:type="dxa"/>
              <w:left w:w="57" w:type="dxa"/>
              <w:bottom w:w="57" w:type="dxa"/>
              <w:right w:w="57" w:type="dxa"/>
            </w:tcMar>
          </w:tcPr>
          <w:p w:rsidR="00EA45F9" w:rsidRPr="009B5734" w:rsidRDefault="00EA45F9" w:rsidP="00981615">
            <w:pPr>
              <w:tabs>
                <w:tab w:val="num" w:pos="425"/>
              </w:tabs>
              <w:jc w:val="center"/>
              <w:rPr>
                <w:noProof/>
              </w:rPr>
            </w:pPr>
            <w:r w:rsidRPr="009B5734">
              <w:rPr>
                <w:noProof/>
              </w:rPr>
              <w:t>Businesses</w:t>
            </w:r>
            <w:r w:rsidRPr="009B5734">
              <w:rPr>
                <w:rStyle w:val="FootnoteReference"/>
                <w:noProof/>
              </w:rPr>
              <w:footnoteReference w:id="144"/>
            </w:r>
          </w:p>
        </w:tc>
        <w:tc>
          <w:tcPr>
            <w:tcW w:w="2410" w:type="dxa"/>
            <w:gridSpan w:val="2"/>
            <w:tcMar>
              <w:top w:w="57" w:type="dxa"/>
              <w:left w:w="57" w:type="dxa"/>
              <w:bottom w:w="57" w:type="dxa"/>
              <w:right w:w="57" w:type="dxa"/>
            </w:tcMar>
          </w:tcPr>
          <w:p w:rsidR="00EA45F9" w:rsidRPr="009B5734" w:rsidRDefault="00EA45F9" w:rsidP="00981615">
            <w:pPr>
              <w:tabs>
                <w:tab w:val="num" w:pos="425"/>
              </w:tabs>
              <w:jc w:val="center"/>
              <w:rPr>
                <w:noProof/>
              </w:rPr>
            </w:pPr>
            <w:r w:rsidRPr="009B5734">
              <w:rPr>
                <w:noProof/>
              </w:rPr>
              <w:t>Administrations</w:t>
            </w:r>
            <w:r w:rsidRPr="009B5734">
              <w:rPr>
                <w:rStyle w:val="FootnoteReference"/>
                <w:noProof/>
              </w:rPr>
              <w:footnoteReference w:id="145"/>
            </w:r>
          </w:p>
        </w:tc>
      </w:tr>
      <w:tr w:rsidR="00EA45F9" w:rsidRPr="009B5734" w:rsidTr="6B053803">
        <w:tc>
          <w:tcPr>
            <w:tcW w:w="2603"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rsidR="00EA45F9" w:rsidRPr="009B5734" w:rsidRDefault="00EA45F9" w:rsidP="00981615">
            <w:pPr>
              <w:tabs>
                <w:tab w:val="num" w:pos="425"/>
              </w:tabs>
              <w:jc w:val="center"/>
              <w:rPr>
                <w:noProof/>
              </w:rPr>
            </w:pPr>
          </w:p>
        </w:tc>
        <w:tc>
          <w:tcPr>
            <w:tcW w:w="1134" w:type="dxa"/>
            <w:tcBorders>
              <w:left w:val="double" w:sz="4" w:space="0" w:color="auto"/>
              <w:bottom w:val="double" w:sz="4" w:space="0" w:color="auto"/>
            </w:tcBorders>
            <w:tcMar>
              <w:top w:w="57" w:type="dxa"/>
              <w:left w:w="57" w:type="dxa"/>
              <w:bottom w:w="57" w:type="dxa"/>
              <w:right w:w="57" w:type="dxa"/>
            </w:tcMar>
          </w:tcPr>
          <w:p w:rsidR="00EA45F9" w:rsidRPr="009B5734" w:rsidRDefault="00EA45F9" w:rsidP="00981615">
            <w:pPr>
              <w:tabs>
                <w:tab w:val="num" w:pos="425"/>
              </w:tabs>
              <w:jc w:val="center"/>
              <w:rPr>
                <w:noProof/>
              </w:rPr>
            </w:pPr>
            <w:r w:rsidRPr="009B5734">
              <w:rPr>
                <w:noProof/>
              </w:rPr>
              <w:t>One-off</w:t>
            </w:r>
          </w:p>
        </w:tc>
        <w:tc>
          <w:tcPr>
            <w:tcW w:w="1446" w:type="dxa"/>
            <w:tcBorders>
              <w:bottom w:val="double" w:sz="4" w:space="0" w:color="auto"/>
            </w:tcBorders>
            <w:tcMar>
              <w:top w:w="57" w:type="dxa"/>
              <w:left w:w="57" w:type="dxa"/>
              <w:bottom w:w="57" w:type="dxa"/>
              <w:right w:w="57" w:type="dxa"/>
            </w:tcMar>
          </w:tcPr>
          <w:p w:rsidR="00EA45F9" w:rsidRPr="009B5734" w:rsidRDefault="00EA45F9" w:rsidP="00981615">
            <w:pPr>
              <w:tabs>
                <w:tab w:val="num" w:pos="425"/>
              </w:tabs>
              <w:jc w:val="center"/>
              <w:rPr>
                <w:noProof/>
              </w:rPr>
            </w:pPr>
            <w:r w:rsidRPr="009B5734">
              <w:rPr>
                <w:noProof/>
              </w:rPr>
              <w:t>Recurrent</w:t>
            </w:r>
          </w:p>
        </w:tc>
        <w:tc>
          <w:tcPr>
            <w:tcW w:w="1408" w:type="dxa"/>
            <w:tcBorders>
              <w:bottom w:val="double" w:sz="4" w:space="0" w:color="auto"/>
            </w:tcBorders>
            <w:tcMar>
              <w:top w:w="57" w:type="dxa"/>
              <w:left w:w="57" w:type="dxa"/>
              <w:bottom w:w="57" w:type="dxa"/>
              <w:right w:w="57" w:type="dxa"/>
            </w:tcMar>
          </w:tcPr>
          <w:p w:rsidR="00EA45F9" w:rsidRPr="009B5734" w:rsidRDefault="00EA45F9" w:rsidP="00981615">
            <w:pPr>
              <w:tabs>
                <w:tab w:val="num" w:pos="425"/>
              </w:tabs>
              <w:jc w:val="center"/>
              <w:rPr>
                <w:noProof/>
              </w:rPr>
            </w:pPr>
            <w:r w:rsidRPr="009B5734">
              <w:rPr>
                <w:noProof/>
              </w:rPr>
              <w:t>One-off</w:t>
            </w:r>
          </w:p>
        </w:tc>
        <w:tc>
          <w:tcPr>
            <w:tcW w:w="1427" w:type="dxa"/>
            <w:tcBorders>
              <w:bottom w:val="double" w:sz="4" w:space="0" w:color="auto"/>
            </w:tcBorders>
            <w:tcMar>
              <w:top w:w="57" w:type="dxa"/>
              <w:left w:w="57" w:type="dxa"/>
              <w:bottom w:w="57" w:type="dxa"/>
              <w:right w:w="57" w:type="dxa"/>
            </w:tcMar>
          </w:tcPr>
          <w:p w:rsidR="00EA45F9" w:rsidRPr="009B5734" w:rsidRDefault="00EA45F9" w:rsidP="00981615">
            <w:pPr>
              <w:tabs>
                <w:tab w:val="num" w:pos="425"/>
              </w:tabs>
              <w:jc w:val="center"/>
              <w:rPr>
                <w:noProof/>
              </w:rPr>
            </w:pPr>
            <w:r w:rsidRPr="009B5734">
              <w:rPr>
                <w:noProof/>
              </w:rPr>
              <w:t>Recurrent</w:t>
            </w:r>
          </w:p>
        </w:tc>
        <w:tc>
          <w:tcPr>
            <w:tcW w:w="1134" w:type="dxa"/>
            <w:tcBorders>
              <w:bottom w:val="double" w:sz="4" w:space="0" w:color="auto"/>
            </w:tcBorders>
            <w:tcMar>
              <w:top w:w="57" w:type="dxa"/>
              <w:left w:w="57" w:type="dxa"/>
              <w:bottom w:w="57" w:type="dxa"/>
              <w:right w:w="57" w:type="dxa"/>
            </w:tcMar>
          </w:tcPr>
          <w:p w:rsidR="00EA45F9" w:rsidRPr="009B5734" w:rsidRDefault="00EA45F9" w:rsidP="00981615">
            <w:pPr>
              <w:tabs>
                <w:tab w:val="num" w:pos="425"/>
              </w:tabs>
              <w:jc w:val="center"/>
              <w:rPr>
                <w:noProof/>
              </w:rPr>
            </w:pPr>
            <w:r w:rsidRPr="009B5734">
              <w:rPr>
                <w:noProof/>
              </w:rPr>
              <w:t>One-off</w:t>
            </w:r>
          </w:p>
        </w:tc>
        <w:tc>
          <w:tcPr>
            <w:tcW w:w="1276" w:type="dxa"/>
            <w:tcBorders>
              <w:bottom w:val="double" w:sz="4" w:space="0" w:color="auto"/>
            </w:tcBorders>
            <w:tcMar>
              <w:top w:w="57" w:type="dxa"/>
              <w:left w:w="57" w:type="dxa"/>
              <w:bottom w:w="57" w:type="dxa"/>
              <w:right w:w="57" w:type="dxa"/>
            </w:tcMar>
          </w:tcPr>
          <w:p w:rsidR="00EA45F9" w:rsidRPr="009B5734" w:rsidRDefault="00EA45F9" w:rsidP="00981615">
            <w:pPr>
              <w:tabs>
                <w:tab w:val="num" w:pos="425"/>
              </w:tabs>
              <w:jc w:val="center"/>
              <w:rPr>
                <w:noProof/>
              </w:rPr>
            </w:pPr>
            <w:r w:rsidRPr="009B5734">
              <w:rPr>
                <w:noProof/>
              </w:rPr>
              <w:t>Recurrent</w:t>
            </w:r>
          </w:p>
        </w:tc>
      </w:tr>
      <w:tr w:rsidR="00EA45F9" w:rsidRPr="009B5734" w:rsidTr="6B053803">
        <w:trPr>
          <w:trHeight w:val="307"/>
        </w:trPr>
        <w:tc>
          <w:tcPr>
            <w:tcW w:w="993" w:type="dxa"/>
            <w:vMerge w:val="restart"/>
            <w:tcMar>
              <w:top w:w="57" w:type="dxa"/>
              <w:left w:w="57" w:type="dxa"/>
              <w:bottom w:w="57" w:type="dxa"/>
              <w:right w:w="57" w:type="dxa"/>
            </w:tcMar>
            <w:vAlign w:val="center"/>
          </w:tcPr>
          <w:p w:rsidR="00EA45F9" w:rsidRPr="009B5734" w:rsidRDefault="00EA45F9" w:rsidP="00981615">
            <w:pPr>
              <w:ind w:left="0" w:firstLine="0"/>
              <w:rPr>
                <w:i/>
                <w:noProof/>
              </w:rPr>
            </w:pPr>
            <w:r w:rsidRPr="009B5734">
              <w:rPr>
                <w:b/>
                <w:i/>
                <w:noProof/>
              </w:rPr>
              <w:t>Option 1.2.C: Information the existence and length of a commercial guarantee and</w:t>
            </w:r>
            <w:r w:rsidRPr="009B5734">
              <w:rPr>
                <w:b/>
                <w:bCs/>
                <w:i/>
                <w:iCs/>
                <w:noProof/>
              </w:rPr>
              <w:t xml:space="preserve"> on the period of time during which free software updates will be provided by manufacturers</w:t>
            </w:r>
          </w:p>
        </w:tc>
        <w:tc>
          <w:tcPr>
            <w:tcW w:w="1610" w:type="dxa"/>
            <w:tcBorders>
              <w:right w:val="double" w:sz="4" w:space="0" w:color="auto"/>
            </w:tcBorders>
            <w:tcMar>
              <w:top w:w="57" w:type="dxa"/>
              <w:left w:w="57" w:type="dxa"/>
              <w:bottom w:w="57" w:type="dxa"/>
              <w:right w:w="57" w:type="dxa"/>
            </w:tcMar>
            <w:vAlign w:val="center"/>
          </w:tcPr>
          <w:p w:rsidR="00EA45F9" w:rsidRPr="009B5734" w:rsidRDefault="00EA45F9" w:rsidP="00981615">
            <w:pPr>
              <w:tabs>
                <w:tab w:val="num" w:pos="425"/>
              </w:tabs>
              <w:rPr>
                <w:i/>
                <w:noProof/>
              </w:rPr>
            </w:pPr>
            <w:r w:rsidRPr="009B5734">
              <w:rPr>
                <w:i/>
                <w:noProof/>
              </w:rPr>
              <w:t>Direct</w:t>
            </w:r>
            <w:r w:rsidR="00AA2CEB">
              <w:rPr>
                <w:i/>
                <w:noProof/>
              </w:rPr>
              <w:t xml:space="preserve"> adjustment</w:t>
            </w:r>
            <w:r w:rsidRPr="009B5734">
              <w:rPr>
                <w:i/>
                <w:noProof/>
              </w:rPr>
              <w:t xml:space="preserve"> costs</w:t>
            </w:r>
          </w:p>
        </w:tc>
        <w:tc>
          <w:tcPr>
            <w:tcW w:w="1134" w:type="dxa"/>
            <w:tcBorders>
              <w:left w:val="double" w:sz="4" w:space="0" w:color="auto"/>
            </w:tcBorders>
            <w:tcMar>
              <w:top w:w="57" w:type="dxa"/>
              <w:left w:w="57" w:type="dxa"/>
              <w:bottom w:w="57" w:type="dxa"/>
              <w:right w:w="57" w:type="dxa"/>
            </w:tcMar>
          </w:tcPr>
          <w:p w:rsidR="00EA45F9" w:rsidRPr="009B5734" w:rsidRDefault="00EA45F9" w:rsidP="00981615">
            <w:pPr>
              <w:tabs>
                <w:tab w:val="num" w:pos="425"/>
              </w:tabs>
              <w:rPr>
                <w:noProof/>
              </w:rPr>
            </w:pPr>
          </w:p>
        </w:tc>
        <w:tc>
          <w:tcPr>
            <w:tcW w:w="1446" w:type="dxa"/>
            <w:tcMar>
              <w:top w:w="57" w:type="dxa"/>
              <w:left w:w="57" w:type="dxa"/>
              <w:bottom w:w="57" w:type="dxa"/>
              <w:right w:w="57" w:type="dxa"/>
            </w:tcMar>
          </w:tcPr>
          <w:p w:rsidR="00EA45F9" w:rsidRPr="009B5734" w:rsidRDefault="00EA45F9" w:rsidP="00981615">
            <w:pPr>
              <w:tabs>
                <w:tab w:val="num" w:pos="425"/>
              </w:tabs>
              <w:rPr>
                <w:noProof/>
              </w:rPr>
            </w:pPr>
          </w:p>
        </w:tc>
        <w:tc>
          <w:tcPr>
            <w:tcW w:w="1408" w:type="dxa"/>
            <w:tcMar>
              <w:top w:w="57" w:type="dxa"/>
              <w:left w:w="57" w:type="dxa"/>
              <w:bottom w:w="57" w:type="dxa"/>
              <w:right w:w="57" w:type="dxa"/>
            </w:tcMar>
            <w:vAlign w:val="center"/>
          </w:tcPr>
          <w:p w:rsidR="00EA45F9" w:rsidRPr="009B5734" w:rsidRDefault="00EA45F9" w:rsidP="00981615">
            <w:pPr>
              <w:ind w:left="0" w:hanging="9"/>
              <w:jc w:val="center"/>
              <w:rPr>
                <w:noProof/>
              </w:rPr>
            </w:pPr>
            <w:r w:rsidRPr="009B5734">
              <w:rPr>
                <w:noProof/>
              </w:rPr>
              <w:t xml:space="preserve">Total: ~EUR </w:t>
            </w:r>
            <w:r w:rsidR="00E63E76">
              <w:rPr>
                <w:noProof/>
              </w:rPr>
              <w:t>390</w:t>
            </w:r>
            <w:r w:rsidR="00E63E76" w:rsidRPr="009B5734">
              <w:rPr>
                <w:noProof/>
              </w:rPr>
              <w:t xml:space="preserve"> </w:t>
            </w:r>
            <w:r w:rsidRPr="009B5734">
              <w:rPr>
                <w:noProof/>
              </w:rPr>
              <w:t xml:space="preserve">- </w:t>
            </w:r>
            <w:r w:rsidR="00E63E76">
              <w:rPr>
                <w:noProof/>
              </w:rPr>
              <w:t xml:space="preserve">410 </w:t>
            </w:r>
            <w:r w:rsidRPr="009B5734">
              <w:rPr>
                <w:noProof/>
              </w:rPr>
              <w:t>million</w:t>
            </w:r>
          </w:p>
          <w:p w:rsidR="00EA45F9" w:rsidRPr="009B5734" w:rsidRDefault="00EA45F9" w:rsidP="00981615">
            <w:pPr>
              <w:ind w:left="0" w:hanging="9"/>
              <w:jc w:val="center"/>
              <w:rPr>
                <w:noProof/>
              </w:rPr>
            </w:pPr>
          </w:p>
          <w:p w:rsidR="00EA45F9" w:rsidRPr="009B5734" w:rsidRDefault="00EA45F9" w:rsidP="00AA2CEB">
            <w:pPr>
              <w:ind w:left="0" w:hanging="9"/>
              <w:jc w:val="center"/>
              <w:rPr>
                <w:noProof/>
              </w:rPr>
            </w:pPr>
            <w:r w:rsidRPr="009B5734">
              <w:rPr>
                <w:noProof/>
              </w:rPr>
              <w:t xml:space="preserve">Per company: ~EUR </w:t>
            </w:r>
            <w:r w:rsidR="00AA2CEB">
              <w:rPr>
                <w:noProof/>
              </w:rPr>
              <w:t>2511</w:t>
            </w:r>
            <w:r w:rsidR="00AA2CEB" w:rsidRPr="009B5734">
              <w:rPr>
                <w:noProof/>
              </w:rPr>
              <w:t xml:space="preserve"> </w:t>
            </w:r>
            <w:r w:rsidR="00740967" w:rsidRPr="009B5734">
              <w:rPr>
                <w:noProof/>
              </w:rPr>
              <w:t xml:space="preserve">- </w:t>
            </w:r>
            <w:r w:rsidR="00AA2CEB">
              <w:rPr>
                <w:noProof/>
              </w:rPr>
              <w:t>2695</w:t>
            </w:r>
          </w:p>
        </w:tc>
        <w:tc>
          <w:tcPr>
            <w:tcW w:w="1427" w:type="dxa"/>
            <w:tcMar>
              <w:top w:w="57" w:type="dxa"/>
              <w:left w:w="57" w:type="dxa"/>
              <w:bottom w:w="57" w:type="dxa"/>
              <w:right w:w="57" w:type="dxa"/>
            </w:tcMar>
            <w:vAlign w:val="center"/>
          </w:tcPr>
          <w:p w:rsidR="00EA45F9" w:rsidRPr="009B5734" w:rsidRDefault="00EA45F9" w:rsidP="00981615">
            <w:pPr>
              <w:ind w:left="10" w:hanging="10"/>
              <w:jc w:val="left"/>
              <w:rPr>
                <w:noProof/>
              </w:rPr>
            </w:pPr>
            <w:r w:rsidRPr="009B5734">
              <w:rPr>
                <w:noProof/>
              </w:rPr>
              <w:t xml:space="preserve">Annual (average in the period 2025-2040): ~EUR </w:t>
            </w:r>
            <w:r w:rsidR="00E63E76">
              <w:rPr>
                <w:noProof/>
              </w:rPr>
              <w:t>33</w:t>
            </w:r>
            <w:r w:rsidR="00E63E76" w:rsidRPr="009B5734">
              <w:rPr>
                <w:noProof/>
              </w:rPr>
              <w:t xml:space="preserve"> </w:t>
            </w:r>
            <w:r w:rsidRPr="009B5734">
              <w:rPr>
                <w:noProof/>
              </w:rPr>
              <w:t xml:space="preserve">– </w:t>
            </w:r>
            <w:r w:rsidR="00E63E76">
              <w:rPr>
                <w:noProof/>
              </w:rPr>
              <w:t>43</w:t>
            </w:r>
            <w:r w:rsidR="00E63E76" w:rsidRPr="009B5734">
              <w:rPr>
                <w:noProof/>
              </w:rPr>
              <w:t xml:space="preserve"> </w:t>
            </w:r>
            <w:r w:rsidRPr="009B5734">
              <w:rPr>
                <w:noProof/>
              </w:rPr>
              <w:t>million</w:t>
            </w:r>
          </w:p>
          <w:p w:rsidR="00EA45F9" w:rsidRPr="009B5734" w:rsidRDefault="00EA45F9" w:rsidP="00981615">
            <w:pPr>
              <w:ind w:left="10" w:hanging="10"/>
              <w:jc w:val="left"/>
              <w:rPr>
                <w:noProof/>
              </w:rPr>
            </w:pPr>
          </w:p>
          <w:p w:rsidR="00EA45F9" w:rsidRPr="009B5734" w:rsidRDefault="00EA45F9" w:rsidP="00981615">
            <w:pPr>
              <w:ind w:left="10" w:hanging="10"/>
              <w:jc w:val="left"/>
              <w:rPr>
                <w:noProof/>
              </w:rPr>
            </w:pPr>
            <w:r w:rsidRPr="009B5734">
              <w:rPr>
                <w:noProof/>
              </w:rPr>
              <w:t xml:space="preserve">Annual per company (average in the period 2025-2040): ~EUR </w:t>
            </w:r>
            <w:r w:rsidR="00E63E76">
              <w:rPr>
                <w:noProof/>
              </w:rPr>
              <w:t>216</w:t>
            </w:r>
            <w:r w:rsidR="00E63E76" w:rsidRPr="009B5734">
              <w:rPr>
                <w:noProof/>
              </w:rPr>
              <w:t xml:space="preserve"> </w:t>
            </w:r>
            <w:r w:rsidR="00740967" w:rsidRPr="009B5734">
              <w:rPr>
                <w:noProof/>
              </w:rPr>
              <w:t xml:space="preserve">- </w:t>
            </w:r>
            <w:r w:rsidR="00E63E76">
              <w:rPr>
                <w:noProof/>
              </w:rPr>
              <w:t>283</w:t>
            </w:r>
          </w:p>
          <w:p w:rsidR="00EA45F9" w:rsidRPr="009B5734" w:rsidRDefault="00EA45F9" w:rsidP="00981615">
            <w:pPr>
              <w:ind w:left="10" w:hanging="10"/>
              <w:jc w:val="left"/>
              <w:rPr>
                <w:noProof/>
              </w:rPr>
            </w:pPr>
          </w:p>
          <w:p w:rsidR="00EA45F9" w:rsidRPr="009B5734" w:rsidRDefault="00EA45F9" w:rsidP="00E63E76">
            <w:pPr>
              <w:ind w:left="10" w:hanging="10"/>
              <w:jc w:val="left"/>
              <w:rPr>
                <w:noProof/>
              </w:rPr>
            </w:pPr>
            <w:r w:rsidRPr="009B5734">
              <w:rPr>
                <w:noProof/>
              </w:rPr>
              <w:t>Total (present value for 2025-2040): ~</w:t>
            </w:r>
            <w:r w:rsidR="00E63E76">
              <w:rPr>
                <w:noProof/>
              </w:rPr>
              <w:t>382</w:t>
            </w:r>
            <w:r w:rsidR="00E63E76" w:rsidRPr="009B5734">
              <w:rPr>
                <w:noProof/>
              </w:rPr>
              <w:t xml:space="preserve"> </w:t>
            </w:r>
            <w:r w:rsidRPr="009B5734">
              <w:rPr>
                <w:noProof/>
              </w:rPr>
              <w:t xml:space="preserve">– </w:t>
            </w:r>
            <w:r w:rsidR="00E63E76">
              <w:rPr>
                <w:noProof/>
              </w:rPr>
              <w:t>503</w:t>
            </w:r>
            <w:r w:rsidR="00E63E76" w:rsidRPr="009B5734">
              <w:rPr>
                <w:noProof/>
              </w:rPr>
              <w:t xml:space="preserve"> </w:t>
            </w:r>
            <w:r w:rsidRPr="009B5734">
              <w:rPr>
                <w:noProof/>
              </w:rPr>
              <w:t>million</w:t>
            </w:r>
          </w:p>
        </w:tc>
        <w:tc>
          <w:tcPr>
            <w:tcW w:w="1134" w:type="dxa"/>
            <w:tcMar>
              <w:top w:w="57" w:type="dxa"/>
              <w:left w:w="57" w:type="dxa"/>
              <w:bottom w:w="57" w:type="dxa"/>
              <w:right w:w="57" w:type="dxa"/>
            </w:tcMar>
            <w:vAlign w:val="center"/>
          </w:tcPr>
          <w:p w:rsidR="00EA45F9" w:rsidRPr="009B5734" w:rsidRDefault="00EA45F9" w:rsidP="00981615">
            <w:pPr>
              <w:ind w:left="0" w:hanging="9"/>
              <w:jc w:val="left"/>
              <w:rPr>
                <w:noProof/>
              </w:rPr>
            </w:pPr>
          </w:p>
        </w:tc>
        <w:tc>
          <w:tcPr>
            <w:tcW w:w="1276" w:type="dxa"/>
            <w:tcMar>
              <w:top w:w="57" w:type="dxa"/>
              <w:left w:w="57" w:type="dxa"/>
              <w:bottom w:w="57" w:type="dxa"/>
              <w:right w:w="57" w:type="dxa"/>
            </w:tcMar>
            <w:vAlign w:val="center"/>
          </w:tcPr>
          <w:p w:rsidR="00EA45F9" w:rsidRPr="009B5734" w:rsidRDefault="00EA45F9" w:rsidP="00981615">
            <w:pPr>
              <w:ind w:left="7" w:hanging="7"/>
              <w:jc w:val="left"/>
              <w:rPr>
                <w:noProof/>
              </w:rPr>
            </w:pPr>
          </w:p>
        </w:tc>
      </w:tr>
      <w:tr w:rsidR="00AA2CEB" w:rsidRPr="009B5734" w:rsidTr="6B053803">
        <w:trPr>
          <w:trHeight w:val="307"/>
        </w:trPr>
        <w:tc>
          <w:tcPr>
            <w:tcW w:w="993" w:type="dxa"/>
            <w:vMerge/>
            <w:tcMar>
              <w:top w:w="57" w:type="dxa"/>
              <w:left w:w="57" w:type="dxa"/>
              <w:bottom w:w="57" w:type="dxa"/>
              <w:right w:w="57" w:type="dxa"/>
            </w:tcMar>
            <w:vAlign w:val="center"/>
          </w:tcPr>
          <w:p w:rsidR="00AA2CEB" w:rsidRPr="009B5734" w:rsidRDefault="00AA2CEB" w:rsidP="00981615">
            <w:pPr>
              <w:ind w:left="0" w:firstLine="0"/>
              <w:rPr>
                <w:b/>
                <w:i/>
                <w:noProof/>
              </w:rPr>
            </w:pPr>
          </w:p>
        </w:tc>
        <w:tc>
          <w:tcPr>
            <w:tcW w:w="1610" w:type="dxa"/>
            <w:tcBorders>
              <w:right w:val="double" w:sz="4" w:space="0" w:color="auto"/>
            </w:tcBorders>
            <w:tcMar>
              <w:top w:w="57" w:type="dxa"/>
              <w:left w:w="57" w:type="dxa"/>
              <w:bottom w:w="57" w:type="dxa"/>
              <w:right w:w="57" w:type="dxa"/>
            </w:tcMar>
            <w:vAlign w:val="center"/>
          </w:tcPr>
          <w:p w:rsidR="00AA2CEB" w:rsidRPr="009B5734" w:rsidRDefault="00AA2CEB" w:rsidP="00981615">
            <w:pPr>
              <w:tabs>
                <w:tab w:val="num" w:pos="425"/>
              </w:tabs>
              <w:rPr>
                <w:i/>
                <w:noProof/>
              </w:rPr>
            </w:pPr>
            <w:r>
              <w:rPr>
                <w:i/>
                <w:noProof/>
              </w:rPr>
              <w:t>Direct administrative costs</w:t>
            </w:r>
          </w:p>
        </w:tc>
        <w:tc>
          <w:tcPr>
            <w:tcW w:w="1134" w:type="dxa"/>
            <w:tcBorders>
              <w:left w:val="double" w:sz="4" w:space="0" w:color="auto"/>
            </w:tcBorders>
            <w:tcMar>
              <w:top w:w="57" w:type="dxa"/>
              <w:left w:w="57" w:type="dxa"/>
              <w:bottom w:w="57" w:type="dxa"/>
              <w:right w:w="57" w:type="dxa"/>
            </w:tcMar>
          </w:tcPr>
          <w:p w:rsidR="00AA2CEB" w:rsidRPr="009B5734" w:rsidRDefault="00AA2CEB" w:rsidP="00981615">
            <w:pPr>
              <w:tabs>
                <w:tab w:val="num" w:pos="425"/>
              </w:tabs>
              <w:rPr>
                <w:noProof/>
              </w:rPr>
            </w:pPr>
          </w:p>
        </w:tc>
        <w:tc>
          <w:tcPr>
            <w:tcW w:w="1446" w:type="dxa"/>
            <w:tcMar>
              <w:top w:w="57" w:type="dxa"/>
              <w:left w:w="57" w:type="dxa"/>
              <w:bottom w:w="57" w:type="dxa"/>
              <w:right w:w="57" w:type="dxa"/>
            </w:tcMar>
          </w:tcPr>
          <w:p w:rsidR="00AA2CEB" w:rsidRPr="009B5734" w:rsidRDefault="00AA2CEB" w:rsidP="00981615">
            <w:pPr>
              <w:tabs>
                <w:tab w:val="num" w:pos="425"/>
              </w:tabs>
              <w:rPr>
                <w:noProof/>
              </w:rPr>
            </w:pPr>
          </w:p>
        </w:tc>
        <w:tc>
          <w:tcPr>
            <w:tcW w:w="1408" w:type="dxa"/>
            <w:tcMar>
              <w:top w:w="57" w:type="dxa"/>
              <w:left w:w="57" w:type="dxa"/>
              <w:bottom w:w="57" w:type="dxa"/>
              <w:right w:w="57" w:type="dxa"/>
            </w:tcMar>
            <w:vAlign w:val="center"/>
          </w:tcPr>
          <w:p w:rsidR="00AA2CEB" w:rsidRDefault="00AA2CEB" w:rsidP="00981615">
            <w:pPr>
              <w:ind w:left="0" w:hanging="9"/>
              <w:jc w:val="center"/>
              <w:rPr>
                <w:noProof/>
              </w:rPr>
            </w:pPr>
            <w:r>
              <w:rPr>
                <w:noProof/>
              </w:rPr>
              <w:t xml:space="preserve">Total: </w:t>
            </w:r>
            <w:r w:rsidRPr="009B5734">
              <w:rPr>
                <w:noProof/>
              </w:rPr>
              <w:t>~EUR</w:t>
            </w:r>
            <w:r>
              <w:rPr>
                <w:noProof/>
              </w:rPr>
              <w:t xml:space="preserve"> 110-115 million</w:t>
            </w:r>
          </w:p>
          <w:p w:rsidR="00AA2CEB" w:rsidRDefault="00AA2CEB" w:rsidP="00981615">
            <w:pPr>
              <w:ind w:left="0" w:hanging="9"/>
              <w:jc w:val="center"/>
              <w:rPr>
                <w:noProof/>
              </w:rPr>
            </w:pPr>
          </w:p>
          <w:p w:rsidR="00AA2CEB" w:rsidRPr="009B5734" w:rsidRDefault="00AA2CEB" w:rsidP="00981615">
            <w:pPr>
              <w:ind w:left="0" w:hanging="9"/>
              <w:jc w:val="center"/>
              <w:rPr>
                <w:noProof/>
              </w:rPr>
            </w:pPr>
            <w:r>
              <w:rPr>
                <w:noProof/>
              </w:rPr>
              <w:t xml:space="preserve">Per company: </w:t>
            </w:r>
            <w:r w:rsidRPr="009B5734">
              <w:rPr>
                <w:noProof/>
              </w:rPr>
              <w:t>~EUR</w:t>
            </w:r>
            <w:r>
              <w:rPr>
                <w:noProof/>
              </w:rPr>
              <w:t xml:space="preserve"> 708 - 760 </w:t>
            </w:r>
          </w:p>
        </w:tc>
        <w:tc>
          <w:tcPr>
            <w:tcW w:w="1427" w:type="dxa"/>
            <w:tcMar>
              <w:top w:w="57" w:type="dxa"/>
              <w:left w:w="57" w:type="dxa"/>
              <w:bottom w:w="57" w:type="dxa"/>
              <w:right w:w="57" w:type="dxa"/>
            </w:tcMar>
            <w:vAlign w:val="center"/>
          </w:tcPr>
          <w:p w:rsidR="00AA2CEB" w:rsidRDefault="00AA2CEB" w:rsidP="00981615">
            <w:pPr>
              <w:ind w:left="10" w:hanging="10"/>
              <w:jc w:val="left"/>
              <w:rPr>
                <w:noProof/>
              </w:rPr>
            </w:pPr>
            <w:r>
              <w:rPr>
                <w:noProof/>
              </w:rPr>
              <w:t xml:space="preserve">Annual (average in the period 2025-2040): </w:t>
            </w:r>
            <w:r w:rsidRPr="009B5734">
              <w:rPr>
                <w:noProof/>
              </w:rPr>
              <w:t>~EUR</w:t>
            </w:r>
            <w:r>
              <w:rPr>
                <w:noProof/>
              </w:rPr>
              <w:t xml:space="preserve"> 9-12 million</w:t>
            </w:r>
          </w:p>
          <w:p w:rsidR="00E63E76" w:rsidRDefault="00E63E76" w:rsidP="00981615">
            <w:pPr>
              <w:ind w:left="10" w:hanging="10"/>
              <w:jc w:val="left"/>
              <w:rPr>
                <w:noProof/>
              </w:rPr>
            </w:pPr>
          </w:p>
          <w:p w:rsidR="00E63E76" w:rsidRPr="009B5734" w:rsidRDefault="00E63E76" w:rsidP="00E63E76">
            <w:pPr>
              <w:ind w:left="10" w:hanging="10"/>
              <w:jc w:val="left"/>
              <w:rPr>
                <w:noProof/>
              </w:rPr>
            </w:pPr>
            <w:r w:rsidRPr="009B5734">
              <w:rPr>
                <w:noProof/>
              </w:rPr>
              <w:t xml:space="preserve">Annual per company (average in the period 2025-2040): ~EUR </w:t>
            </w:r>
            <w:r>
              <w:rPr>
                <w:noProof/>
              </w:rPr>
              <w:t>61</w:t>
            </w:r>
            <w:r w:rsidRPr="009B5734">
              <w:rPr>
                <w:noProof/>
              </w:rPr>
              <w:t xml:space="preserve"> - </w:t>
            </w:r>
            <w:r>
              <w:rPr>
                <w:noProof/>
              </w:rPr>
              <w:t>80</w:t>
            </w:r>
          </w:p>
          <w:p w:rsidR="00E63E76" w:rsidRPr="009B5734" w:rsidRDefault="00E63E76" w:rsidP="00E63E76">
            <w:pPr>
              <w:ind w:left="10" w:hanging="10"/>
              <w:jc w:val="left"/>
              <w:rPr>
                <w:noProof/>
              </w:rPr>
            </w:pPr>
          </w:p>
          <w:p w:rsidR="00E63E76" w:rsidRPr="009B5734" w:rsidRDefault="00E63E76" w:rsidP="00E63E76">
            <w:pPr>
              <w:ind w:left="10" w:hanging="10"/>
              <w:jc w:val="left"/>
              <w:rPr>
                <w:noProof/>
              </w:rPr>
            </w:pPr>
            <w:r w:rsidRPr="009B5734">
              <w:rPr>
                <w:noProof/>
              </w:rPr>
              <w:t>Total (present value for 2025-2040): ~</w:t>
            </w:r>
            <w:r>
              <w:rPr>
                <w:noProof/>
              </w:rPr>
              <w:t>108</w:t>
            </w:r>
            <w:r w:rsidRPr="009B5734">
              <w:rPr>
                <w:noProof/>
              </w:rPr>
              <w:t xml:space="preserve"> – </w:t>
            </w:r>
            <w:r>
              <w:rPr>
                <w:noProof/>
              </w:rPr>
              <w:t xml:space="preserve">142 </w:t>
            </w:r>
            <w:r w:rsidRPr="009B5734">
              <w:rPr>
                <w:noProof/>
              </w:rPr>
              <w:t>million</w:t>
            </w:r>
          </w:p>
        </w:tc>
        <w:tc>
          <w:tcPr>
            <w:tcW w:w="1134" w:type="dxa"/>
            <w:tcMar>
              <w:top w:w="57" w:type="dxa"/>
              <w:left w:w="57" w:type="dxa"/>
              <w:bottom w:w="57" w:type="dxa"/>
              <w:right w:w="57" w:type="dxa"/>
            </w:tcMar>
            <w:vAlign w:val="center"/>
          </w:tcPr>
          <w:p w:rsidR="00AA2CEB" w:rsidRPr="009B5734" w:rsidRDefault="00AA2CEB" w:rsidP="00981615">
            <w:pPr>
              <w:ind w:left="0" w:hanging="9"/>
              <w:jc w:val="left"/>
              <w:rPr>
                <w:noProof/>
              </w:rPr>
            </w:pPr>
          </w:p>
        </w:tc>
        <w:tc>
          <w:tcPr>
            <w:tcW w:w="1276" w:type="dxa"/>
            <w:tcMar>
              <w:top w:w="57" w:type="dxa"/>
              <w:left w:w="57" w:type="dxa"/>
              <w:bottom w:w="57" w:type="dxa"/>
              <w:right w:w="57" w:type="dxa"/>
            </w:tcMar>
            <w:vAlign w:val="center"/>
          </w:tcPr>
          <w:p w:rsidR="00AA2CEB" w:rsidRPr="009B5734" w:rsidRDefault="00AA2CEB" w:rsidP="00981615">
            <w:pPr>
              <w:ind w:left="10" w:hanging="10"/>
              <w:jc w:val="left"/>
              <w:rPr>
                <w:noProof/>
              </w:rPr>
            </w:pPr>
          </w:p>
        </w:tc>
      </w:tr>
      <w:tr w:rsidR="00AA2CEB" w:rsidRPr="009B5734" w:rsidTr="6B053803">
        <w:trPr>
          <w:trHeight w:val="307"/>
        </w:trPr>
        <w:tc>
          <w:tcPr>
            <w:tcW w:w="993" w:type="dxa"/>
            <w:vMerge/>
            <w:tcMar>
              <w:top w:w="57" w:type="dxa"/>
              <w:left w:w="57" w:type="dxa"/>
              <w:bottom w:w="57" w:type="dxa"/>
              <w:right w:w="57" w:type="dxa"/>
            </w:tcMar>
            <w:vAlign w:val="center"/>
          </w:tcPr>
          <w:p w:rsidR="00AA2CEB" w:rsidRPr="009B5734" w:rsidRDefault="00AA2CEB" w:rsidP="00981615">
            <w:pPr>
              <w:ind w:left="0" w:firstLine="0"/>
              <w:rPr>
                <w:b/>
                <w:i/>
                <w:noProof/>
              </w:rPr>
            </w:pPr>
          </w:p>
        </w:tc>
        <w:tc>
          <w:tcPr>
            <w:tcW w:w="1610" w:type="dxa"/>
            <w:tcBorders>
              <w:right w:val="double" w:sz="4" w:space="0" w:color="auto"/>
            </w:tcBorders>
            <w:tcMar>
              <w:top w:w="57" w:type="dxa"/>
              <w:left w:w="57" w:type="dxa"/>
              <w:bottom w:w="57" w:type="dxa"/>
              <w:right w:w="57" w:type="dxa"/>
            </w:tcMar>
            <w:vAlign w:val="center"/>
          </w:tcPr>
          <w:p w:rsidR="00AA2CEB" w:rsidRPr="009B5734" w:rsidRDefault="00AA2CEB" w:rsidP="00981615">
            <w:pPr>
              <w:tabs>
                <w:tab w:val="num" w:pos="425"/>
              </w:tabs>
              <w:rPr>
                <w:i/>
                <w:noProof/>
              </w:rPr>
            </w:pPr>
            <w:r>
              <w:rPr>
                <w:i/>
                <w:noProof/>
              </w:rPr>
              <w:t>Direct regulatory fees and charges</w:t>
            </w:r>
          </w:p>
        </w:tc>
        <w:tc>
          <w:tcPr>
            <w:tcW w:w="1134" w:type="dxa"/>
            <w:tcBorders>
              <w:left w:val="double" w:sz="4" w:space="0" w:color="auto"/>
            </w:tcBorders>
            <w:tcMar>
              <w:top w:w="57" w:type="dxa"/>
              <w:left w:w="57" w:type="dxa"/>
              <w:bottom w:w="57" w:type="dxa"/>
              <w:right w:w="57" w:type="dxa"/>
            </w:tcMar>
          </w:tcPr>
          <w:p w:rsidR="00CA2BCB" w:rsidRDefault="00CA2BCB" w:rsidP="00CA2BCB">
            <w:pPr>
              <w:tabs>
                <w:tab w:val="num" w:pos="425"/>
              </w:tabs>
              <w:jc w:val="center"/>
              <w:rPr>
                <w:noProof/>
              </w:rPr>
            </w:pPr>
          </w:p>
          <w:p w:rsidR="00AA2CEB" w:rsidRPr="009B5734" w:rsidRDefault="00AA2CEB" w:rsidP="00CA2BCB">
            <w:pPr>
              <w:tabs>
                <w:tab w:val="num" w:pos="425"/>
              </w:tabs>
              <w:jc w:val="center"/>
              <w:rPr>
                <w:noProof/>
              </w:rPr>
            </w:pPr>
          </w:p>
        </w:tc>
        <w:tc>
          <w:tcPr>
            <w:tcW w:w="1446" w:type="dxa"/>
            <w:tcMar>
              <w:top w:w="57" w:type="dxa"/>
              <w:left w:w="57" w:type="dxa"/>
              <w:bottom w:w="57" w:type="dxa"/>
              <w:right w:w="57" w:type="dxa"/>
            </w:tcMar>
          </w:tcPr>
          <w:p w:rsidR="00CA2BCB" w:rsidRDefault="00CA2BCB" w:rsidP="00CA2BCB">
            <w:pPr>
              <w:tabs>
                <w:tab w:val="num" w:pos="425"/>
              </w:tabs>
              <w:jc w:val="center"/>
              <w:rPr>
                <w:noProof/>
              </w:rPr>
            </w:pPr>
          </w:p>
          <w:p w:rsidR="00AA2CEB" w:rsidRPr="009B5734" w:rsidRDefault="00AA2CEB" w:rsidP="00CA2BCB">
            <w:pPr>
              <w:tabs>
                <w:tab w:val="num" w:pos="425"/>
              </w:tabs>
              <w:jc w:val="center"/>
              <w:rPr>
                <w:noProof/>
              </w:rPr>
            </w:pPr>
          </w:p>
        </w:tc>
        <w:tc>
          <w:tcPr>
            <w:tcW w:w="1408" w:type="dxa"/>
            <w:tcMar>
              <w:top w:w="57" w:type="dxa"/>
              <w:left w:w="57" w:type="dxa"/>
              <w:bottom w:w="57" w:type="dxa"/>
              <w:right w:w="57" w:type="dxa"/>
            </w:tcMar>
            <w:vAlign w:val="center"/>
          </w:tcPr>
          <w:p w:rsidR="00AA2CEB" w:rsidRPr="009B5734" w:rsidRDefault="00CA2BCB" w:rsidP="00981615">
            <w:pPr>
              <w:ind w:left="0" w:hanging="9"/>
              <w:jc w:val="center"/>
              <w:rPr>
                <w:noProof/>
              </w:rPr>
            </w:pPr>
            <w:r>
              <w:rPr>
                <w:noProof/>
              </w:rPr>
              <w:t>-</w:t>
            </w:r>
          </w:p>
        </w:tc>
        <w:tc>
          <w:tcPr>
            <w:tcW w:w="1427" w:type="dxa"/>
            <w:tcMar>
              <w:top w:w="57" w:type="dxa"/>
              <w:left w:w="57" w:type="dxa"/>
              <w:bottom w:w="57" w:type="dxa"/>
              <w:right w:w="57" w:type="dxa"/>
            </w:tcMar>
            <w:vAlign w:val="center"/>
          </w:tcPr>
          <w:p w:rsidR="00AA2CEB" w:rsidRPr="009B5734" w:rsidRDefault="00CA2BCB" w:rsidP="00CA2BCB">
            <w:pPr>
              <w:ind w:left="10" w:hanging="10"/>
              <w:jc w:val="center"/>
              <w:rPr>
                <w:noProof/>
              </w:rPr>
            </w:pPr>
            <w:r>
              <w:rPr>
                <w:noProof/>
              </w:rPr>
              <w:t>-</w:t>
            </w:r>
          </w:p>
        </w:tc>
        <w:tc>
          <w:tcPr>
            <w:tcW w:w="1134" w:type="dxa"/>
            <w:tcMar>
              <w:top w:w="57" w:type="dxa"/>
              <w:left w:w="57" w:type="dxa"/>
              <w:bottom w:w="57" w:type="dxa"/>
              <w:right w:w="57" w:type="dxa"/>
            </w:tcMar>
            <w:vAlign w:val="center"/>
          </w:tcPr>
          <w:p w:rsidR="00AA2CEB" w:rsidRPr="009B5734" w:rsidRDefault="00CA2BCB" w:rsidP="00CA2BCB">
            <w:pPr>
              <w:ind w:left="0" w:hanging="9"/>
              <w:jc w:val="center"/>
              <w:rPr>
                <w:noProof/>
              </w:rPr>
            </w:pPr>
            <w:r>
              <w:rPr>
                <w:noProof/>
              </w:rPr>
              <w:t>-</w:t>
            </w:r>
          </w:p>
        </w:tc>
        <w:tc>
          <w:tcPr>
            <w:tcW w:w="1276" w:type="dxa"/>
            <w:tcMar>
              <w:top w:w="57" w:type="dxa"/>
              <w:left w:w="57" w:type="dxa"/>
              <w:bottom w:w="57" w:type="dxa"/>
              <w:right w:w="57" w:type="dxa"/>
            </w:tcMar>
            <w:vAlign w:val="center"/>
          </w:tcPr>
          <w:p w:rsidR="00AA2CEB" w:rsidRPr="009B5734" w:rsidRDefault="00CA2BCB" w:rsidP="00CA2BCB">
            <w:pPr>
              <w:ind w:left="10" w:hanging="10"/>
              <w:jc w:val="center"/>
              <w:rPr>
                <w:noProof/>
              </w:rPr>
            </w:pPr>
            <w:r>
              <w:rPr>
                <w:noProof/>
              </w:rPr>
              <w:t>-</w:t>
            </w:r>
          </w:p>
        </w:tc>
      </w:tr>
      <w:tr w:rsidR="00AA2CEB" w:rsidRPr="009B5734" w:rsidTr="6B053803">
        <w:trPr>
          <w:trHeight w:val="307"/>
        </w:trPr>
        <w:tc>
          <w:tcPr>
            <w:tcW w:w="993" w:type="dxa"/>
            <w:vMerge/>
            <w:tcMar>
              <w:top w:w="57" w:type="dxa"/>
              <w:left w:w="57" w:type="dxa"/>
              <w:bottom w:w="57" w:type="dxa"/>
              <w:right w:w="57" w:type="dxa"/>
            </w:tcMar>
            <w:vAlign w:val="center"/>
          </w:tcPr>
          <w:p w:rsidR="00AA2CEB" w:rsidRPr="009B5734" w:rsidRDefault="00AA2CEB" w:rsidP="00AA2CEB">
            <w:pPr>
              <w:ind w:left="0" w:firstLine="0"/>
              <w:rPr>
                <w:b/>
                <w:i/>
                <w:noProof/>
              </w:rPr>
            </w:pPr>
          </w:p>
        </w:tc>
        <w:tc>
          <w:tcPr>
            <w:tcW w:w="1610" w:type="dxa"/>
            <w:tcBorders>
              <w:right w:val="double" w:sz="4" w:space="0" w:color="auto"/>
            </w:tcBorders>
            <w:tcMar>
              <w:top w:w="57" w:type="dxa"/>
              <w:left w:w="57" w:type="dxa"/>
              <w:bottom w:w="57" w:type="dxa"/>
              <w:right w:w="57" w:type="dxa"/>
            </w:tcMar>
            <w:vAlign w:val="center"/>
          </w:tcPr>
          <w:p w:rsidR="00AA2CEB" w:rsidRDefault="00AA2CEB" w:rsidP="00AA2CEB">
            <w:pPr>
              <w:tabs>
                <w:tab w:val="num" w:pos="425"/>
              </w:tabs>
              <w:rPr>
                <w:i/>
                <w:noProof/>
              </w:rPr>
            </w:pPr>
            <w:r>
              <w:rPr>
                <w:i/>
                <w:noProof/>
              </w:rPr>
              <w:t>Direct enforcement costs</w:t>
            </w:r>
          </w:p>
        </w:tc>
        <w:tc>
          <w:tcPr>
            <w:tcW w:w="1134" w:type="dxa"/>
            <w:tcBorders>
              <w:left w:val="double" w:sz="4" w:space="0" w:color="auto"/>
            </w:tcBorders>
            <w:tcMar>
              <w:top w:w="57" w:type="dxa"/>
              <w:left w:w="57" w:type="dxa"/>
              <w:bottom w:w="57" w:type="dxa"/>
              <w:right w:w="57" w:type="dxa"/>
            </w:tcMar>
          </w:tcPr>
          <w:p w:rsidR="00AA2CEB" w:rsidRPr="009B5734" w:rsidRDefault="00AA2CEB" w:rsidP="00AA2CEB">
            <w:pPr>
              <w:tabs>
                <w:tab w:val="num" w:pos="425"/>
              </w:tabs>
              <w:rPr>
                <w:noProof/>
              </w:rPr>
            </w:pPr>
          </w:p>
        </w:tc>
        <w:tc>
          <w:tcPr>
            <w:tcW w:w="1446" w:type="dxa"/>
            <w:tcMar>
              <w:top w:w="57" w:type="dxa"/>
              <w:left w:w="57" w:type="dxa"/>
              <w:bottom w:w="57" w:type="dxa"/>
              <w:right w:w="57" w:type="dxa"/>
            </w:tcMar>
          </w:tcPr>
          <w:p w:rsidR="00AA2CEB" w:rsidRPr="009B5734" w:rsidRDefault="00AA2CEB" w:rsidP="00AA2CEB">
            <w:pPr>
              <w:tabs>
                <w:tab w:val="num" w:pos="425"/>
              </w:tabs>
              <w:rPr>
                <w:noProof/>
              </w:rPr>
            </w:pPr>
          </w:p>
        </w:tc>
        <w:tc>
          <w:tcPr>
            <w:tcW w:w="1408" w:type="dxa"/>
            <w:tcMar>
              <w:top w:w="57" w:type="dxa"/>
              <w:left w:w="57" w:type="dxa"/>
              <w:bottom w:w="57" w:type="dxa"/>
              <w:right w:w="57" w:type="dxa"/>
            </w:tcMar>
            <w:vAlign w:val="center"/>
          </w:tcPr>
          <w:p w:rsidR="00AA2CEB" w:rsidRPr="009B5734" w:rsidRDefault="00AA2CEB" w:rsidP="00AA2CEB">
            <w:pPr>
              <w:ind w:left="0" w:hanging="9"/>
              <w:jc w:val="center"/>
              <w:rPr>
                <w:noProof/>
              </w:rPr>
            </w:pPr>
          </w:p>
        </w:tc>
        <w:tc>
          <w:tcPr>
            <w:tcW w:w="1427" w:type="dxa"/>
            <w:tcMar>
              <w:top w:w="57" w:type="dxa"/>
              <w:left w:w="57" w:type="dxa"/>
              <w:bottom w:w="57" w:type="dxa"/>
              <w:right w:w="57" w:type="dxa"/>
            </w:tcMar>
            <w:vAlign w:val="center"/>
          </w:tcPr>
          <w:p w:rsidR="00AA2CEB" w:rsidRPr="009B5734" w:rsidRDefault="00AA2CEB" w:rsidP="00AA2CEB">
            <w:pPr>
              <w:ind w:left="10" w:hanging="10"/>
              <w:jc w:val="left"/>
              <w:rPr>
                <w:noProof/>
              </w:rPr>
            </w:pPr>
          </w:p>
        </w:tc>
        <w:tc>
          <w:tcPr>
            <w:tcW w:w="1134" w:type="dxa"/>
            <w:tcMar>
              <w:top w:w="57" w:type="dxa"/>
              <w:left w:w="57" w:type="dxa"/>
              <w:bottom w:w="57" w:type="dxa"/>
              <w:right w:w="57" w:type="dxa"/>
            </w:tcMar>
            <w:vAlign w:val="center"/>
          </w:tcPr>
          <w:p w:rsidR="00AA2CEB" w:rsidRPr="009B5734" w:rsidRDefault="00AA2CEB" w:rsidP="00AA2CEB">
            <w:pPr>
              <w:ind w:left="0" w:hanging="9"/>
              <w:jc w:val="left"/>
              <w:rPr>
                <w:noProof/>
              </w:rPr>
            </w:pPr>
            <w:r w:rsidRPr="009B5734">
              <w:rPr>
                <w:noProof/>
              </w:rPr>
              <w:t>Total: EUR ~0.1 million</w:t>
            </w:r>
          </w:p>
          <w:p w:rsidR="00AA2CEB" w:rsidRPr="009B5734" w:rsidRDefault="00AA2CEB" w:rsidP="00AA2CEB">
            <w:pPr>
              <w:ind w:left="0" w:hanging="9"/>
              <w:jc w:val="left"/>
              <w:rPr>
                <w:noProof/>
              </w:rPr>
            </w:pPr>
          </w:p>
          <w:p w:rsidR="00AA2CEB" w:rsidRPr="009B5734" w:rsidRDefault="00AA2CEB" w:rsidP="00AA2CEB">
            <w:pPr>
              <w:ind w:left="0" w:hanging="9"/>
              <w:jc w:val="left"/>
              <w:rPr>
                <w:noProof/>
              </w:rPr>
            </w:pPr>
            <w:r w:rsidRPr="009B5734">
              <w:rPr>
                <w:noProof/>
              </w:rPr>
              <w:t>Per Member State: ~EUR 3 300</w:t>
            </w:r>
          </w:p>
        </w:tc>
        <w:tc>
          <w:tcPr>
            <w:tcW w:w="1276" w:type="dxa"/>
            <w:tcMar>
              <w:top w:w="57" w:type="dxa"/>
              <w:left w:w="57" w:type="dxa"/>
              <w:bottom w:w="57" w:type="dxa"/>
              <w:right w:w="57" w:type="dxa"/>
            </w:tcMar>
            <w:vAlign w:val="center"/>
          </w:tcPr>
          <w:p w:rsidR="00AA2CEB" w:rsidRPr="009B5734" w:rsidRDefault="00AA2CEB" w:rsidP="00AA2CEB">
            <w:pPr>
              <w:ind w:left="10" w:hanging="10"/>
              <w:jc w:val="left"/>
              <w:rPr>
                <w:noProof/>
              </w:rPr>
            </w:pPr>
            <w:r w:rsidRPr="009B5734">
              <w:rPr>
                <w:noProof/>
              </w:rPr>
              <w:t>Annual (average in the period 2025-2040): ~EUR 1.3 – 2.2 million</w:t>
            </w:r>
          </w:p>
          <w:p w:rsidR="00AA2CEB" w:rsidRPr="009B5734" w:rsidRDefault="00AA2CEB" w:rsidP="00AA2CEB">
            <w:pPr>
              <w:ind w:left="10" w:hanging="10"/>
              <w:jc w:val="left"/>
              <w:rPr>
                <w:noProof/>
              </w:rPr>
            </w:pPr>
          </w:p>
          <w:p w:rsidR="00AA2CEB" w:rsidRPr="009B5734" w:rsidRDefault="00AA2CEB" w:rsidP="00AA2CEB">
            <w:pPr>
              <w:ind w:left="10" w:hanging="10"/>
              <w:jc w:val="left"/>
              <w:rPr>
                <w:noProof/>
              </w:rPr>
            </w:pPr>
            <w:r w:rsidRPr="009B5734">
              <w:rPr>
                <w:noProof/>
              </w:rPr>
              <w:t>Annual per Member State (average in the period 2025-2040): ~EUR 48 900 – 81 350</w:t>
            </w:r>
          </w:p>
          <w:p w:rsidR="00AA2CEB" w:rsidRPr="009B5734" w:rsidRDefault="00AA2CEB" w:rsidP="00AA2CEB">
            <w:pPr>
              <w:ind w:left="10" w:hanging="10"/>
              <w:jc w:val="left"/>
              <w:rPr>
                <w:noProof/>
              </w:rPr>
            </w:pPr>
          </w:p>
          <w:p w:rsidR="00AA2CEB" w:rsidRDefault="00AA2CEB" w:rsidP="00AA2CEB">
            <w:pPr>
              <w:ind w:left="10" w:hanging="10"/>
              <w:jc w:val="left"/>
              <w:rPr>
                <w:noProof/>
              </w:rPr>
            </w:pPr>
            <w:r w:rsidRPr="009B5734">
              <w:rPr>
                <w:noProof/>
              </w:rPr>
              <w:t>Total (present value for 2025-2040): ~15 – 27 million</w:t>
            </w:r>
          </w:p>
        </w:tc>
      </w:tr>
      <w:tr w:rsidR="00AA2CEB" w:rsidRPr="009B5734" w:rsidTr="00C310D8">
        <w:trPr>
          <w:trHeight w:val="469"/>
        </w:trPr>
        <w:tc>
          <w:tcPr>
            <w:tcW w:w="993" w:type="dxa"/>
            <w:vMerge/>
            <w:tcMar>
              <w:top w:w="57" w:type="dxa"/>
              <w:left w:w="57" w:type="dxa"/>
              <w:bottom w:w="57" w:type="dxa"/>
              <w:right w:w="57" w:type="dxa"/>
            </w:tcMar>
          </w:tcPr>
          <w:p w:rsidR="00AA2CEB" w:rsidRPr="009B5734" w:rsidRDefault="00AA2CEB" w:rsidP="00AA2CEB">
            <w:pPr>
              <w:ind w:left="0" w:firstLine="0"/>
              <w:rPr>
                <w:noProof/>
              </w:rPr>
            </w:pPr>
          </w:p>
        </w:tc>
        <w:tc>
          <w:tcPr>
            <w:tcW w:w="1610" w:type="dxa"/>
            <w:tcBorders>
              <w:right w:val="double" w:sz="4" w:space="0" w:color="auto"/>
            </w:tcBorders>
            <w:tcMar>
              <w:top w:w="57" w:type="dxa"/>
              <w:left w:w="57" w:type="dxa"/>
              <w:bottom w:w="57" w:type="dxa"/>
              <w:right w:w="57" w:type="dxa"/>
            </w:tcMar>
          </w:tcPr>
          <w:p w:rsidR="00AA2CEB" w:rsidRPr="009B5734" w:rsidRDefault="00AA2CEB" w:rsidP="00AA2CEB">
            <w:pPr>
              <w:tabs>
                <w:tab w:val="num" w:pos="425"/>
              </w:tabs>
              <w:rPr>
                <w:i/>
                <w:noProof/>
              </w:rPr>
            </w:pPr>
            <w:r w:rsidRPr="009B5734">
              <w:rPr>
                <w:i/>
                <w:noProof/>
              </w:rPr>
              <w:t>Indirect costs</w:t>
            </w:r>
          </w:p>
        </w:tc>
        <w:tc>
          <w:tcPr>
            <w:tcW w:w="1134" w:type="dxa"/>
            <w:tcBorders>
              <w:left w:val="double" w:sz="4" w:space="0" w:color="auto"/>
            </w:tcBorders>
            <w:tcMar>
              <w:top w:w="57" w:type="dxa"/>
              <w:left w:w="57" w:type="dxa"/>
              <w:bottom w:w="57" w:type="dxa"/>
              <w:right w:w="57" w:type="dxa"/>
            </w:tcMar>
          </w:tcPr>
          <w:p w:rsidR="00AA2CEB" w:rsidRPr="009B5734" w:rsidRDefault="00AA2CEB" w:rsidP="00AA2CEB">
            <w:pPr>
              <w:tabs>
                <w:tab w:val="num" w:pos="425"/>
              </w:tabs>
              <w:rPr>
                <w:noProof/>
              </w:rPr>
            </w:pPr>
          </w:p>
        </w:tc>
        <w:tc>
          <w:tcPr>
            <w:tcW w:w="1446" w:type="dxa"/>
            <w:tcMar>
              <w:top w:w="57" w:type="dxa"/>
              <w:left w:w="57" w:type="dxa"/>
              <w:bottom w:w="57" w:type="dxa"/>
              <w:right w:w="57" w:type="dxa"/>
            </w:tcMar>
          </w:tcPr>
          <w:p w:rsidR="00AA2CEB" w:rsidRPr="009B5734" w:rsidRDefault="00AA2CEB" w:rsidP="00AA2CEB">
            <w:pPr>
              <w:tabs>
                <w:tab w:val="num" w:pos="425"/>
              </w:tabs>
              <w:rPr>
                <w:noProof/>
              </w:rPr>
            </w:pPr>
          </w:p>
        </w:tc>
        <w:tc>
          <w:tcPr>
            <w:tcW w:w="1408" w:type="dxa"/>
            <w:tcMar>
              <w:top w:w="57" w:type="dxa"/>
              <w:left w:w="57" w:type="dxa"/>
              <w:bottom w:w="57" w:type="dxa"/>
              <w:right w:w="57" w:type="dxa"/>
            </w:tcMar>
            <w:vAlign w:val="center"/>
          </w:tcPr>
          <w:p w:rsidR="00AA2CEB" w:rsidRPr="009B5734" w:rsidRDefault="00AA2CEB" w:rsidP="00AA2CEB">
            <w:pPr>
              <w:tabs>
                <w:tab w:val="num" w:pos="425"/>
              </w:tabs>
              <w:jc w:val="center"/>
              <w:rPr>
                <w:noProof/>
              </w:rPr>
            </w:pPr>
            <w:r w:rsidRPr="009B5734">
              <w:rPr>
                <w:noProof/>
              </w:rPr>
              <w:t>-</w:t>
            </w:r>
          </w:p>
        </w:tc>
        <w:tc>
          <w:tcPr>
            <w:tcW w:w="1427" w:type="dxa"/>
            <w:tcMar>
              <w:top w:w="57" w:type="dxa"/>
              <w:left w:w="57" w:type="dxa"/>
              <w:bottom w:w="57" w:type="dxa"/>
              <w:right w:w="57" w:type="dxa"/>
            </w:tcMar>
            <w:vAlign w:val="center"/>
          </w:tcPr>
          <w:p w:rsidR="00AA2CEB" w:rsidRPr="009B5734" w:rsidRDefault="00AA2CEB" w:rsidP="00AA2CEB">
            <w:pPr>
              <w:ind w:left="10" w:hanging="10"/>
              <w:jc w:val="left"/>
              <w:rPr>
                <w:noProof/>
              </w:rPr>
            </w:pPr>
            <w:r w:rsidRPr="009B5734">
              <w:rPr>
                <w:noProof/>
              </w:rPr>
              <w:t>-</w:t>
            </w:r>
          </w:p>
        </w:tc>
        <w:tc>
          <w:tcPr>
            <w:tcW w:w="1134" w:type="dxa"/>
            <w:tcMar>
              <w:top w:w="57" w:type="dxa"/>
              <w:left w:w="57" w:type="dxa"/>
              <w:bottom w:w="57" w:type="dxa"/>
              <w:right w:w="57" w:type="dxa"/>
            </w:tcMar>
            <w:vAlign w:val="center"/>
          </w:tcPr>
          <w:p w:rsidR="00AA2CEB" w:rsidRPr="009B5734" w:rsidRDefault="00AA2CEB" w:rsidP="00AA2CEB">
            <w:pPr>
              <w:tabs>
                <w:tab w:val="num" w:pos="425"/>
              </w:tabs>
              <w:jc w:val="center"/>
              <w:rPr>
                <w:noProof/>
              </w:rPr>
            </w:pPr>
            <w:r w:rsidRPr="009B5734">
              <w:rPr>
                <w:noProof/>
              </w:rPr>
              <w:t>-</w:t>
            </w:r>
          </w:p>
        </w:tc>
        <w:tc>
          <w:tcPr>
            <w:tcW w:w="1276" w:type="dxa"/>
            <w:tcMar>
              <w:top w:w="57" w:type="dxa"/>
              <w:left w:w="57" w:type="dxa"/>
              <w:bottom w:w="57" w:type="dxa"/>
              <w:right w:w="57" w:type="dxa"/>
            </w:tcMar>
            <w:vAlign w:val="center"/>
          </w:tcPr>
          <w:p w:rsidR="00AA2CEB" w:rsidRPr="009B5734" w:rsidRDefault="00AA2CEB" w:rsidP="00AA2CEB">
            <w:pPr>
              <w:ind w:left="7" w:hanging="7"/>
              <w:jc w:val="center"/>
              <w:rPr>
                <w:noProof/>
              </w:rPr>
            </w:pPr>
            <w:r w:rsidRPr="009B5734">
              <w:rPr>
                <w:noProof/>
              </w:rPr>
              <w:t>-</w:t>
            </w:r>
          </w:p>
        </w:tc>
      </w:tr>
    </w:tbl>
    <w:tbl>
      <w:tblPr>
        <w:tblW w:w="10428" w:type="dxa"/>
        <w:tblInd w:w="-5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93"/>
        <w:gridCol w:w="1610"/>
        <w:gridCol w:w="1134"/>
        <w:gridCol w:w="1446"/>
        <w:gridCol w:w="1408"/>
        <w:gridCol w:w="1427"/>
        <w:gridCol w:w="1134"/>
        <w:gridCol w:w="1276"/>
      </w:tblGrid>
      <w:tr w:rsidR="006D6876" w:rsidRPr="009B5734" w:rsidTr="00981615">
        <w:tc>
          <w:tcPr>
            <w:tcW w:w="993" w:type="dxa"/>
            <w:vMerge w:val="restart"/>
            <w:tcBorders>
              <w:top w:val="double" w:sz="4" w:space="0" w:color="auto"/>
            </w:tcBorders>
            <w:tcMar>
              <w:top w:w="57" w:type="dxa"/>
              <w:left w:w="57" w:type="dxa"/>
              <w:bottom w:w="57" w:type="dxa"/>
              <w:right w:w="57" w:type="dxa"/>
            </w:tcMar>
          </w:tcPr>
          <w:p w:rsidR="006D6876" w:rsidRPr="009B5734" w:rsidRDefault="006D6876" w:rsidP="00981615">
            <w:pPr>
              <w:ind w:left="0" w:firstLine="0"/>
              <w:rPr>
                <w:b/>
                <w:bCs/>
                <w:i/>
                <w:iCs/>
                <w:noProof/>
              </w:rPr>
            </w:pPr>
          </w:p>
          <w:p w:rsidR="006D6876" w:rsidRPr="009B5734" w:rsidRDefault="006D6876" w:rsidP="00981615">
            <w:pPr>
              <w:ind w:left="0" w:firstLine="0"/>
              <w:rPr>
                <w:rFonts w:ascii="Times New Roman" w:hAnsi="Times New Roman" w:cs="Times New Roman"/>
                <w:b/>
                <w:noProof/>
                <w:sz w:val="20"/>
                <w:szCs w:val="20"/>
              </w:rPr>
            </w:pPr>
            <w:r w:rsidRPr="009B5734">
              <w:rPr>
                <w:rFonts w:ascii="Times New Roman" w:hAnsi="Times New Roman" w:cs="Times New Roman"/>
                <w:b/>
                <w:i/>
                <w:noProof/>
                <w:sz w:val="20"/>
                <w:szCs w:val="20"/>
              </w:rPr>
              <w:t>Option 1.3.E: Provision of Repair Scoring Index, or other relevant repair information on a where applicable/available basis</w:t>
            </w:r>
          </w:p>
          <w:p w:rsidR="006D6876" w:rsidRPr="009B5734" w:rsidRDefault="006D6876" w:rsidP="00981615">
            <w:pPr>
              <w:ind w:left="0" w:firstLine="0"/>
              <w:rPr>
                <w:b/>
                <w:bCs/>
                <w:i/>
                <w:iCs/>
                <w:noProof/>
              </w:rPr>
            </w:pPr>
          </w:p>
          <w:p w:rsidR="006D6876" w:rsidRPr="009B5734" w:rsidRDefault="006D6876" w:rsidP="00981615">
            <w:pPr>
              <w:ind w:left="0" w:firstLine="0"/>
              <w:rPr>
                <w:b/>
                <w:bCs/>
                <w:i/>
                <w:iCs/>
                <w:noProof/>
              </w:rPr>
            </w:pPr>
          </w:p>
          <w:p w:rsidR="006D6876" w:rsidRPr="009B5734" w:rsidRDefault="006D6876" w:rsidP="00981615">
            <w:pPr>
              <w:ind w:left="0" w:firstLine="0"/>
              <w:rPr>
                <w:rFonts w:ascii="Times New Roman" w:hAnsi="Times New Roman" w:cs="Times New Roman"/>
                <w:b/>
                <w:noProof/>
                <w:sz w:val="20"/>
                <w:szCs w:val="20"/>
              </w:rPr>
            </w:pPr>
          </w:p>
        </w:tc>
        <w:tc>
          <w:tcPr>
            <w:tcW w:w="1610" w:type="dxa"/>
            <w:tcBorders>
              <w:top w:val="double" w:sz="4" w:space="0" w:color="auto"/>
              <w:right w:val="double" w:sz="4" w:space="0" w:color="auto"/>
            </w:tcBorders>
            <w:tcMar>
              <w:top w:w="57" w:type="dxa"/>
              <w:left w:w="57" w:type="dxa"/>
              <w:bottom w:w="57" w:type="dxa"/>
              <w:right w:w="57" w:type="dxa"/>
            </w:tcMar>
            <w:vAlign w:val="center"/>
          </w:tcPr>
          <w:p w:rsidR="006D6876" w:rsidRPr="009B5734" w:rsidRDefault="006D6876" w:rsidP="00981615">
            <w:pPr>
              <w:ind w:left="0" w:firstLine="0"/>
              <w:rPr>
                <w:rFonts w:ascii="Times New Roman" w:hAnsi="Times New Roman" w:cs="Times New Roman"/>
                <w:i/>
                <w:noProof/>
                <w:sz w:val="20"/>
                <w:szCs w:val="20"/>
              </w:rPr>
            </w:pPr>
            <w:r w:rsidRPr="009B5734">
              <w:rPr>
                <w:rFonts w:ascii="Times New Roman" w:hAnsi="Times New Roman" w:cs="Times New Roman"/>
                <w:i/>
                <w:noProof/>
                <w:sz w:val="20"/>
                <w:szCs w:val="20"/>
              </w:rPr>
              <w:t xml:space="preserve">Direct </w:t>
            </w:r>
            <w:r>
              <w:rPr>
                <w:rFonts w:ascii="Times New Roman" w:hAnsi="Times New Roman" w:cs="Times New Roman"/>
                <w:i/>
                <w:noProof/>
                <w:sz w:val="20"/>
                <w:szCs w:val="20"/>
              </w:rPr>
              <w:t xml:space="preserve">adjustment </w:t>
            </w:r>
            <w:r w:rsidRPr="009B5734">
              <w:rPr>
                <w:rFonts w:ascii="Times New Roman" w:hAnsi="Times New Roman" w:cs="Times New Roman"/>
                <w:i/>
                <w:noProof/>
                <w:sz w:val="20"/>
                <w:szCs w:val="20"/>
              </w:rPr>
              <w:t>costs</w:t>
            </w:r>
          </w:p>
          <w:p w:rsidR="006D6876" w:rsidRPr="009B5734" w:rsidRDefault="006D6876" w:rsidP="00981615">
            <w:pPr>
              <w:ind w:left="0" w:firstLine="0"/>
              <w:rPr>
                <w:noProof/>
              </w:rPr>
            </w:pPr>
          </w:p>
          <w:p w:rsidR="006D6876" w:rsidRPr="009B5734" w:rsidRDefault="006D6876" w:rsidP="00981615">
            <w:pPr>
              <w:ind w:left="0" w:firstLine="0"/>
              <w:rPr>
                <w:noProof/>
              </w:rPr>
            </w:pPr>
          </w:p>
        </w:tc>
        <w:tc>
          <w:tcPr>
            <w:tcW w:w="1134" w:type="dxa"/>
            <w:tcBorders>
              <w:top w:val="double" w:sz="4" w:space="0" w:color="auto"/>
              <w:left w:val="double" w:sz="4" w:space="0" w:color="auto"/>
            </w:tcBorders>
            <w:tcMar>
              <w:top w:w="57" w:type="dxa"/>
              <w:left w:w="57" w:type="dxa"/>
              <w:bottom w:w="57" w:type="dxa"/>
              <w:right w:w="57" w:type="dxa"/>
            </w:tcMar>
          </w:tcPr>
          <w:p w:rsidR="006D6876" w:rsidRPr="009B5734" w:rsidRDefault="006D6876" w:rsidP="00981615">
            <w:pPr>
              <w:tabs>
                <w:tab w:val="num" w:pos="425"/>
              </w:tabs>
              <w:rPr>
                <w:noProof/>
              </w:rPr>
            </w:pPr>
          </w:p>
        </w:tc>
        <w:tc>
          <w:tcPr>
            <w:tcW w:w="1446" w:type="dxa"/>
            <w:tcBorders>
              <w:top w:val="double" w:sz="4" w:space="0" w:color="auto"/>
            </w:tcBorders>
            <w:tcMar>
              <w:top w:w="57" w:type="dxa"/>
              <w:left w:w="57" w:type="dxa"/>
              <w:bottom w:w="57" w:type="dxa"/>
              <w:right w:w="57" w:type="dxa"/>
            </w:tcMar>
          </w:tcPr>
          <w:p w:rsidR="006D6876" w:rsidRPr="009B5734" w:rsidRDefault="006D6876" w:rsidP="00981615">
            <w:pPr>
              <w:ind w:left="0" w:hanging="9"/>
              <w:jc w:val="center"/>
              <w:rPr>
                <w:noProof/>
              </w:rPr>
            </w:pPr>
          </w:p>
        </w:tc>
        <w:tc>
          <w:tcPr>
            <w:tcW w:w="1408" w:type="dxa"/>
            <w:tcBorders>
              <w:top w:val="double" w:sz="4" w:space="0" w:color="auto"/>
            </w:tcBorders>
            <w:tcMar>
              <w:top w:w="57" w:type="dxa"/>
              <w:left w:w="57" w:type="dxa"/>
              <w:bottom w:w="57" w:type="dxa"/>
              <w:right w:w="57" w:type="dxa"/>
            </w:tcMar>
            <w:vAlign w:val="center"/>
          </w:tcPr>
          <w:p w:rsidR="006D6876" w:rsidRPr="009B5734" w:rsidRDefault="006D6876" w:rsidP="00981615">
            <w:pPr>
              <w:ind w:left="0" w:hanging="9"/>
              <w:jc w:val="center"/>
              <w:rPr>
                <w:rFonts w:ascii="Times New Roman" w:hAnsi="Times New Roman" w:cs="Times New Roman"/>
                <w:noProof/>
                <w:sz w:val="20"/>
                <w:szCs w:val="20"/>
              </w:rPr>
            </w:pPr>
            <w:r w:rsidRPr="009B5734">
              <w:rPr>
                <w:rFonts w:ascii="Times New Roman" w:hAnsi="Times New Roman" w:cs="Times New Roman"/>
                <w:noProof/>
                <w:sz w:val="20"/>
                <w:szCs w:val="20"/>
              </w:rPr>
              <w:t>Negligible, assuming full  economies of scale (e.g.</w:t>
            </w:r>
          </w:p>
          <w:p w:rsidR="006D6876" w:rsidRPr="009B5734" w:rsidRDefault="006D6876" w:rsidP="00981615">
            <w:pPr>
              <w:ind w:left="0" w:hanging="9"/>
              <w:jc w:val="center"/>
              <w:rPr>
                <w:rFonts w:ascii="Times New Roman" w:hAnsi="Times New Roman" w:cs="Times New Roman"/>
                <w:noProof/>
                <w:sz w:val="20"/>
                <w:szCs w:val="20"/>
              </w:rPr>
            </w:pPr>
            <w:r>
              <w:rPr>
                <w:rFonts w:ascii="Times New Roman" w:hAnsi="Times New Roman" w:cs="Times New Roman"/>
                <w:noProof/>
                <w:sz w:val="20"/>
                <w:szCs w:val="20"/>
              </w:rPr>
              <w:t xml:space="preserve">  costs for familiarisation)</w:t>
            </w:r>
            <w:r w:rsidRPr="009B5734">
              <w:rPr>
                <w:rFonts w:ascii="Times New Roman" w:hAnsi="Times New Roman" w:cs="Times New Roman"/>
                <w:noProof/>
                <w:sz w:val="20"/>
                <w:szCs w:val="20"/>
              </w:rPr>
              <w:t xml:space="preserve">  </w:t>
            </w:r>
          </w:p>
        </w:tc>
        <w:tc>
          <w:tcPr>
            <w:tcW w:w="1427" w:type="dxa"/>
            <w:tcBorders>
              <w:top w:val="double" w:sz="4" w:space="0" w:color="auto"/>
            </w:tcBorders>
            <w:tcMar>
              <w:top w:w="57" w:type="dxa"/>
              <w:left w:w="57" w:type="dxa"/>
              <w:bottom w:w="57" w:type="dxa"/>
              <w:right w:w="57" w:type="dxa"/>
            </w:tcMar>
            <w:vAlign w:val="center"/>
          </w:tcPr>
          <w:p w:rsidR="006D6876" w:rsidRPr="009B5734" w:rsidRDefault="006D6876" w:rsidP="00981615">
            <w:pPr>
              <w:ind w:left="10" w:hanging="10"/>
              <w:jc w:val="left"/>
              <w:rPr>
                <w:rFonts w:ascii="Times New Roman" w:hAnsi="Times New Roman" w:cs="Times New Roman"/>
                <w:noProof/>
                <w:sz w:val="20"/>
                <w:szCs w:val="20"/>
              </w:rPr>
            </w:pPr>
            <w:r w:rsidRPr="009B5734">
              <w:rPr>
                <w:rFonts w:ascii="Times New Roman" w:hAnsi="Times New Roman" w:cs="Times New Roman"/>
                <w:noProof/>
                <w:sz w:val="20"/>
                <w:szCs w:val="20"/>
              </w:rPr>
              <w:t xml:space="preserve">Negligible </w:t>
            </w:r>
          </w:p>
        </w:tc>
        <w:tc>
          <w:tcPr>
            <w:tcW w:w="1134" w:type="dxa"/>
            <w:tcBorders>
              <w:top w:val="double" w:sz="4" w:space="0" w:color="auto"/>
            </w:tcBorders>
            <w:tcMar>
              <w:top w:w="57" w:type="dxa"/>
              <w:left w:w="57" w:type="dxa"/>
              <w:bottom w:w="57" w:type="dxa"/>
              <w:right w:w="57" w:type="dxa"/>
            </w:tcMar>
          </w:tcPr>
          <w:p w:rsidR="006D6876" w:rsidRPr="009B5734" w:rsidRDefault="006D6876" w:rsidP="00981615">
            <w:pPr>
              <w:ind w:left="0" w:hanging="9"/>
              <w:jc w:val="left"/>
              <w:rPr>
                <w:rFonts w:ascii="Times New Roman" w:hAnsi="Times New Roman" w:cs="Times New Roman"/>
                <w:noProof/>
                <w:sz w:val="20"/>
                <w:szCs w:val="20"/>
              </w:rPr>
            </w:pPr>
          </w:p>
          <w:p w:rsidR="006D6876" w:rsidRPr="009B5734" w:rsidRDefault="006D6876" w:rsidP="00981615">
            <w:pPr>
              <w:ind w:left="0" w:hanging="9"/>
              <w:jc w:val="left"/>
              <w:rPr>
                <w:rFonts w:ascii="Times New Roman" w:hAnsi="Times New Roman" w:cs="Times New Roman"/>
                <w:noProof/>
                <w:sz w:val="20"/>
                <w:szCs w:val="20"/>
              </w:rPr>
            </w:pPr>
          </w:p>
        </w:tc>
        <w:tc>
          <w:tcPr>
            <w:tcW w:w="1276" w:type="dxa"/>
            <w:tcBorders>
              <w:top w:val="double" w:sz="4" w:space="0" w:color="auto"/>
            </w:tcBorders>
            <w:tcMar>
              <w:top w:w="57" w:type="dxa"/>
              <w:left w:w="57" w:type="dxa"/>
              <w:bottom w:w="57" w:type="dxa"/>
              <w:right w:w="57" w:type="dxa"/>
            </w:tcMar>
          </w:tcPr>
          <w:p w:rsidR="006D6876" w:rsidRPr="009B5734" w:rsidRDefault="006D6876" w:rsidP="00981615">
            <w:pPr>
              <w:ind w:left="7" w:hanging="7"/>
              <w:jc w:val="left"/>
              <w:rPr>
                <w:rFonts w:ascii="Times New Roman" w:hAnsi="Times New Roman" w:cs="Times New Roman"/>
                <w:noProof/>
                <w:sz w:val="20"/>
                <w:szCs w:val="20"/>
              </w:rPr>
            </w:pPr>
          </w:p>
          <w:p w:rsidR="006D6876" w:rsidRPr="009B5734" w:rsidRDefault="006D6876" w:rsidP="00981615">
            <w:pPr>
              <w:ind w:left="7" w:hanging="7"/>
              <w:jc w:val="left"/>
              <w:rPr>
                <w:rFonts w:ascii="Times New Roman" w:hAnsi="Times New Roman" w:cs="Times New Roman"/>
                <w:noProof/>
                <w:sz w:val="20"/>
                <w:szCs w:val="20"/>
              </w:rPr>
            </w:pPr>
          </w:p>
          <w:p w:rsidR="006D6876" w:rsidRPr="009B5734" w:rsidRDefault="006D6876" w:rsidP="00981615">
            <w:pPr>
              <w:ind w:left="7" w:hanging="7"/>
              <w:jc w:val="left"/>
              <w:rPr>
                <w:rFonts w:ascii="Times New Roman" w:hAnsi="Times New Roman" w:cs="Times New Roman"/>
                <w:noProof/>
                <w:sz w:val="20"/>
                <w:szCs w:val="20"/>
              </w:rPr>
            </w:pPr>
            <w:r w:rsidRPr="009B5734">
              <w:rPr>
                <w:rFonts w:ascii="Times New Roman" w:hAnsi="Times New Roman" w:cs="Times New Roman"/>
                <w:noProof/>
                <w:sz w:val="20"/>
                <w:szCs w:val="20"/>
              </w:rPr>
              <w:t xml:space="preserve"> </w:t>
            </w:r>
          </w:p>
        </w:tc>
      </w:tr>
      <w:tr w:rsidR="006D6876" w:rsidRPr="009B5734" w:rsidTr="00F12321">
        <w:tc>
          <w:tcPr>
            <w:tcW w:w="993" w:type="dxa"/>
            <w:vMerge/>
            <w:tcMar>
              <w:top w:w="57" w:type="dxa"/>
              <w:left w:w="57" w:type="dxa"/>
              <w:bottom w:w="57" w:type="dxa"/>
              <w:right w:w="57" w:type="dxa"/>
            </w:tcMar>
          </w:tcPr>
          <w:p w:rsidR="006D6876" w:rsidRPr="009B5734" w:rsidRDefault="006D6876" w:rsidP="00981615">
            <w:pPr>
              <w:ind w:left="0" w:firstLine="0"/>
              <w:rPr>
                <w:b/>
                <w:bCs/>
                <w:i/>
                <w:iCs/>
                <w:noProof/>
              </w:rPr>
            </w:pPr>
          </w:p>
        </w:tc>
        <w:tc>
          <w:tcPr>
            <w:tcW w:w="1610" w:type="dxa"/>
            <w:tcBorders>
              <w:top w:val="double" w:sz="4" w:space="0" w:color="auto"/>
              <w:right w:val="double" w:sz="4" w:space="0" w:color="auto"/>
            </w:tcBorders>
            <w:tcMar>
              <w:top w:w="57" w:type="dxa"/>
              <w:left w:w="57" w:type="dxa"/>
              <w:bottom w:w="57" w:type="dxa"/>
              <w:right w:w="57" w:type="dxa"/>
            </w:tcMar>
            <w:vAlign w:val="center"/>
          </w:tcPr>
          <w:p w:rsidR="006D6876" w:rsidRPr="009B5734" w:rsidRDefault="006D6876" w:rsidP="00981615">
            <w:pPr>
              <w:ind w:left="0" w:firstLine="0"/>
              <w:rPr>
                <w:rFonts w:ascii="Times New Roman" w:hAnsi="Times New Roman" w:cs="Times New Roman"/>
                <w:i/>
                <w:noProof/>
                <w:sz w:val="20"/>
                <w:szCs w:val="20"/>
              </w:rPr>
            </w:pPr>
            <w:r>
              <w:rPr>
                <w:rFonts w:ascii="Times New Roman" w:hAnsi="Times New Roman" w:cs="Times New Roman"/>
                <w:i/>
                <w:noProof/>
                <w:sz w:val="20"/>
                <w:szCs w:val="20"/>
              </w:rPr>
              <w:t>Direct administrative costs</w:t>
            </w:r>
          </w:p>
        </w:tc>
        <w:tc>
          <w:tcPr>
            <w:tcW w:w="1134" w:type="dxa"/>
            <w:tcBorders>
              <w:top w:val="double" w:sz="4" w:space="0" w:color="auto"/>
              <w:left w:val="double" w:sz="4" w:space="0" w:color="auto"/>
            </w:tcBorders>
            <w:tcMar>
              <w:top w:w="57" w:type="dxa"/>
              <w:left w:w="57" w:type="dxa"/>
              <w:bottom w:w="57" w:type="dxa"/>
              <w:right w:w="57" w:type="dxa"/>
            </w:tcMar>
          </w:tcPr>
          <w:p w:rsidR="006D6876" w:rsidRPr="009B5734" w:rsidRDefault="006D6876" w:rsidP="00981615">
            <w:pPr>
              <w:tabs>
                <w:tab w:val="num" w:pos="425"/>
              </w:tabs>
              <w:rPr>
                <w:noProof/>
              </w:rPr>
            </w:pPr>
          </w:p>
        </w:tc>
        <w:tc>
          <w:tcPr>
            <w:tcW w:w="1446" w:type="dxa"/>
            <w:tcBorders>
              <w:top w:val="double" w:sz="4" w:space="0" w:color="auto"/>
            </w:tcBorders>
            <w:tcMar>
              <w:top w:w="57" w:type="dxa"/>
              <w:left w:w="57" w:type="dxa"/>
              <w:bottom w:w="57" w:type="dxa"/>
              <w:right w:w="57" w:type="dxa"/>
            </w:tcMar>
          </w:tcPr>
          <w:p w:rsidR="006D6876" w:rsidRPr="009B5734" w:rsidRDefault="006D6876" w:rsidP="00981615">
            <w:pPr>
              <w:ind w:left="0" w:hanging="9"/>
              <w:jc w:val="center"/>
              <w:rPr>
                <w:noProof/>
              </w:rPr>
            </w:pPr>
          </w:p>
        </w:tc>
        <w:tc>
          <w:tcPr>
            <w:tcW w:w="1408" w:type="dxa"/>
            <w:tcBorders>
              <w:top w:val="double" w:sz="4" w:space="0" w:color="auto"/>
            </w:tcBorders>
            <w:tcMar>
              <w:top w:w="57" w:type="dxa"/>
              <w:left w:w="57" w:type="dxa"/>
              <w:bottom w:w="57" w:type="dxa"/>
              <w:right w:w="57" w:type="dxa"/>
            </w:tcMar>
            <w:vAlign w:val="center"/>
          </w:tcPr>
          <w:p w:rsidR="006D6876" w:rsidRPr="009B5734" w:rsidRDefault="006D6876" w:rsidP="00981615">
            <w:pPr>
              <w:ind w:left="0" w:hanging="9"/>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427" w:type="dxa"/>
            <w:tcBorders>
              <w:top w:val="double" w:sz="4" w:space="0" w:color="auto"/>
            </w:tcBorders>
            <w:tcMar>
              <w:top w:w="57" w:type="dxa"/>
              <w:left w:w="57" w:type="dxa"/>
              <w:bottom w:w="57" w:type="dxa"/>
              <w:right w:w="57" w:type="dxa"/>
            </w:tcMar>
            <w:vAlign w:val="center"/>
          </w:tcPr>
          <w:p w:rsidR="006D6876" w:rsidRPr="009B5734" w:rsidRDefault="006D6876" w:rsidP="006D6876">
            <w:pPr>
              <w:ind w:left="10" w:hanging="10"/>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134" w:type="dxa"/>
            <w:tcBorders>
              <w:top w:val="double" w:sz="4" w:space="0" w:color="auto"/>
            </w:tcBorders>
            <w:tcMar>
              <w:top w:w="57" w:type="dxa"/>
              <w:left w:w="57" w:type="dxa"/>
              <w:bottom w:w="57" w:type="dxa"/>
              <w:right w:w="57" w:type="dxa"/>
            </w:tcMar>
          </w:tcPr>
          <w:p w:rsidR="006D6876" w:rsidRDefault="006D6876" w:rsidP="006D6876">
            <w:pPr>
              <w:ind w:left="0" w:hanging="9"/>
              <w:jc w:val="center"/>
              <w:rPr>
                <w:rFonts w:ascii="Times New Roman" w:hAnsi="Times New Roman" w:cs="Times New Roman"/>
                <w:noProof/>
                <w:sz w:val="20"/>
                <w:szCs w:val="20"/>
              </w:rPr>
            </w:pPr>
          </w:p>
          <w:p w:rsidR="006D6876" w:rsidRPr="009B5734" w:rsidRDefault="006D6876" w:rsidP="006D6876">
            <w:pPr>
              <w:ind w:left="0" w:hanging="9"/>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276" w:type="dxa"/>
            <w:tcBorders>
              <w:top w:val="double" w:sz="4" w:space="0" w:color="auto"/>
            </w:tcBorders>
            <w:tcMar>
              <w:top w:w="57" w:type="dxa"/>
              <w:left w:w="57" w:type="dxa"/>
              <w:bottom w:w="57" w:type="dxa"/>
              <w:right w:w="57" w:type="dxa"/>
            </w:tcMar>
          </w:tcPr>
          <w:p w:rsidR="006D6876" w:rsidRDefault="006D6876" w:rsidP="006D6876">
            <w:pPr>
              <w:ind w:left="7" w:hanging="7"/>
              <w:jc w:val="center"/>
              <w:rPr>
                <w:rFonts w:ascii="Times New Roman" w:hAnsi="Times New Roman" w:cs="Times New Roman"/>
                <w:noProof/>
                <w:sz w:val="20"/>
                <w:szCs w:val="20"/>
              </w:rPr>
            </w:pPr>
          </w:p>
          <w:p w:rsidR="006D6876" w:rsidRPr="009B5734" w:rsidRDefault="006D6876" w:rsidP="006D6876">
            <w:pPr>
              <w:ind w:left="7" w:hanging="7"/>
              <w:jc w:val="center"/>
              <w:rPr>
                <w:rFonts w:ascii="Times New Roman" w:hAnsi="Times New Roman" w:cs="Times New Roman"/>
                <w:noProof/>
                <w:sz w:val="20"/>
                <w:szCs w:val="20"/>
              </w:rPr>
            </w:pPr>
            <w:r>
              <w:rPr>
                <w:rFonts w:ascii="Times New Roman" w:hAnsi="Times New Roman" w:cs="Times New Roman"/>
                <w:noProof/>
                <w:sz w:val="20"/>
                <w:szCs w:val="20"/>
              </w:rPr>
              <w:t>-</w:t>
            </w:r>
          </w:p>
        </w:tc>
      </w:tr>
      <w:tr w:rsidR="006D6876" w:rsidRPr="009B5734" w:rsidTr="00F12321">
        <w:tc>
          <w:tcPr>
            <w:tcW w:w="993" w:type="dxa"/>
            <w:vMerge/>
            <w:tcMar>
              <w:top w:w="57" w:type="dxa"/>
              <w:left w:w="57" w:type="dxa"/>
              <w:bottom w:w="57" w:type="dxa"/>
              <w:right w:w="57" w:type="dxa"/>
            </w:tcMar>
          </w:tcPr>
          <w:p w:rsidR="006D6876" w:rsidRPr="009B5734" w:rsidRDefault="006D6876" w:rsidP="00981615">
            <w:pPr>
              <w:ind w:left="0" w:firstLine="0"/>
              <w:rPr>
                <w:b/>
                <w:bCs/>
                <w:i/>
                <w:iCs/>
                <w:noProof/>
              </w:rPr>
            </w:pPr>
          </w:p>
        </w:tc>
        <w:tc>
          <w:tcPr>
            <w:tcW w:w="1610" w:type="dxa"/>
            <w:tcBorders>
              <w:top w:val="double" w:sz="4" w:space="0" w:color="auto"/>
              <w:right w:val="double" w:sz="4" w:space="0" w:color="auto"/>
            </w:tcBorders>
            <w:tcMar>
              <w:top w:w="57" w:type="dxa"/>
              <w:left w:w="57" w:type="dxa"/>
              <w:bottom w:w="57" w:type="dxa"/>
              <w:right w:w="57" w:type="dxa"/>
            </w:tcMar>
            <w:vAlign w:val="center"/>
          </w:tcPr>
          <w:p w:rsidR="006D6876" w:rsidRPr="009B5734" w:rsidRDefault="006D6876" w:rsidP="00981615">
            <w:pPr>
              <w:ind w:left="0" w:firstLine="0"/>
              <w:rPr>
                <w:rFonts w:ascii="Times New Roman" w:hAnsi="Times New Roman" w:cs="Times New Roman"/>
                <w:i/>
                <w:noProof/>
                <w:sz w:val="20"/>
                <w:szCs w:val="20"/>
              </w:rPr>
            </w:pPr>
            <w:r>
              <w:rPr>
                <w:rFonts w:ascii="Times New Roman" w:hAnsi="Times New Roman" w:cs="Times New Roman"/>
                <w:i/>
                <w:noProof/>
                <w:sz w:val="20"/>
                <w:szCs w:val="20"/>
              </w:rPr>
              <w:t>Direct regulatory fees and charges</w:t>
            </w:r>
          </w:p>
        </w:tc>
        <w:tc>
          <w:tcPr>
            <w:tcW w:w="1134" w:type="dxa"/>
            <w:tcBorders>
              <w:top w:val="double" w:sz="4" w:space="0" w:color="auto"/>
              <w:left w:val="double" w:sz="4" w:space="0" w:color="auto"/>
            </w:tcBorders>
            <w:tcMar>
              <w:top w:w="57" w:type="dxa"/>
              <w:left w:w="57" w:type="dxa"/>
              <w:bottom w:w="57" w:type="dxa"/>
              <w:right w:w="57" w:type="dxa"/>
            </w:tcMar>
          </w:tcPr>
          <w:p w:rsidR="006D6876" w:rsidRPr="009B5734" w:rsidRDefault="006D6876" w:rsidP="00981615">
            <w:pPr>
              <w:tabs>
                <w:tab w:val="num" w:pos="425"/>
              </w:tabs>
              <w:rPr>
                <w:noProof/>
              </w:rPr>
            </w:pPr>
          </w:p>
        </w:tc>
        <w:tc>
          <w:tcPr>
            <w:tcW w:w="1446" w:type="dxa"/>
            <w:tcBorders>
              <w:top w:val="double" w:sz="4" w:space="0" w:color="auto"/>
            </w:tcBorders>
            <w:tcMar>
              <w:top w:w="57" w:type="dxa"/>
              <w:left w:w="57" w:type="dxa"/>
              <w:bottom w:w="57" w:type="dxa"/>
              <w:right w:w="57" w:type="dxa"/>
            </w:tcMar>
          </w:tcPr>
          <w:p w:rsidR="006D6876" w:rsidRPr="009B5734" w:rsidRDefault="006D6876" w:rsidP="00981615">
            <w:pPr>
              <w:ind w:left="0" w:hanging="9"/>
              <w:jc w:val="center"/>
              <w:rPr>
                <w:noProof/>
              </w:rPr>
            </w:pPr>
          </w:p>
        </w:tc>
        <w:tc>
          <w:tcPr>
            <w:tcW w:w="1408" w:type="dxa"/>
            <w:tcBorders>
              <w:top w:val="double" w:sz="4" w:space="0" w:color="auto"/>
            </w:tcBorders>
            <w:tcMar>
              <w:top w:w="57" w:type="dxa"/>
              <w:left w:w="57" w:type="dxa"/>
              <w:bottom w:w="57" w:type="dxa"/>
              <w:right w:w="57" w:type="dxa"/>
            </w:tcMar>
            <w:vAlign w:val="center"/>
          </w:tcPr>
          <w:p w:rsidR="006D6876" w:rsidRPr="009B5734" w:rsidRDefault="006D6876" w:rsidP="00981615">
            <w:pPr>
              <w:ind w:left="0" w:hanging="9"/>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427" w:type="dxa"/>
            <w:tcBorders>
              <w:top w:val="double" w:sz="4" w:space="0" w:color="auto"/>
            </w:tcBorders>
            <w:tcMar>
              <w:top w:w="57" w:type="dxa"/>
              <w:left w:w="57" w:type="dxa"/>
              <w:bottom w:w="57" w:type="dxa"/>
              <w:right w:w="57" w:type="dxa"/>
            </w:tcMar>
            <w:vAlign w:val="center"/>
          </w:tcPr>
          <w:p w:rsidR="006D6876" w:rsidRPr="009B5734" w:rsidRDefault="006D6876" w:rsidP="006D6876">
            <w:pPr>
              <w:ind w:left="10" w:hanging="10"/>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134" w:type="dxa"/>
            <w:tcBorders>
              <w:top w:val="double" w:sz="4" w:space="0" w:color="auto"/>
            </w:tcBorders>
            <w:tcMar>
              <w:top w:w="57" w:type="dxa"/>
              <w:left w:w="57" w:type="dxa"/>
              <w:bottom w:w="57" w:type="dxa"/>
              <w:right w:w="57" w:type="dxa"/>
            </w:tcMar>
          </w:tcPr>
          <w:p w:rsidR="006D6876" w:rsidRPr="009B5734" w:rsidRDefault="006D6876" w:rsidP="006D6876">
            <w:pPr>
              <w:ind w:left="0" w:firstLine="0"/>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276" w:type="dxa"/>
            <w:tcBorders>
              <w:top w:val="double" w:sz="4" w:space="0" w:color="auto"/>
            </w:tcBorders>
            <w:tcMar>
              <w:top w:w="57" w:type="dxa"/>
              <w:left w:w="57" w:type="dxa"/>
              <w:bottom w:w="57" w:type="dxa"/>
              <w:right w:w="57" w:type="dxa"/>
            </w:tcMar>
          </w:tcPr>
          <w:p w:rsidR="006D6876" w:rsidRPr="009B5734" w:rsidRDefault="006D6876" w:rsidP="006D6876">
            <w:pPr>
              <w:ind w:left="7" w:hanging="7"/>
              <w:jc w:val="center"/>
              <w:rPr>
                <w:rFonts w:ascii="Times New Roman" w:hAnsi="Times New Roman" w:cs="Times New Roman"/>
                <w:noProof/>
                <w:sz w:val="20"/>
                <w:szCs w:val="20"/>
              </w:rPr>
            </w:pPr>
            <w:r>
              <w:rPr>
                <w:rFonts w:ascii="Times New Roman" w:hAnsi="Times New Roman" w:cs="Times New Roman"/>
                <w:noProof/>
                <w:sz w:val="20"/>
                <w:szCs w:val="20"/>
              </w:rPr>
              <w:t>-</w:t>
            </w:r>
          </w:p>
        </w:tc>
      </w:tr>
      <w:tr w:rsidR="006D6876" w:rsidRPr="009B5734" w:rsidTr="00F12321">
        <w:tc>
          <w:tcPr>
            <w:tcW w:w="993" w:type="dxa"/>
            <w:vMerge/>
            <w:tcMar>
              <w:top w:w="57" w:type="dxa"/>
              <w:left w:w="57" w:type="dxa"/>
              <w:bottom w:w="57" w:type="dxa"/>
              <w:right w:w="57" w:type="dxa"/>
            </w:tcMar>
          </w:tcPr>
          <w:p w:rsidR="006D6876" w:rsidRDefault="006D6876" w:rsidP="00981615">
            <w:pPr>
              <w:ind w:left="0" w:firstLine="0"/>
              <w:rPr>
                <w:b/>
                <w:bCs/>
                <w:i/>
                <w:iCs/>
                <w:noProof/>
              </w:rPr>
            </w:pPr>
          </w:p>
        </w:tc>
        <w:tc>
          <w:tcPr>
            <w:tcW w:w="1610" w:type="dxa"/>
            <w:tcBorders>
              <w:top w:val="double" w:sz="4" w:space="0" w:color="auto"/>
              <w:right w:val="double" w:sz="4" w:space="0" w:color="auto"/>
            </w:tcBorders>
            <w:tcMar>
              <w:top w:w="57" w:type="dxa"/>
              <w:left w:w="57" w:type="dxa"/>
              <w:bottom w:w="57" w:type="dxa"/>
              <w:right w:w="57" w:type="dxa"/>
            </w:tcMar>
            <w:vAlign w:val="center"/>
          </w:tcPr>
          <w:p w:rsidR="006D6876" w:rsidRPr="009B5734" w:rsidRDefault="006D6876" w:rsidP="00981615">
            <w:pPr>
              <w:ind w:left="0" w:firstLine="0"/>
              <w:rPr>
                <w:rFonts w:ascii="Times New Roman" w:hAnsi="Times New Roman" w:cs="Times New Roman"/>
                <w:i/>
                <w:noProof/>
                <w:sz w:val="20"/>
                <w:szCs w:val="20"/>
              </w:rPr>
            </w:pPr>
            <w:r>
              <w:rPr>
                <w:rFonts w:ascii="Times New Roman" w:hAnsi="Times New Roman" w:cs="Times New Roman"/>
                <w:i/>
                <w:noProof/>
                <w:sz w:val="20"/>
                <w:szCs w:val="20"/>
              </w:rPr>
              <w:t>Direct enforcement costs</w:t>
            </w:r>
          </w:p>
        </w:tc>
        <w:tc>
          <w:tcPr>
            <w:tcW w:w="1134" w:type="dxa"/>
            <w:tcBorders>
              <w:top w:val="double" w:sz="4" w:space="0" w:color="auto"/>
              <w:left w:val="double" w:sz="4" w:space="0" w:color="auto"/>
            </w:tcBorders>
            <w:tcMar>
              <w:top w:w="57" w:type="dxa"/>
              <w:left w:w="57" w:type="dxa"/>
              <w:bottom w:w="57" w:type="dxa"/>
              <w:right w:w="57" w:type="dxa"/>
            </w:tcMar>
          </w:tcPr>
          <w:p w:rsidR="006D6876" w:rsidRPr="009B5734" w:rsidRDefault="006D6876" w:rsidP="00981615">
            <w:pPr>
              <w:tabs>
                <w:tab w:val="num" w:pos="425"/>
              </w:tabs>
              <w:rPr>
                <w:noProof/>
              </w:rPr>
            </w:pPr>
          </w:p>
        </w:tc>
        <w:tc>
          <w:tcPr>
            <w:tcW w:w="1446" w:type="dxa"/>
            <w:tcBorders>
              <w:top w:val="double" w:sz="4" w:space="0" w:color="auto"/>
            </w:tcBorders>
            <w:tcMar>
              <w:top w:w="57" w:type="dxa"/>
              <w:left w:w="57" w:type="dxa"/>
              <w:bottom w:w="57" w:type="dxa"/>
              <w:right w:w="57" w:type="dxa"/>
            </w:tcMar>
          </w:tcPr>
          <w:p w:rsidR="006D6876" w:rsidRPr="009B5734" w:rsidRDefault="006D6876" w:rsidP="00981615">
            <w:pPr>
              <w:ind w:left="0" w:hanging="9"/>
              <w:jc w:val="center"/>
              <w:rPr>
                <w:noProof/>
              </w:rPr>
            </w:pPr>
          </w:p>
        </w:tc>
        <w:tc>
          <w:tcPr>
            <w:tcW w:w="1408" w:type="dxa"/>
            <w:tcBorders>
              <w:top w:val="double" w:sz="4" w:space="0" w:color="auto"/>
            </w:tcBorders>
            <w:tcMar>
              <w:top w:w="57" w:type="dxa"/>
              <w:left w:w="57" w:type="dxa"/>
              <w:bottom w:w="57" w:type="dxa"/>
              <w:right w:w="57" w:type="dxa"/>
            </w:tcMar>
            <w:vAlign w:val="center"/>
          </w:tcPr>
          <w:p w:rsidR="006D6876" w:rsidRPr="009B5734" w:rsidRDefault="006D6876" w:rsidP="00981615">
            <w:pPr>
              <w:ind w:left="0" w:hanging="9"/>
              <w:jc w:val="center"/>
              <w:rPr>
                <w:rFonts w:ascii="Times New Roman" w:hAnsi="Times New Roman" w:cs="Times New Roman"/>
                <w:noProof/>
                <w:sz w:val="20"/>
                <w:szCs w:val="20"/>
              </w:rPr>
            </w:pPr>
          </w:p>
        </w:tc>
        <w:tc>
          <w:tcPr>
            <w:tcW w:w="1427" w:type="dxa"/>
            <w:tcBorders>
              <w:top w:val="double" w:sz="4" w:space="0" w:color="auto"/>
            </w:tcBorders>
            <w:tcMar>
              <w:top w:w="57" w:type="dxa"/>
              <w:left w:w="57" w:type="dxa"/>
              <w:bottom w:w="57" w:type="dxa"/>
              <w:right w:w="57" w:type="dxa"/>
            </w:tcMar>
            <w:vAlign w:val="center"/>
          </w:tcPr>
          <w:p w:rsidR="006D6876" w:rsidRPr="009B5734" w:rsidRDefault="006D6876" w:rsidP="00981615">
            <w:pPr>
              <w:ind w:left="10" w:hanging="10"/>
              <w:jc w:val="left"/>
              <w:rPr>
                <w:rFonts w:ascii="Times New Roman" w:hAnsi="Times New Roman" w:cs="Times New Roman"/>
                <w:noProof/>
                <w:sz w:val="20"/>
                <w:szCs w:val="20"/>
              </w:rPr>
            </w:pPr>
          </w:p>
        </w:tc>
        <w:tc>
          <w:tcPr>
            <w:tcW w:w="1134" w:type="dxa"/>
            <w:tcBorders>
              <w:top w:val="double" w:sz="4" w:space="0" w:color="auto"/>
            </w:tcBorders>
            <w:tcMar>
              <w:top w:w="57" w:type="dxa"/>
              <w:left w:w="57" w:type="dxa"/>
              <w:bottom w:w="57" w:type="dxa"/>
              <w:right w:w="57" w:type="dxa"/>
            </w:tcMar>
          </w:tcPr>
          <w:p w:rsidR="006D6876" w:rsidRPr="009B5734" w:rsidRDefault="006D6876" w:rsidP="006D6876">
            <w:pPr>
              <w:ind w:left="0" w:hanging="9"/>
              <w:jc w:val="left"/>
              <w:rPr>
                <w:rFonts w:ascii="Times New Roman" w:hAnsi="Times New Roman" w:cs="Times New Roman"/>
                <w:noProof/>
                <w:sz w:val="20"/>
                <w:szCs w:val="20"/>
              </w:rPr>
            </w:pPr>
            <w:r w:rsidRPr="009B5734">
              <w:rPr>
                <w:rFonts w:ascii="Times New Roman" w:hAnsi="Times New Roman" w:cs="Times New Roman"/>
                <w:noProof/>
                <w:sz w:val="20"/>
                <w:szCs w:val="20"/>
              </w:rPr>
              <w:t>Negligible</w:t>
            </w:r>
          </w:p>
          <w:p w:rsidR="006D6876" w:rsidRPr="009B5734" w:rsidRDefault="006D6876" w:rsidP="006D6876">
            <w:pPr>
              <w:ind w:left="0" w:hanging="9"/>
              <w:jc w:val="left"/>
              <w:rPr>
                <w:rFonts w:ascii="Times New Roman" w:hAnsi="Times New Roman" w:cs="Times New Roman"/>
                <w:noProof/>
                <w:sz w:val="20"/>
                <w:szCs w:val="20"/>
              </w:rPr>
            </w:pPr>
            <w:r w:rsidRPr="009B5734">
              <w:rPr>
                <w:rFonts w:ascii="Times New Roman" w:hAnsi="Times New Roman" w:cs="Times New Roman"/>
                <w:noProof/>
                <w:sz w:val="20"/>
                <w:szCs w:val="20"/>
              </w:rPr>
              <w:t>assuming full  economies of scale with the option 1.2.C (e.g.  costs for familiarisation)</w:t>
            </w:r>
          </w:p>
        </w:tc>
        <w:tc>
          <w:tcPr>
            <w:tcW w:w="1276" w:type="dxa"/>
            <w:tcBorders>
              <w:top w:val="double" w:sz="4" w:space="0" w:color="auto"/>
            </w:tcBorders>
            <w:tcMar>
              <w:top w:w="57" w:type="dxa"/>
              <w:left w:w="57" w:type="dxa"/>
              <w:bottom w:w="57" w:type="dxa"/>
              <w:right w:w="57" w:type="dxa"/>
            </w:tcMar>
          </w:tcPr>
          <w:p w:rsidR="006D6876" w:rsidRPr="009B5734" w:rsidRDefault="006D6876" w:rsidP="006D6876">
            <w:pPr>
              <w:ind w:left="7" w:hanging="7"/>
              <w:jc w:val="left"/>
              <w:rPr>
                <w:rFonts w:ascii="Times New Roman" w:hAnsi="Times New Roman" w:cs="Times New Roman"/>
                <w:noProof/>
                <w:sz w:val="20"/>
                <w:szCs w:val="20"/>
              </w:rPr>
            </w:pPr>
            <w:r w:rsidRPr="009B5734">
              <w:rPr>
                <w:rFonts w:ascii="Times New Roman" w:hAnsi="Times New Roman" w:cs="Times New Roman"/>
                <w:noProof/>
                <w:sz w:val="20"/>
                <w:szCs w:val="20"/>
              </w:rPr>
              <w:t>Negligible assuming full  economies of scale with the option 1.2.C (e.g. monitoring, inspections)</w:t>
            </w:r>
          </w:p>
          <w:p w:rsidR="006D6876" w:rsidRDefault="006D6876" w:rsidP="00981615">
            <w:pPr>
              <w:ind w:left="7" w:hanging="7"/>
              <w:jc w:val="left"/>
              <w:rPr>
                <w:rFonts w:ascii="Times New Roman" w:hAnsi="Times New Roman" w:cs="Times New Roman"/>
                <w:noProof/>
                <w:sz w:val="20"/>
                <w:szCs w:val="20"/>
              </w:rPr>
            </w:pPr>
          </w:p>
        </w:tc>
      </w:tr>
    </w:tbl>
    <w:tbl>
      <w:tblPr>
        <w:tblStyle w:val="CV11"/>
        <w:tblW w:w="10428"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93"/>
        <w:gridCol w:w="1610"/>
        <w:gridCol w:w="1134"/>
        <w:gridCol w:w="1446"/>
        <w:gridCol w:w="1408"/>
        <w:gridCol w:w="1427"/>
        <w:gridCol w:w="1134"/>
        <w:gridCol w:w="1276"/>
      </w:tblGrid>
      <w:tr w:rsidR="00215F89" w:rsidRPr="009B5734" w:rsidTr="6B053803">
        <w:tc>
          <w:tcPr>
            <w:tcW w:w="993" w:type="dxa"/>
            <w:tcMar>
              <w:top w:w="57" w:type="dxa"/>
              <w:left w:w="57" w:type="dxa"/>
              <w:bottom w:w="57" w:type="dxa"/>
              <w:right w:w="57" w:type="dxa"/>
            </w:tcMar>
          </w:tcPr>
          <w:p w:rsidR="00EA45F9" w:rsidRPr="009B5734" w:rsidRDefault="00EA45F9" w:rsidP="00981615">
            <w:pPr>
              <w:tabs>
                <w:tab w:val="num" w:pos="425"/>
              </w:tabs>
              <w:rPr>
                <w:noProof/>
              </w:rPr>
            </w:pPr>
          </w:p>
        </w:tc>
        <w:tc>
          <w:tcPr>
            <w:tcW w:w="1610" w:type="dxa"/>
            <w:tcBorders>
              <w:right w:val="double" w:sz="4" w:space="0" w:color="auto"/>
            </w:tcBorders>
            <w:tcMar>
              <w:top w:w="57" w:type="dxa"/>
              <w:left w:w="57" w:type="dxa"/>
              <w:bottom w:w="57" w:type="dxa"/>
              <w:right w:w="57" w:type="dxa"/>
            </w:tcMar>
          </w:tcPr>
          <w:p w:rsidR="00EA45F9" w:rsidRPr="009B5734" w:rsidRDefault="00EA45F9" w:rsidP="00981615">
            <w:pPr>
              <w:ind w:left="0" w:firstLine="0"/>
              <w:rPr>
                <w:i/>
                <w:noProof/>
              </w:rPr>
            </w:pPr>
            <w:r w:rsidRPr="009B5734">
              <w:rPr>
                <w:i/>
                <w:noProof/>
              </w:rPr>
              <w:t>Indirect costs</w:t>
            </w:r>
          </w:p>
        </w:tc>
        <w:tc>
          <w:tcPr>
            <w:tcW w:w="1134" w:type="dxa"/>
            <w:tcBorders>
              <w:left w:val="double" w:sz="4" w:space="0" w:color="auto"/>
            </w:tcBorders>
            <w:tcMar>
              <w:top w:w="57" w:type="dxa"/>
              <w:left w:w="57" w:type="dxa"/>
              <w:bottom w:w="57" w:type="dxa"/>
              <w:right w:w="57" w:type="dxa"/>
            </w:tcMar>
          </w:tcPr>
          <w:p w:rsidR="00EA45F9" w:rsidRPr="009B5734" w:rsidRDefault="00EA45F9" w:rsidP="00981615">
            <w:pPr>
              <w:tabs>
                <w:tab w:val="num" w:pos="425"/>
              </w:tabs>
              <w:rPr>
                <w:noProof/>
              </w:rPr>
            </w:pPr>
          </w:p>
        </w:tc>
        <w:tc>
          <w:tcPr>
            <w:tcW w:w="1446" w:type="dxa"/>
            <w:tcMar>
              <w:top w:w="57" w:type="dxa"/>
              <w:left w:w="57" w:type="dxa"/>
              <w:bottom w:w="57" w:type="dxa"/>
              <w:right w:w="57" w:type="dxa"/>
            </w:tcMar>
          </w:tcPr>
          <w:p w:rsidR="00EA45F9" w:rsidRPr="009B5734" w:rsidRDefault="00EA45F9" w:rsidP="00981615">
            <w:pPr>
              <w:tabs>
                <w:tab w:val="num" w:pos="425"/>
              </w:tabs>
              <w:rPr>
                <w:noProof/>
              </w:rPr>
            </w:pPr>
          </w:p>
        </w:tc>
        <w:tc>
          <w:tcPr>
            <w:tcW w:w="1408" w:type="dxa"/>
            <w:tcMar>
              <w:top w:w="57" w:type="dxa"/>
              <w:left w:w="57" w:type="dxa"/>
              <w:bottom w:w="57" w:type="dxa"/>
              <w:right w:w="57" w:type="dxa"/>
            </w:tcMar>
            <w:vAlign w:val="center"/>
          </w:tcPr>
          <w:p w:rsidR="00EA45F9" w:rsidRPr="009B5734" w:rsidRDefault="00EA45F9" w:rsidP="00981615">
            <w:pPr>
              <w:tabs>
                <w:tab w:val="num" w:pos="425"/>
              </w:tabs>
              <w:jc w:val="center"/>
              <w:rPr>
                <w:noProof/>
              </w:rPr>
            </w:pPr>
            <w:r w:rsidRPr="009B5734">
              <w:rPr>
                <w:noProof/>
              </w:rPr>
              <w:t>-</w:t>
            </w:r>
          </w:p>
        </w:tc>
        <w:tc>
          <w:tcPr>
            <w:tcW w:w="1427" w:type="dxa"/>
            <w:tcMar>
              <w:top w:w="57" w:type="dxa"/>
              <w:left w:w="57" w:type="dxa"/>
              <w:bottom w:w="57" w:type="dxa"/>
              <w:right w:w="57" w:type="dxa"/>
            </w:tcMar>
            <w:vAlign w:val="center"/>
          </w:tcPr>
          <w:p w:rsidR="00EA45F9" w:rsidRPr="009B5734" w:rsidRDefault="00EA45F9" w:rsidP="00981615">
            <w:pPr>
              <w:ind w:left="10" w:hanging="10"/>
              <w:jc w:val="left"/>
              <w:rPr>
                <w:noProof/>
              </w:rPr>
            </w:pPr>
            <w:r w:rsidRPr="009B5734">
              <w:rPr>
                <w:noProof/>
              </w:rPr>
              <w:t>-</w:t>
            </w:r>
          </w:p>
        </w:tc>
        <w:tc>
          <w:tcPr>
            <w:tcW w:w="1134" w:type="dxa"/>
            <w:tcMar>
              <w:top w:w="57" w:type="dxa"/>
              <w:left w:w="57" w:type="dxa"/>
              <w:bottom w:w="57" w:type="dxa"/>
              <w:right w:w="57" w:type="dxa"/>
            </w:tcMar>
            <w:vAlign w:val="center"/>
          </w:tcPr>
          <w:p w:rsidR="00EA45F9" w:rsidRPr="009B5734" w:rsidRDefault="00EA45F9" w:rsidP="00981615">
            <w:pPr>
              <w:tabs>
                <w:tab w:val="num" w:pos="425"/>
              </w:tabs>
              <w:jc w:val="center"/>
              <w:rPr>
                <w:noProof/>
              </w:rPr>
            </w:pPr>
            <w:r w:rsidRPr="009B5734">
              <w:rPr>
                <w:noProof/>
              </w:rPr>
              <w:t>-</w:t>
            </w:r>
          </w:p>
        </w:tc>
        <w:tc>
          <w:tcPr>
            <w:tcW w:w="1276" w:type="dxa"/>
            <w:tcMar>
              <w:top w:w="57" w:type="dxa"/>
              <w:left w:w="57" w:type="dxa"/>
              <w:bottom w:w="57" w:type="dxa"/>
              <w:right w:w="57" w:type="dxa"/>
            </w:tcMar>
            <w:vAlign w:val="center"/>
          </w:tcPr>
          <w:p w:rsidR="00EA45F9" w:rsidRPr="009B5734" w:rsidRDefault="00EA45F9" w:rsidP="00981615">
            <w:pPr>
              <w:ind w:left="7" w:hanging="7"/>
              <w:jc w:val="center"/>
              <w:rPr>
                <w:noProof/>
              </w:rPr>
            </w:pPr>
            <w:r w:rsidRPr="009B5734">
              <w:rPr>
                <w:noProof/>
              </w:rPr>
              <w:t>-</w:t>
            </w:r>
          </w:p>
        </w:tc>
      </w:tr>
    </w:tbl>
    <w:tbl>
      <w:tblPr>
        <w:tblW w:w="10428" w:type="dxa"/>
        <w:tblInd w:w="-5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93"/>
        <w:gridCol w:w="1610"/>
        <w:gridCol w:w="1134"/>
        <w:gridCol w:w="1446"/>
        <w:gridCol w:w="1408"/>
        <w:gridCol w:w="1427"/>
        <w:gridCol w:w="1134"/>
        <w:gridCol w:w="1276"/>
      </w:tblGrid>
      <w:tr w:rsidR="006D6876" w:rsidRPr="009B5734" w:rsidTr="00611D38">
        <w:trPr>
          <w:trHeight w:val="307"/>
        </w:trPr>
        <w:tc>
          <w:tcPr>
            <w:tcW w:w="993" w:type="dxa"/>
            <w:vMerge w:val="restart"/>
            <w:tcMar>
              <w:top w:w="57" w:type="dxa"/>
              <w:left w:w="57" w:type="dxa"/>
              <w:bottom w:w="57" w:type="dxa"/>
              <w:right w:w="57" w:type="dxa"/>
            </w:tcMar>
          </w:tcPr>
          <w:p w:rsidR="006D6876" w:rsidRPr="009B5734" w:rsidRDefault="006D6876" w:rsidP="00981615">
            <w:pPr>
              <w:ind w:left="0" w:firstLine="0"/>
              <w:rPr>
                <w:rFonts w:ascii="Times New Roman" w:hAnsi="Times New Roman" w:cs="Times New Roman"/>
                <w:i/>
                <w:noProof/>
                <w:sz w:val="20"/>
                <w:szCs w:val="20"/>
              </w:rPr>
            </w:pPr>
            <w:r w:rsidRPr="009B5734">
              <w:rPr>
                <w:rFonts w:ascii="Times New Roman" w:hAnsi="Times New Roman" w:cs="Times New Roman"/>
                <w:b/>
                <w:i/>
                <w:noProof/>
                <w:sz w:val="20"/>
                <w:szCs w:val="20"/>
              </w:rPr>
              <w:t>Option 2.1.B: Ban of certain identified practices associated with early obsolescence</w:t>
            </w:r>
          </w:p>
          <w:p w:rsidR="006D6876" w:rsidRPr="009B5734" w:rsidRDefault="006D6876" w:rsidP="00981615">
            <w:pPr>
              <w:ind w:left="0" w:firstLine="0"/>
              <w:rPr>
                <w:rFonts w:ascii="Times New Roman" w:hAnsi="Times New Roman" w:cs="Times New Roman"/>
                <w:b/>
                <w:i/>
                <w:noProof/>
                <w:sz w:val="20"/>
                <w:szCs w:val="20"/>
              </w:rPr>
            </w:pPr>
          </w:p>
          <w:p w:rsidR="006D6876" w:rsidRPr="009B5734" w:rsidRDefault="006D6876" w:rsidP="00981615">
            <w:pPr>
              <w:ind w:left="0" w:firstLine="0"/>
              <w:rPr>
                <w:rFonts w:ascii="Times New Roman" w:hAnsi="Times New Roman" w:cs="Times New Roman"/>
                <w:b/>
                <w:i/>
                <w:noProof/>
                <w:sz w:val="20"/>
                <w:szCs w:val="20"/>
              </w:rPr>
            </w:pPr>
          </w:p>
          <w:p w:rsidR="006D6876" w:rsidRPr="009B5734" w:rsidRDefault="006D6876" w:rsidP="006D6876">
            <w:pPr>
              <w:ind w:left="0" w:firstLine="0"/>
              <w:rPr>
                <w:rFonts w:ascii="Times New Roman" w:hAnsi="Times New Roman" w:cs="Times New Roman"/>
                <w:i/>
                <w:noProof/>
                <w:sz w:val="20"/>
                <w:szCs w:val="20"/>
              </w:rPr>
            </w:pPr>
          </w:p>
        </w:tc>
        <w:tc>
          <w:tcPr>
            <w:tcW w:w="1610" w:type="dxa"/>
            <w:tcBorders>
              <w:right w:val="double" w:sz="4" w:space="0" w:color="auto"/>
            </w:tcBorders>
            <w:tcMar>
              <w:top w:w="57" w:type="dxa"/>
              <w:left w:w="57" w:type="dxa"/>
              <w:bottom w:w="57" w:type="dxa"/>
              <w:right w:w="57" w:type="dxa"/>
            </w:tcMar>
            <w:vAlign w:val="center"/>
          </w:tcPr>
          <w:p w:rsidR="006D6876" w:rsidRPr="009B5734" w:rsidRDefault="006D6876" w:rsidP="00981615">
            <w:pPr>
              <w:ind w:left="0" w:firstLine="0"/>
              <w:rPr>
                <w:rFonts w:ascii="Times New Roman" w:hAnsi="Times New Roman" w:cs="Times New Roman"/>
                <w:noProof/>
                <w:sz w:val="20"/>
                <w:szCs w:val="20"/>
              </w:rPr>
            </w:pPr>
            <w:r w:rsidRPr="009B5734">
              <w:rPr>
                <w:rFonts w:ascii="Times New Roman" w:hAnsi="Times New Roman" w:cs="Times New Roman"/>
                <w:i/>
                <w:noProof/>
                <w:sz w:val="20"/>
                <w:szCs w:val="20"/>
              </w:rPr>
              <w:t xml:space="preserve">Direct </w:t>
            </w:r>
            <w:r>
              <w:rPr>
                <w:rFonts w:ascii="Times New Roman" w:hAnsi="Times New Roman" w:cs="Times New Roman"/>
                <w:i/>
                <w:noProof/>
                <w:sz w:val="20"/>
                <w:szCs w:val="20"/>
              </w:rPr>
              <w:t xml:space="preserve">adjustment </w:t>
            </w:r>
            <w:r w:rsidRPr="009B5734">
              <w:rPr>
                <w:rFonts w:ascii="Times New Roman" w:hAnsi="Times New Roman" w:cs="Times New Roman"/>
                <w:i/>
                <w:noProof/>
                <w:sz w:val="20"/>
                <w:szCs w:val="20"/>
              </w:rPr>
              <w:t>costs</w:t>
            </w:r>
          </w:p>
          <w:p w:rsidR="006D6876" w:rsidRPr="009B5734" w:rsidRDefault="006D6876" w:rsidP="00981615">
            <w:pPr>
              <w:ind w:left="0" w:firstLine="0"/>
              <w:rPr>
                <w:rFonts w:ascii="Times New Roman" w:hAnsi="Times New Roman" w:cs="Times New Roman"/>
                <w:noProof/>
                <w:sz w:val="20"/>
                <w:szCs w:val="20"/>
              </w:rPr>
            </w:pPr>
          </w:p>
        </w:tc>
        <w:tc>
          <w:tcPr>
            <w:tcW w:w="1134" w:type="dxa"/>
            <w:tcBorders>
              <w:left w:val="double" w:sz="4" w:space="0" w:color="auto"/>
            </w:tcBorders>
            <w:tcMar>
              <w:top w:w="57" w:type="dxa"/>
              <w:left w:w="57" w:type="dxa"/>
              <w:bottom w:w="57" w:type="dxa"/>
              <w:right w:w="57" w:type="dxa"/>
            </w:tcMar>
          </w:tcPr>
          <w:p w:rsidR="006D6876" w:rsidRPr="009B5734" w:rsidRDefault="006D6876" w:rsidP="00981615">
            <w:pPr>
              <w:tabs>
                <w:tab w:val="num" w:pos="425"/>
              </w:tabs>
              <w:rPr>
                <w:rFonts w:ascii="Times New Roman" w:hAnsi="Times New Roman" w:cs="Times New Roman"/>
                <w:noProof/>
                <w:sz w:val="20"/>
                <w:szCs w:val="20"/>
              </w:rPr>
            </w:pPr>
          </w:p>
        </w:tc>
        <w:tc>
          <w:tcPr>
            <w:tcW w:w="1446" w:type="dxa"/>
            <w:tcMar>
              <w:top w:w="57" w:type="dxa"/>
              <w:left w:w="57" w:type="dxa"/>
              <w:bottom w:w="57" w:type="dxa"/>
              <w:right w:w="57" w:type="dxa"/>
            </w:tcMar>
          </w:tcPr>
          <w:p w:rsidR="006D6876" w:rsidRPr="009B5734" w:rsidRDefault="006D6876" w:rsidP="00981615">
            <w:pPr>
              <w:tabs>
                <w:tab w:val="num" w:pos="425"/>
              </w:tabs>
              <w:rPr>
                <w:rFonts w:ascii="Times New Roman" w:hAnsi="Times New Roman" w:cs="Times New Roman"/>
                <w:noProof/>
                <w:sz w:val="20"/>
                <w:szCs w:val="20"/>
              </w:rPr>
            </w:pPr>
          </w:p>
        </w:tc>
        <w:tc>
          <w:tcPr>
            <w:tcW w:w="1408" w:type="dxa"/>
            <w:tcMar>
              <w:top w:w="57" w:type="dxa"/>
              <w:left w:w="57" w:type="dxa"/>
              <w:bottom w:w="57" w:type="dxa"/>
              <w:right w:w="57" w:type="dxa"/>
            </w:tcMar>
            <w:vAlign w:val="center"/>
          </w:tcPr>
          <w:p w:rsidR="006D6876" w:rsidRPr="009B5734" w:rsidRDefault="006D6876" w:rsidP="00981615">
            <w:pPr>
              <w:ind w:left="0" w:hanging="9"/>
              <w:jc w:val="center"/>
              <w:rPr>
                <w:rFonts w:ascii="Times New Roman" w:hAnsi="Times New Roman" w:cs="Times New Roman"/>
                <w:noProof/>
                <w:sz w:val="20"/>
                <w:szCs w:val="20"/>
              </w:rPr>
            </w:pPr>
            <w:r w:rsidRPr="009B5734">
              <w:rPr>
                <w:rFonts w:ascii="Times New Roman" w:hAnsi="Times New Roman" w:cs="Times New Roman"/>
                <w:noProof/>
                <w:sz w:val="20"/>
                <w:szCs w:val="20"/>
              </w:rPr>
              <w:t>Total: ~EUR 167 – 170 million</w:t>
            </w:r>
          </w:p>
          <w:p w:rsidR="006D6876" w:rsidRPr="009B5734" w:rsidRDefault="006D6876" w:rsidP="00981615">
            <w:pPr>
              <w:ind w:left="0" w:hanging="9"/>
              <w:jc w:val="center"/>
              <w:rPr>
                <w:rFonts w:ascii="Times New Roman" w:hAnsi="Times New Roman" w:cs="Times New Roman"/>
                <w:noProof/>
                <w:sz w:val="20"/>
                <w:szCs w:val="20"/>
              </w:rPr>
            </w:pPr>
          </w:p>
          <w:p w:rsidR="006D6876" w:rsidRPr="009B5734" w:rsidRDefault="006D6876" w:rsidP="00981615">
            <w:pPr>
              <w:ind w:left="0" w:hanging="9"/>
              <w:jc w:val="center"/>
              <w:rPr>
                <w:rFonts w:ascii="Times New Roman" w:hAnsi="Times New Roman" w:cs="Times New Roman"/>
                <w:noProof/>
                <w:sz w:val="20"/>
                <w:szCs w:val="20"/>
              </w:rPr>
            </w:pPr>
            <w:r w:rsidRPr="009B5734">
              <w:rPr>
                <w:rFonts w:ascii="Times New Roman" w:hAnsi="Times New Roman" w:cs="Times New Roman"/>
                <w:noProof/>
                <w:sz w:val="20"/>
                <w:szCs w:val="20"/>
              </w:rPr>
              <w:t>Per company: ~EUR 1099 – 1 119</w:t>
            </w:r>
          </w:p>
        </w:tc>
        <w:tc>
          <w:tcPr>
            <w:tcW w:w="1427" w:type="dxa"/>
            <w:tcMar>
              <w:top w:w="57" w:type="dxa"/>
              <w:left w:w="57" w:type="dxa"/>
              <w:bottom w:w="57" w:type="dxa"/>
              <w:right w:w="57" w:type="dxa"/>
            </w:tcMar>
            <w:vAlign w:val="center"/>
          </w:tcPr>
          <w:p w:rsidR="006D6876" w:rsidRPr="009B5734" w:rsidRDefault="006D6876" w:rsidP="00981615">
            <w:pPr>
              <w:ind w:left="10" w:hanging="10"/>
              <w:jc w:val="left"/>
              <w:rPr>
                <w:rFonts w:ascii="Times New Roman" w:hAnsi="Times New Roman" w:cs="Times New Roman"/>
                <w:noProof/>
                <w:sz w:val="20"/>
                <w:szCs w:val="20"/>
              </w:rPr>
            </w:pPr>
            <w:r w:rsidRPr="009B5734">
              <w:rPr>
                <w:rFonts w:ascii="Times New Roman" w:hAnsi="Times New Roman" w:cs="Times New Roman"/>
                <w:noProof/>
                <w:sz w:val="20"/>
                <w:szCs w:val="20"/>
              </w:rPr>
              <w:t>Annual (average in the period 2025-2040): ~EUR 88 – 125 million</w:t>
            </w:r>
          </w:p>
          <w:p w:rsidR="006D6876" w:rsidRPr="009B5734" w:rsidRDefault="006D6876" w:rsidP="00981615">
            <w:pPr>
              <w:ind w:left="10" w:hanging="10"/>
              <w:jc w:val="left"/>
              <w:rPr>
                <w:rFonts w:ascii="Times New Roman" w:hAnsi="Times New Roman" w:cs="Times New Roman"/>
                <w:noProof/>
                <w:sz w:val="20"/>
                <w:szCs w:val="20"/>
              </w:rPr>
            </w:pPr>
          </w:p>
          <w:p w:rsidR="006D6876" w:rsidRPr="009B5734" w:rsidRDefault="006D6876" w:rsidP="00981615">
            <w:pPr>
              <w:ind w:left="10" w:hanging="10"/>
              <w:jc w:val="left"/>
              <w:rPr>
                <w:rFonts w:ascii="Times New Roman" w:hAnsi="Times New Roman" w:cs="Times New Roman"/>
                <w:noProof/>
                <w:sz w:val="20"/>
                <w:szCs w:val="20"/>
              </w:rPr>
            </w:pPr>
            <w:r w:rsidRPr="009B5734">
              <w:rPr>
                <w:rFonts w:ascii="Times New Roman" w:hAnsi="Times New Roman" w:cs="Times New Roman"/>
                <w:noProof/>
                <w:sz w:val="20"/>
                <w:szCs w:val="20"/>
              </w:rPr>
              <w:t>Annual per company (average in the period 2025-2040): ~EUR 528 - 825</w:t>
            </w:r>
          </w:p>
          <w:p w:rsidR="006D6876" w:rsidRPr="009B5734" w:rsidRDefault="006D6876" w:rsidP="00981615">
            <w:pPr>
              <w:ind w:left="10" w:hanging="10"/>
              <w:jc w:val="left"/>
              <w:rPr>
                <w:rFonts w:ascii="Times New Roman" w:hAnsi="Times New Roman" w:cs="Times New Roman"/>
                <w:noProof/>
                <w:sz w:val="20"/>
                <w:szCs w:val="20"/>
              </w:rPr>
            </w:pPr>
          </w:p>
          <w:p w:rsidR="006D6876" w:rsidRPr="009B5734" w:rsidRDefault="006D6876" w:rsidP="00981615">
            <w:pPr>
              <w:ind w:left="10" w:hanging="10"/>
              <w:jc w:val="left"/>
              <w:rPr>
                <w:rFonts w:ascii="Times New Roman" w:hAnsi="Times New Roman" w:cs="Times New Roman"/>
                <w:noProof/>
                <w:sz w:val="20"/>
                <w:szCs w:val="20"/>
              </w:rPr>
            </w:pPr>
            <w:r w:rsidRPr="009B5734">
              <w:rPr>
                <w:rFonts w:ascii="Times New Roman" w:hAnsi="Times New Roman" w:cs="Times New Roman"/>
                <w:noProof/>
                <w:sz w:val="20"/>
                <w:szCs w:val="20"/>
              </w:rPr>
              <w:t>Total (present value for 2025-2040): ~1 023 – 1 460 million</w:t>
            </w:r>
          </w:p>
        </w:tc>
        <w:tc>
          <w:tcPr>
            <w:tcW w:w="1134" w:type="dxa"/>
            <w:tcMar>
              <w:top w:w="57" w:type="dxa"/>
              <w:left w:w="57" w:type="dxa"/>
              <w:bottom w:w="57" w:type="dxa"/>
              <w:right w:w="57" w:type="dxa"/>
            </w:tcMar>
            <w:vAlign w:val="center"/>
          </w:tcPr>
          <w:p w:rsidR="006D6876" w:rsidRPr="009B5734" w:rsidRDefault="006D6876" w:rsidP="00981615">
            <w:pPr>
              <w:ind w:left="0" w:hanging="9"/>
              <w:jc w:val="center"/>
              <w:rPr>
                <w:rFonts w:ascii="Times New Roman" w:hAnsi="Times New Roman" w:cs="Times New Roman"/>
                <w:noProof/>
                <w:sz w:val="20"/>
                <w:szCs w:val="20"/>
              </w:rPr>
            </w:pPr>
          </w:p>
        </w:tc>
        <w:tc>
          <w:tcPr>
            <w:tcW w:w="1276" w:type="dxa"/>
            <w:tcMar>
              <w:top w:w="57" w:type="dxa"/>
              <w:left w:w="57" w:type="dxa"/>
              <w:bottom w:w="57" w:type="dxa"/>
              <w:right w:w="57" w:type="dxa"/>
            </w:tcMar>
            <w:vAlign w:val="center"/>
          </w:tcPr>
          <w:p w:rsidR="006D6876" w:rsidRPr="009B5734" w:rsidRDefault="006D6876" w:rsidP="00981615">
            <w:pPr>
              <w:ind w:left="7" w:hanging="7"/>
              <w:jc w:val="left"/>
              <w:rPr>
                <w:rFonts w:ascii="Times New Roman" w:hAnsi="Times New Roman" w:cs="Times New Roman"/>
                <w:noProof/>
                <w:sz w:val="20"/>
                <w:szCs w:val="20"/>
              </w:rPr>
            </w:pPr>
          </w:p>
        </w:tc>
      </w:tr>
      <w:tr w:rsidR="006D6876" w:rsidRPr="009B5734" w:rsidTr="00611D38">
        <w:trPr>
          <w:trHeight w:val="307"/>
        </w:trPr>
        <w:tc>
          <w:tcPr>
            <w:tcW w:w="993" w:type="dxa"/>
            <w:vMerge/>
            <w:tcMar>
              <w:top w:w="57" w:type="dxa"/>
              <w:left w:w="57" w:type="dxa"/>
              <w:bottom w:w="57" w:type="dxa"/>
              <w:right w:w="57" w:type="dxa"/>
            </w:tcMar>
          </w:tcPr>
          <w:p w:rsidR="006D6876" w:rsidRPr="009B5734" w:rsidRDefault="006D6876" w:rsidP="006D6876">
            <w:pPr>
              <w:ind w:left="0" w:firstLine="0"/>
              <w:rPr>
                <w:rFonts w:ascii="Times New Roman" w:hAnsi="Times New Roman" w:cs="Times New Roman"/>
                <w:b/>
                <w:i/>
                <w:noProof/>
                <w:sz w:val="20"/>
                <w:szCs w:val="20"/>
              </w:rPr>
            </w:pPr>
          </w:p>
        </w:tc>
        <w:tc>
          <w:tcPr>
            <w:tcW w:w="1610" w:type="dxa"/>
            <w:tcBorders>
              <w:right w:val="double" w:sz="4" w:space="0" w:color="auto"/>
            </w:tcBorders>
            <w:tcMar>
              <w:top w:w="57" w:type="dxa"/>
              <w:left w:w="57" w:type="dxa"/>
              <w:bottom w:w="57" w:type="dxa"/>
              <w:right w:w="57" w:type="dxa"/>
            </w:tcMar>
            <w:vAlign w:val="center"/>
          </w:tcPr>
          <w:p w:rsidR="006D6876" w:rsidRPr="009B5734" w:rsidRDefault="006D6876" w:rsidP="00981615">
            <w:pPr>
              <w:ind w:left="0" w:firstLine="0"/>
              <w:rPr>
                <w:rFonts w:ascii="Times New Roman" w:hAnsi="Times New Roman" w:cs="Times New Roman"/>
                <w:i/>
                <w:noProof/>
                <w:sz w:val="20"/>
                <w:szCs w:val="20"/>
              </w:rPr>
            </w:pPr>
            <w:r>
              <w:rPr>
                <w:rFonts w:ascii="Times New Roman" w:hAnsi="Times New Roman" w:cs="Times New Roman"/>
                <w:i/>
                <w:noProof/>
                <w:sz w:val="20"/>
                <w:szCs w:val="20"/>
              </w:rPr>
              <w:t>Direct administrative costs</w:t>
            </w:r>
          </w:p>
        </w:tc>
        <w:tc>
          <w:tcPr>
            <w:tcW w:w="1134" w:type="dxa"/>
            <w:tcBorders>
              <w:left w:val="double" w:sz="4" w:space="0" w:color="auto"/>
            </w:tcBorders>
            <w:tcMar>
              <w:top w:w="57" w:type="dxa"/>
              <w:left w:w="57" w:type="dxa"/>
              <w:bottom w:w="57" w:type="dxa"/>
              <w:right w:w="57" w:type="dxa"/>
            </w:tcMar>
          </w:tcPr>
          <w:p w:rsidR="006D6876" w:rsidRPr="009B5734" w:rsidRDefault="006D6876" w:rsidP="00981615">
            <w:pPr>
              <w:tabs>
                <w:tab w:val="num" w:pos="425"/>
              </w:tabs>
              <w:rPr>
                <w:rFonts w:ascii="Times New Roman" w:hAnsi="Times New Roman" w:cs="Times New Roman"/>
                <w:noProof/>
                <w:sz w:val="20"/>
                <w:szCs w:val="20"/>
              </w:rPr>
            </w:pPr>
          </w:p>
        </w:tc>
        <w:tc>
          <w:tcPr>
            <w:tcW w:w="1446" w:type="dxa"/>
            <w:tcMar>
              <w:top w:w="57" w:type="dxa"/>
              <w:left w:w="57" w:type="dxa"/>
              <w:bottom w:w="57" w:type="dxa"/>
              <w:right w:w="57" w:type="dxa"/>
            </w:tcMar>
          </w:tcPr>
          <w:p w:rsidR="006D6876" w:rsidRPr="009B5734" w:rsidRDefault="006D6876" w:rsidP="00981615">
            <w:pPr>
              <w:tabs>
                <w:tab w:val="num" w:pos="425"/>
              </w:tabs>
              <w:rPr>
                <w:rFonts w:ascii="Times New Roman" w:hAnsi="Times New Roman" w:cs="Times New Roman"/>
                <w:noProof/>
                <w:sz w:val="20"/>
                <w:szCs w:val="20"/>
              </w:rPr>
            </w:pPr>
          </w:p>
        </w:tc>
        <w:tc>
          <w:tcPr>
            <w:tcW w:w="1408" w:type="dxa"/>
            <w:tcMar>
              <w:top w:w="57" w:type="dxa"/>
              <w:left w:w="57" w:type="dxa"/>
              <w:bottom w:w="57" w:type="dxa"/>
              <w:right w:w="57" w:type="dxa"/>
            </w:tcMar>
            <w:vAlign w:val="center"/>
          </w:tcPr>
          <w:p w:rsidR="006D6876" w:rsidRPr="009B5734" w:rsidRDefault="006D6876" w:rsidP="00981615">
            <w:pPr>
              <w:ind w:left="0" w:hanging="9"/>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427" w:type="dxa"/>
            <w:tcMar>
              <w:top w:w="57" w:type="dxa"/>
              <w:left w:w="57" w:type="dxa"/>
              <w:bottom w:w="57" w:type="dxa"/>
              <w:right w:w="57" w:type="dxa"/>
            </w:tcMar>
            <w:vAlign w:val="center"/>
          </w:tcPr>
          <w:p w:rsidR="006D6876" w:rsidRPr="009B5734" w:rsidRDefault="006D6876" w:rsidP="006D6876">
            <w:pPr>
              <w:ind w:left="10" w:hanging="10"/>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134" w:type="dxa"/>
            <w:tcMar>
              <w:top w:w="57" w:type="dxa"/>
              <w:left w:w="57" w:type="dxa"/>
              <w:bottom w:w="57" w:type="dxa"/>
              <w:right w:w="57" w:type="dxa"/>
            </w:tcMar>
            <w:vAlign w:val="center"/>
          </w:tcPr>
          <w:p w:rsidR="006D6876" w:rsidRPr="009B5734" w:rsidRDefault="006D6876" w:rsidP="006D6876">
            <w:pPr>
              <w:ind w:left="0" w:hanging="9"/>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276" w:type="dxa"/>
            <w:tcMar>
              <w:top w:w="57" w:type="dxa"/>
              <w:left w:w="57" w:type="dxa"/>
              <w:bottom w:w="57" w:type="dxa"/>
              <w:right w:w="57" w:type="dxa"/>
            </w:tcMar>
            <w:vAlign w:val="center"/>
          </w:tcPr>
          <w:p w:rsidR="006D6876" w:rsidRPr="009B5734" w:rsidRDefault="006D6876" w:rsidP="006D6876">
            <w:pPr>
              <w:ind w:left="10" w:hanging="10"/>
              <w:jc w:val="center"/>
              <w:rPr>
                <w:rFonts w:ascii="Times New Roman" w:hAnsi="Times New Roman" w:cs="Times New Roman"/>
                <w:noProof/>
                <w:sz w:val="20"/>
                <w:szCs w:val="20"/>
              </w:rPr>
            </w:pPr>
            <w:r>
              <w:rPr>
                <w:rFonts w:ascii="Times New Roman" w:hAnsi="Times New Roman" w:cs="Times New Roman"/>
                <w:noProof/>
                <w:sz w:val="20"/>
                <w:szCs w:val="20"/>
              </w:rPr>
              <w:t>-</w:t>
            </w:r>
          </w:p>
        </w:tc>
      </w:tr>
      <w:tr w:rsidR="006D6876" w:rsidRPr="009B5734" w:rsidTr="00611D38">
        <w:trPr>
          <w:trHeight w:val="307"/>
        </w:trPr>
        <w:tc>
          <w:tcPr>
            <w:tcW w:w="993" w:type="dxa"/>
            <w:vMerge/>
            <w:tcMar>
              <w:top w:w="57" w:type="dxa"/>
              <w:left w:w="57" w:type="dxa"/>
              <w:bottom w:w="57" w:type="dxa"/>
              <w:right w:w="57" w:type="dxa"/>
            </w:tcMar>
          </w:tcPr>
          <w:p w:rsidR="006D6876" w:rsidRPr="009B5734" w:rsidRDefault="006D6876" w:rsidP="006D6876">
            <w:pPr>
              <w:ind w:left="0" w:firstLine="0"/>
              <w:rPr>
                <w:rFonts w:ascii="Times New Roman" w:hAnsi="Times New Roman" w:cs="Times New Roman"/>
                <w:b/>
                <w:i/>
                <w:noProof/>
                <w:sz w:val="20"/>
                <w:szCs w:val="20"/>
              </w:rPr>
            </w:pPr>
          </w:p>
        </w:tc>
        <w:tc>
          <w:tcPr>
            <w:tcW w:w="1610" w:type="dxa"/>
            <w:tcBorders>
              <w:right w:val="double" w:sz="4" w:space="0" w:color="auto"/>
            </w:tcBorders>
            <w:tcMar>
              <w:top w:w="57" w:type="dxa"/>
              <w:left w:w="57" w:type="dxa"/>
              <w:bottom w:w="57" w:type="dxa"/>
              <w:right w:w="57" w:type="dxa"/>
            </w:tcMar>
            <w:vAlign w:val="center"/>
          </w:tcPr>
          <w:p w:rsidR="006D6876" w:rsidRPr="009B5734" w:rsidRDefault="006D6876" w:rsidP="00981615">
            <w:pPr>
              <w:ind w:left="0" w:firstLine="0"/>
              <w:rPr>
                <w:rFonts w:ascii="Times New Roman" w:hAnsi="Times New Roman" w:cs="Times New Roman"/>
                <w:i/>
                <w:noProof/>
                <w:sz w:val="20"/>
                <w:szCs w:val="20"/>
              </w:rPr>
            </w:pPr>
            <w:r>
              <w:rPr>
                <w:rFonts w:ascii="Times New Roman" w:hAnsi="Times New Roman" w:cs="Times New Roman"/>
                <w:i/>
                <w:noProof/>
                <w:sz w:val="20"/>
                <w:szCs w:val="20"/>
              </w:rPr>
              <w:t>Direct regulatory fees and charges</w:t>
            </w:r>
          </w:p>
        </w:tc>
        <w:tc>
          <w:tcPr>
            <w:tcW w:w="1134" w:type="dxa"/>
            <w:tcBorders>
              <w:left w:val="double" w:sz="4" w:space="0" w:color="auto"/>
            </w:tcBorders>
            <w:tcMar>
              <w:top w:w="57" w:type="dxa"/>
              <w:left w:w="57" w:type="dxa"/>
              <w:bottom w:w="57" w:type="dxa"/>
              <w:right w:w="57" w:type="dxa"/>
            </w:tcMar>
          </w:tcPr>
          <w:p w:rsidR="006D6876" w:rsidRPr="009B5734" w:rsidRDefault="006D6876" w:rsidP="00981615">
            <w:pPr>
              <w:tabs>
                <w:tab w:val="num" w:pos="425"/>
              </w:tabs>
              <w:rPr>
                <w:rFonts w:ascii="Times New Roman" w:hAnsi="Times New Roman" w:cs="Times New Roman"/>
                <w:noProof/>
                <w:sz w:val="20"/>
                <w:szCs w:val="20"/>
              </w:rPr>
            </w:pPr>
          </w:p>
        </w:tc>
        <w:tc>
          <w:tcPr>
            <w:tcW w:w="1446" w:type="dxa"/>
            <w:tcMar>
              <w:top w:w="57" w:type="dxa"/>
              <w:left w:w="57" w:type="dxa"/>
              <w:bottom w:w="57" w:type="dxa"/>
              <w:right w:w="57" w:type="dxa"/>
            </w:tcMar>
          </w:tcPr>
          <w:p w:rsidR="006D6876" w:rsidRPr="009B5734" w:rsidRDefault="006D6876" w:rsidP="00981615">
            <w:pPr>
              <w:tabs>
                <w:tab w:val="num" w:pos="425"/>
              </w:tabs>
              <w:rPr>
                <w:rFonts w:ascii="Times New Roman" w:hAnsi="Times New Roman" w:cs="Times New Roman"/>
                <w:noProof/>
                <w:sz w:val="20"/>
                <w:szCs w:val="20"/>
              </w:rPr>
            </w:pPr>
          </w:p>
        </w:tc>
        <w:tc>
          <w:tcPr>
            <w:tcW w:w="1408" w:type="dxa"/>
            <w:tcMar>
              <w:top w:w="57" w:type="dxa"/>
              <w:left w:w="57" w:type="dxa"/>
              <w:bottom w:w="57" w:type="dxa"/>
              <w:right w:w="57" w:type="dxa"/>
            </w:tcMar>
            <w:vAlign w:val="center"/>
          </w:tcPr>
          <w:p w:rsidR="006D6876" w:rsidRPr="009B5734" w:rsidRDefault="006D6876" w:rsidP="00981615">
            <w:pPr>
              <w:ind w:left="0" w:hanging="9"/>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427" w:type="dxa"/>
            <w:tcMar>
              <w:top w:w="57" w:type="dxa"/>
              <w:left w:w="57" w:type="dxa"/>
              <w:bottom w:w="57" w:type="dxa"/>
              <w:right w:w="57" w:type="dxa"/>
            </w:tcMar>
            <w:vAlign w:val="center"/>
          </w:tcPr>
          <w:p w:rsidR="006D6876" w:rsidRPr="009B5734" w:rsidRDefault="006D6876" w:rsidP="006D6876">
            <w:pPr>
              <w:ind w:left="10" w:hanging="10"/>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134" w:type="dxa"/>
            <w:tcMar>
              <w:top w:w="57" w:type="dxa"/>
              <w:left w:w="57" w:type="dxa"/>
              <w:bottom w:w="57" w:type="dxa"/>
              <w:right w:w="57" w:type="dxa"/>
            </w:tcMar>
            <w:vAlign w:val="center"/>
          </w:tcPr>
          <w:p w:rsidR="006D6876" w:rsidRPr="009B5734" w:rsidRDefault="006D6876" w:rsidP="006D6876">
            <w:pPr>
              <w:ind w:left="0" w:hanging="9"/>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276" w:type="dxa"/>
            <w:tcMar>
              <w:top w:w="57" w:type="dxa"/>
              <w:left w:w="57" w:type="dxa"/>
              <w:bottom w:w="57" w:type="dxa"/>
              <w:right w:w="57" w:type="dxa"/>
            </w:tcMar>
            <w:vAlign w:val="center"/>
          </w:tcPr>
          <w:p w:rsidR="006D6876" w:rsidRPr="009B5734" w:rsidRDefault="006D6876" w:rsidP="006D6876">
            <w:pPr>
              <w:ind w:left="10" w:hanging="10"/>
              <w:jc w:val="center"/>
              <w:rPr>
                <w:rFonts w:ascii="Times New Roman" w:hAnsi="Times New Roman" w:cs="Times New Roman"/>
                <w:noProof/>
                <w:sz w:val="20"/>
                <w:szCs w:val="20"/>
              </w:rPr>
            </w:pPr>
            <w:r>
              <w:rPr>
                <w:rFonts w:ascii="Times New Roman" w:hAnsi="Times New Roman" w:cs="Times New Roman"/>
                <w:noProof/>
                <w:sz w:val="20"/>
                <w:szCs w:val="20"/>
              </w:rPr>
              <w:t>-</w:t>
            </w:r>
          </w:p>
        </w:tc>
      </w:tr>
      <w:tr w:rsidR="006D6876" w:rsidRPr="009B5734" w:rsidTr="00611D38">
        <w:trPr>
          <w:trHeight w:val="307"/>
        </w:trPr>
        <w:tc>
          <w:tcPr>
            <w:tcW w:w="993" w:type="dxa"/>
            <w:vMerge/>
            <w:tcMar>
              <w:top w:w="57" w:type="dxa"/>
              <w:left w:w="57" w:type="dxa"/>
              <w:bottom w:w="57" w:type="dxa"/>
              <w:right w:w="57" w:type="dxa"/>
            </w:tcMar>
          </w:tcPr>
          <w:p w:rsidR="006D6876" w:rsidRPr="009B5734" w:rsidRDefault="006D6876" w:rsidP="006D6876">
            <w:pPr>
              <w:ind w:left="0" w:firstLine="0"/>
              <w:rPr>
                <w:rFonts w:ascii="Times New Roman" w:hAnsi="Times New Roman" w:cs="Times New Roman"/>
                <w:b/>
                <w:i/>
                <w:noProof/>
                <w:sz w:val="20"/>
                <w:szCs w:val="20"/>
              </w:rPr>
            </w:pPr>
          </w:p>
        </w:tc>
        <w:tc>
          <w:tcPr>
            <w:tcW w:w="1610" w:type="dxa"/>
            <w:tcBorders>
              <w:right w:val="double" w:sz="4" w:space="0" w:color="auto"/>
            </w:tcBorders>
            <w:tcMar>
              <w:top w:w="57" w:type="dxa"/>
              <w:left w:w="57" w:type="dxa"/>
              <w:bottom w:w="57" w:type="dxa"/>
              <w:right w:w="57" w:type="dxa"/>
            </w:tcMar>
            <w:vAlign w:val="center"/>
          </w:tcPr>
          <w:p w:rsidR="006D6876" w:rsidRPr="009B5734" w:rsidRDefault="006D6876" w:rsidP="006D6876">
            <w:pPr>
              <w:ind w:left="0" w:firstLine="0"/>
              <w:rPr>
                <w:rFonts w:ascii="Times New Roman" w:hAnsi="Times New Roman" w:cs="Times New Roman"/>
                <w:i/>
                <w:noProof/>
                <w:sz w:val="20"/>
                <w:szCs w:val="20"/>
              </w:rPr>
            </w:pPr>
            <w:r>
              <w:rPr>
                <w:rFonts w:ascii="Times New Roman" w:hAnsi="Times New Roman" w:cs="Times New Roman"/>
                <w:i/>
                <w:noProof/>
                <w:sz w:val="20"/>
                <w:szCs w:val="20"/>
              </w:rPr>
              <w:t>Direct enforcement costs</w:t>
            </w:r>
          </w:p>
        </w:tc>
        <w:tc>
          <w:tcPr>
            <w:tcW w:w="1134" w:type="dxa"/>
            <w:tcBorders>
              <w:left w:val="double" w:sz="4" w:space="0" w:color="auto"/>
            </w:tcBorders>
            <w:tcMar>
              <w:top w:w="57" w:type="dxa"/>
              <w:left w:w="57" w:type="dxa"/>
              <w:bottom w:w="57" w:type="dxa"/>
              <w:right w:w="57" w:type="dxa"/>
            </w:tcMar>
          </w:tcPr>
          <w:p w:rsidR="006D6876" w:rsidRPr="009B5734" w:rsidRDefault="006D6876" w:rsidP="006D6876">
            <w:pPr>
              <w:tabs>
                <w:tab w:val="num" w:pos="425"/>
              </w:tabs>
              <w:rPr>
                <w:rFonts w:ascii="Times New Roman" w:hAnsi="Times New Roman" w:cs="Times New Roman"/>
                <w:noProof/>
                <w:sz w:val="20"/>
                <w:szCs w:val="20"/>
              </w:rPr>
            </w:pPr>
          </w:p>
        </w:tc>
        <w:tc>
          <w:tcPr>
            <w:tcW w:w="1446" w:type="dxa"/>
            <w:tcMar>
              <w:top w:w="57" w:type="dxa"/>
              <w:left w:w="57" w:type="dxa"/>
              <w:bottom w:w="57" w:type="dxa"/>
              <w:right w:w="57" w:type="dxa"/>
            </w:tcMar>
          </w:tcPr>
          <w:p w:rsidR="006D6876" w:rsidRPr="009B5734" w:rsidRDefault="006D6876" w:rsidP="006D6876">
            <w:pPr>
              <w:tabs>
                <w:tab w:val="num" w:pos="425"/>
              </w:tabs>
              <w:rPr>
                <w:rFonts w:ascii="Times New Roman" w:hAnsi="Times New Roman" w:cs="Times New Roman"/>
                <w:noProof/>
                <w:sz w:val="20"/>
                <w:szCs w:val="20"/>
              </w:rPr>
            </w:pPr>
          </w:p>
        </w:tc>
        <w:tc>
          <w:tcPr>
            <w:tcW w:w="1408" w:type="dxa"/>
            <w:tcMar>
              <w:top w:w="57" w:type="dxa"/>
              <w:left w:w="57" w:type="dxa"/>
              <w:bottom w:w="57" w:type="dxa"/>
              <w:right w:w="57" w:type="dxa"/>
            </w:tcMar>
            <w:vAlign w:val="center"/>
          </w:tcPr>
          <w:p w:rsidR="006D6876" w:rsidRPr="009B5734" w:rsidRDefault="006D6876" w:rsidP="006D6876">
            <w:pPr>
              <w:ind w:left="0" w:hanging="9"/>
              <w:jc w:val="center"/>
              <w:rPr>
                <w:rFonts w:ascii="Times New Roman" w:hAnsi="Times New Roman" w:cs="Times New Roman"/>
                <w:noProof/>
                <w:sz w:val="20"/>
                <w:szCs w:val="20"/>
              </w:rPr>
            </w:pPr>
          </w:p>
        </w:tc>
        <w:tc>
          <w:tcPr>
            <w:tcW w:w="1427" w:type="dxa"/>
            <w:tcMar>
              <w:top w:w="57" w:type="dxa"/>
              <w:left w:w="57" w:type="dxa"/>
              <w:bottom w:w="57" w:type="dxa"/>
              <w:right w:w="57" w:type="dxa"/>
            </w:tcMar>
            <w:vAlign w:val="center"/>
          </w:tcPr>
          <w:p w:rsidR="006D6876" w:rsidRPr="009B5734" w:rsidRDefault="006D6876" w:rsidP="006D6876">
            <w:pPr>
              <w:ind w:left="10" w:hanging="10"/>
              <w:jc w:val="left"/>
              <w:rPr>
                <w:rFonts w:ascii="Times New Roman" w:hAnsi="Times New Roman" w:cs="Times New Roman"/>
                <w:noProof/>
                <w:sz w:val="20"/>
                <w:szCs w:val="20"/>
              </w:rPr>
            </w:pPr>
          </w:p>
        </w:tc>
        <w:tc>
          <w:tcPr>
            <w:tcW w:w="1134" w:type="dxa"/>
            <w:tcMar>
              <w:top w:w="57" w:type="dxa"/>
              <w:left w:w="57" w:type="dxa"/>
              <w:bottom w:w="57" w:type="dxa"/>
              <w:right w:w="57" w:type="dxa"/>
            </w:tcMar>
            <w:vAlign w:val="center"/>
          </w:tcPr>
          <w:p w:rsidR="006D6876" w:rsidRPr="009B5734" w:rsidRDefault="006D6876" w:rsidP="006D6876">
            <w:pPr>
              <w:ind w:left="0" w:hanging="9"/>
              <w:jc w:val="left"/>
              <w:rPr>
                <w:rFonts w:ascii="Times New Roman" w:hAnsi="Times New Roman" w:cs="Times New Roman"/>
                <w:noProof/>
                <w:sz w:val="20"/>
                <w:szCs w:val="20"/>
              </w:rPr>
            </w:pPr>
            <w:r w:rsidRPr="009B5734">
              <w:rPr>
                <w:rFonts w:ascii="Times New Roman" w:hAnsi="Times New Roman" w:cs="Times New Roman"/>
                <w:noProof/>
                <w:sz w:val="20"/>
                <w:szCs w:val="20"/>
              </w:rPr>
              <w:t>Total: ~EUR 0.3 million</w:t>
            </w:r>
          </w:p>
          <w:p w:rsidR="006D6876" w:rsidRPr="009B5734" w:rsidRDefault="006D6876" w:rsidP="006D6876">
            <w:pPr>
              <w:ind w:left="0" w:hanging="9"/>
              <w:jc w:val="left"/>
              <w:rPr>
                <w:rFonts w:ascii="Times New Roman" w:hAnsi="Times New Roman" w:cs="Times New Roman"/>
                <w:noProof/>
                <w:sz w:val="20"/>
                <w:szCs w:val="20"/>
              </w:rPr>
            </w:pPr>
          </w:p>
          <w:p w:rsidR="006D6876" w:rsidRPr="009B5734" w:rsidRDefault="006D6876" w:rsidP="006D6876">
            <w:pPr>
              <w:ind w:left="0" w:hanging="9"/>
              <w:jc w:val="left"/>
              <w:rPr>
                <w:rFonts w:ascii="Times New Roman" w:hAnsi="Times New Roman" w:cs="Times New Roman"/>
                <w:noProof/>
                <w:sz w:val="20"/>
                <w:szCs w:val="20"/>
              </w:rPr>
            </w:pPr>
            <w:r w:rsidRPr="009B5734">
              <w:rPr>
                <w:rFonts w:ascii="Times New Roman" w:hAnsi="Times New Roman" w:cs="Times New Roman"/>
                <w:noProof/>
                <w:sz w:val="20"/>
                <w:szCs w:val="20"/>
              </w:rPr>
              <w:t>Per Member State: ~EUR 9 870</w:t>
            </w:r>
          </w:p>
        </w:tc>
        <w:tc>
          <w:tcPr>
            <w:tcW w:w="1276" w:type="dxa"/>
            <w:tcMar>
              <w:top w:w="57" w:type="dxa"/>
              <w:left w:w="57" w:type="dxa"/>
              <w:bottom w:w="57" w:type="dxa"/>
              <w:right w:w="57" w:type="dxa"/>
            </w:tcMar>
            <w:vAlign w:val="center"/>
          </w:tcPr>
          <w:p w:rsidR="006D6876" w:rsidRPr="009B5734" w:rsidRDefault="006D6876" w:rsidP="006D6876">
            <w:pPr>
              <w:ind w:left="10" w:hanging="10"/>
              <w:jc w:val="left"/>
              <w:rPr>
                <w:rFonts w:ascii="Times New Roman" w:hAnsi="Times New Roman" w:cs="Times New Roman"/>
                <w:noProof/>
                <w:sz w:val="20"/>
                <w:szCs w:val="20"/>
              </w:rPr>
            </w:pPr>
            <w:r w:rsidRPr="009B5734">
              <w:rPr>
                <w:rFonts w:ascii="Times New Roman" w:hAnsi="Times New Roman" w:cs="Times New Roman"/>
                <w:noProof/>
                <w:sz w:val="20"/>
                <w:szCs w:val="20"/>
              </w:rPr>
              <w:t>Annual (average in the period 2025-2040): ~EUR 8 – 9 million</w:t>
            </w:r>
          </w:p>
          <w:p w:rsidR="006D6876" w:rsidRPr="009B5734" w:rsidRDefault="006D6876" w:rsidP="006D6876">
            <w:pPr>
              <w:ind w:left="10" w:hanging="10"/>
              <w:jc w:val="left"/>
              <w:rPr>
                <w:rFonts w:ascii="Times New Roman" w:hAnsi="Times New Roman" w:cs="Times New Roman"/>
                <w:noProof/>
                <w:sz w:val="20"/>
                <w:szCs w:val="20"/>
              </w:rPr>
            </w:pPr>
          </w:p>
          <w:p w:rsidR="006D6876" w:rsidRPr="009B5734" w:rsidRDefault="006D6876" w:rsidP="006D6876">
            <w:pPr>
              <w:ind w:left="10" w:hanging="10"/>
              <w:jc w:val="left"/>
              <w:rPr>
                <w:rFonts w:ascii="Times New Roman" w:hAnsi="Times New Roman" w:cs="Times New Roman"/>
                <w:noProof/>
                <w:sz w:val="20"/>
                <w:szCs w:val="20"/>
              </w:rPr>
            </w:pPr>
            <w:r w:rsidRPr="009B5734">
              <w:rPr>
                <w:rFonts w:ascii="Times New Roman" w:hAnsi="Times New Roman" w:cs="Times New Roman"/>
                <w:noProof/>
                <w:sz w:val="20"/>
                <w:szCs w:val="20"/>
              </w:rPr>
              <w:t>Annual per Member State (average in the period 2025-2040): EUR 0.33 – 0.34 million</w:t>
            </w:r>
          </w:p>
          <w:p w:rsidR="006D6876" w:rsidRPr="009B5734" w:rsidRDefault="006D6876" w:rsidP="006D6876">
            <w:pPr>
              <w:ind w:left="10" w:hanging="10"/>
              <w:jc w:val="left"/>
              <w:rPr>
                <w:rFonts w:ascii="Times New Roman" w:hAnsi="Times New Roman" w:cs="Times New Roman"/>
                <w:noProof/>
                <w:sz w:val="20"/>
                <w:szCs w:val="20"/>
              </w:rPr>
            </w:pPr>
          </w:p>
          <w:p w:rsidR="006D6876" w:rsidRPr="009B5734" w:rsidRDefault="006D6876" w:rsidP="006D6876">
            <w:pPr>
              <w:ind w:left="10" w:hanging="10"/>
              <w:jc w:val="left"/>
              <w:rPr>
                <w:rFonts w:ascii="Times New Roman" w:hAnsi="Times New Roman" w:cs="Times New Roman"/>
                <w:noProof/>
                <w:sz w:val="20"/>
                <w:szCs w:val="20"/>
              </w:rPr>
            </w:pPr>
            <w:r w:rsidRPr="009B5734">
              <w:rPr>
                <w:rFonts w:ascii="Times New Roman" w:hAnsi="Times New Roman" w:cs="Times New Roman"/>
                <w:noProof/>
                <w:sz w:val="20"/>
                <w:szCs w:val="20"/>
              </w:rPr>
              <w:t>Total (present value for 2025-2040): ~103 – 104 million</w:t>
            </w:r>
          </w:p>
        </w:tc>
      </w:tr>
    </w:tbl>
    <w:tbl>
      <w:tblPr>
        <w:tblStyle w:val="CV11"/>
        <w:tblW w:w="10428"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93"/>
        <w:gridCol w:w="1610"/>
        <w:gridCol w:w="1134"/>
        <w:gridCol w:w="1446"/>
        <w:gridCol w:w="1408"/>
        <w:gridCol w:w="1427"/>
        <w:gridCol w:w="1134"/>
        <w:gridCol w:w="1276"/>
      </w:tblGrid>
      <w:tr w:rsidR="00EA45F9" w:rsidRPr="009B5734" w:rsidTr="6B053803">
        <w:tc>
          <w:tcPr>
            <w:tcW w:w="993" w:type="dxa"/>
            <w:tcMar>
              <w:top w:w="57" w:type="dxa"/>
              <w:left w:w="57" w:type="dxa"/>
              <w:bottom w:w="57" w:type="dxa"/>
              <w:right w:w="57" w:type="dxa"/>
            </w:tcMar>
          </w:tcPr>
          <w:p w:rsidR="00EA45F9" w:rsidRPr="009B5734" w:rsidRDefault="00EA45F9" w:rsidP="00981615">
            <w:pPr>
              <w:ind w:left="0" w:firstLine="0"/>
              <w:rPr>
                <w:noProof/>
              </w:rPr>
            </w:pPr>
          </w:p>
        </w:tc>
        <w:tc>
          <w:tcPr>
            <w:tcW w:w="1610" w:type="dxa"/>
            <w:tcBorders>
              <w:right w:val="double" w:sz="4" w:space="0" w:color="auto"/>
            </w:tcBorders>
            <w:tcMar>
              <w:top w:w="57" w:type="dxa"/>
              <w:left w:w="57" w:type="dxa"/>
              <w:bottom w:w="57" w:type="dxa"/>
              <w:right w:w="57" w:type="dxa"/>
            </w:tcMar>
          </w:tcPr>
          <w:p w:rsidR="00EA45F9" w:rsidRPr="009B5734" w:rsidRDefault="00EA45F9" w:rsidP="00981615">
            <w:pPr>
              <w:ind w:left="0" w:firstLine="0"/>
              <w:rPr>
                <w:i/>
                <w:noProof/>
              </w:rPr>
            </w:pPr>
            <w:r w:rsidRPr="009B5734">
              <w:rPr>
                <w:i/>
                <w:noProof/>
              </w:rPr>
              <w:t>Indirect costs</w:t>
            </w:r>
          </w:p>
        </w:tc>
        <w:tc>
          <w:tcPr>
            <w:tcW w:w="1134" w:type="dxa"/>
            <w:tcBorders>
              <w:left w:val="double" w:sz="4" w:space="0" w:color="auto"/>
            </w:tcBorders>
            <w:tcMar>
              <w:top w:w="57" w:type="dxa"/>
              <w:left w:w="57" w:type="dxa"/>
              <w:bottom w:w="57" w:type="dxa"/>
              <w:right w:w="57" w:type="dxa"/>
            </w:tcMar>
          </w:tcPr>
          <w:p w:rsidR="00EA45F9" w:rsidRPr="009B5734" w:rsidRDefault="00EA45F9" w:rsidP="00981615">
            <w:pPr>
              <w:tabs>
                <w:tab w:val="num" w:pos="425"/>
              </w:tabs>
              <w:rPr>
                <w:noProof/>
              </w:rPr>
            </w:pPr>
          </w:p>
        </w:tc>
        <w:tc>
          <w:tcPr>
            <w:tcW w:w="1446" w:type="dxa"/>
            <w:tcMar>
              <w:top w:w="57" w:type="dxa"/>
              <w:left w:w="57" w:type="dxa"/>
              <w:bottom w:w="57" w:type="dxa"/>
              <w:right w:w="57" w:type="dxa"/>
            </w:tcMar>
          </w:tcPr>
          <w:p w:rsidR="00EA45F9" w:rsidRPr="009B5734" w:rsidRDefault="00EA45F9" w:rsidP="00981615">
            <w:pPr>
              <w:tabs>
                <w:tab w:val="num" w:pos="425"/>
              </w:tabs>
              <w:rPr>
                <w:noProof/>
              </w:rPr>
            </w:pPr>
          </w:p>
        </w:tc>
        <w:tc>
          <w:tcPr>
            <w:tcW w:w="1408" w:type="dxa"/>
            <w:tcMar>
              <w:top w:w="57" w:type="dxa"/>
              <w:left w:w="57" w:type="dxa"/>
              <w:bottom w:w="57" w:type="dxa"/>
              <w:right w:w="57" w:type="dxa"/>
            </w:tcMar>
            <w:vAlign w:val="center"/>
          </w:tcPr>
          <w:p w:rsidR="00EA45F9" w:rsidRPr="009B5734" w:rsidRDefault="00EA45F9" w:rsidP="00981615">
            <w:pPr>
              <w:tabs>
                <w:tab w:val="num" w:pos="425"/>
              </w:tabs>
              <w:jc w:val="center"/>
              <w:rPr>
                <w:noProof/>
              </w:rPr>
            </w:pPr>
            <w:r w:rsidRPr="009B5734">
              <w:rPr>
                <w:noProof/>
              </w:rPr>
              <w:t>-</w:t>
            </w:r>
          </w:p>
        </w:tc>
        <w:tc>
          <w:tcPr>
            <w:tcW w:w="1427" w:type="dxa"/>
            <w:tcMar>
              <w:top w:w="57" w:type="dxa"/>
              <w:left w:w="57" w:type="dxa"/>
              <w:bottom w:w="57" w:type="dxa"/>
              <w:right w:w="57" w:type="dxa"/>
            </w:tcMar>
            <w:vAlign w:val="center"/>
          </w:tcPr>
          <w:p w:rsidR="00EA45F9" w:rsidRPr="009B5734" w:rsidRDefault="00EA45F9" w:rsidP="00981615">
            <w:pPr>
              <w:ind w:left="10" w:hanging="10"/>
              <w:jc w:val="left"/>
              <w:rPr>
                <w:noProof/>
              </w:rPr>
            </w:pPr>
            <w:r w:rsidRPr="009B5734">
              <w:rPr>
                <w:noProof/>
              </w:rPr>
              <w:t>-</w:t>
            </w:r>
          </w:p>
        </w:tc>
        <w:tc>
          <w:tcPr>
            <w:tcW w:w="1134" w:type="dxa"/>
            <w:tcMar>
              <w:top w:w="57" w:type="dxa"/>
              <w:left w:w="57" w:type="dxa"/>
              <w:bottom w:w="57" w:type="dxa"/>
              <w:right w:w="57" w:type="dxa"/>
            </w:tcMar>
            <w:vAlign w:val="center"/>
          </w:tcPr>
          <w:p w:rsidR="00EA45F9" w:rsidRPr="009B5734" w:rsidRDefault="00EA45F9" w:rsidP="00981615">
            <w:pPr>
              <w:tabs>
                <w:tab w:val="num" w:pos="425"/>
              </w:tabs>
              <w:jc w:val="center"/>
              <w:rPr>
                <w:noProof/>
              </w:rPr>
            </w:pPr>
            <w:r w:rsidRPr="009B5734">
              <w:rPr>
                <w:noProof/>
              </w:rPr>
              <w:t>-</w:t>
            </w:r>
          </w:p>
        </w:tc>
        <w:tc>
          <w:tcPr>
            <w:tcW w:w="1276" w:type="dxa"/>
            <w:tcMar>
              <w:top w:w="57" w:type="dxa"/>
              <w:left w:w="57" w:type="dxa"/>
              <w:bottom w:w="57" w:type="dxa"/>
              <w:right w:w="57" w:type="dxa"/>
            </w:tcMar>
            <w:vAlign w:val="center"/>
          </w:tcPr>
          <w:p w:rsidR="00EA45F9" w:rsidRPr="009B5734" w:rsidRDefault="00EA45F9" w:rsidP="00981615">
            <w:pPr>
              <w:ind w:left="7" w:hanging="7"/>
              <w:jc w:val="center"/>
              <w:rPr>
                <w:noProof/>
              </w:rPr>
            </w:pPr>
            <w:r w:rsidRPr="009B5734">
              <w:rPr>
                <w:noProof/>
              </w:rPr>
              <w:t>-</w:t>
            </w:r>
          </w:p>
        </w:tc>
      </w:tr>
      <w:tr w:rsidR="00EA45F9" w:rsidRPr="009B5734" w:rsidTr="6B053803">
        <w:trPr>
          <w:trHeight w:val="307"/>
        </w:trPr>
        <w:tc>
          <w:tcPr>
            <w:tcW w:w="993" w:type="dxa"/>
            <w:vMerge w:val="restart"/>
            <w:tcMar>
              <w:top w:w="57" w:type="dxa"/>
              <w:left w:w="57" w:type="dxa"/>
              <w:bottom w:w="57" w:type="dxa"/>
              <w:right w:w="57" w:type="dxa"/>
            </w:tcMar>
          </w:tcPr>
          <w:p w:rsidR="00EA45F9" w:rsidRPr="009B5734" w:rsidRDefault="00EA45F9" w:rsidP="00981615">
            <w:pPr>
              <w:ind w:left="0" w:firstLine="0"/>
              <w:rPr>
                <w:i/>
                <w:noProof/>
              </w:rPr>
            </w:pPr>
            <w:r w:rsidRPr="009B5734">
              <w:rPr>
                <w:b/>
                <w:i/>
                <w:noProof/>
              </w:rPr>
              <w:t>Option 2.2.C:Ban of general /vague environmental claims  + Prohibition of environmental claims that do not fulfil a minimum set of criteria</w:t>
            </w:r>
          </w:p>
        </w:tc>
        <w:tc>
          <w:tcPr>
            <w:tcW w:w="1610" w:type="dxa"/>
            <w:tcBorders>
              <w:right w:val="double" w:sz="4" w:space="0" w:color="auto"/>
            </w:tcBorders>
            <w:tcMar>
              <w:top w:w="57" w:type="dxa"/>
              <w:left w:w="57" w:type="dxa"/>
              <w:bottom w:w="57" w:type="dxa"/>
              <w:right w:w="57" w:type="dxa"/>
            </w:tcMar>
            <w:vAlign w:val="center"/>
          </w:tcPr>
          <w:p w:rsidR="00EA45F9" w:rsidRPr="009B5734" w:rsidRDefault="00EA45F9" w:rsidP="00981615">
            <w:pPr>
              <w:ind w:left="0" w:firstLine="0"/>
              <w:rPr>
                <w:rFonts w:asciiTheme="minorHAnsi" w:eastAsiaTheme="minorHAnsi" w:hAnsiTheme="minorHAnsi" w:cstheme="minorBidi"/>
                <w:noProof/>
                <w:sz w:val="22"/>
                <w:szCs w:val="22"/>
                <w:lang w:eastAsia="en-US"/>
              </w:rPr>
            </w:pPr>
            <w:r w:rsidRPr="009B5734">
              <w:rPr>
                <w:i/>
                <w:noProof/>
              </w:rPr>
              <w:t xml:space="preserve">Direct </w:t>
            </w:r>
            <w:r w:rsidR="007E6AB3">
              <w:rPr>
                <w:i/>
                <w:noProof/>
              </w:rPr>
              <w:t xml:space="preserve">adjustment </w:t>
            </w:r>
            <w:r w:rsidRPr="009B5734">
              <w:rPr>
                <w:i/>
                <w:noProof/>
              </w:rPr>
              <w:t>cost</w:t>
            </w:r>
            <w:r w:rsidRPr="009B5734">
              <w:rPr>
                <w:noProof/>
              </w:rPr>
              <w:t>s</w:t>
            </w:r>
          </w:p>
          <w:p w:rsidR="00EA45F9" w:rsidRPr="009B5734" w:rsidRDefault="00EA45F9" w:rsidP="00981615">
            <w:pPr>
              <w:ind w:left="0" w:firstLine="0"/>
              <w:rPr>
                <w:noProof/>
              </w:rPr>
            </w:pPr>
          </w:p>
        </w:tc>
        <w:tc>
          <w:tcPr>
            <w:tcW w:w="1134" w:type="dxa"/>
            <w:tcBorders>
              <w:left w:val="double" w:sz="4" w:space="0" w:color="auto"/>
            </w:tcBorders>
            <w:tcMar>
              <w:top w:w="57" w:type="dxa"/>
              <w:left w:w="57" w:type="dxa"/>
              <w:bottom w:w="57" w:type="dxa"/>
              <w:right w:w="57" w:type="dxa"/>
            </w:tcMar>
          </w:tcPr>
          <w:p w:rsidR="00EA45F9" w:rsidRPr="009B5734" w:rsidRDefault="00EA45F9" w:rsidP="00981615">
            <w:pPr>
              <w:tabs>
                <w:tab w:val="num" w:pos="425"/>
              </w:tabs>
              <w:rPr>
                <w:noProof/>
              </w:rPr>
            </w:pPr>
          </w:p>
        </w:tc>
        <w:tc>
          <w:tcPr>
            <w:tcW w:w="1446" w:type="dxa"/>
            <w:tcMar>
              <w:top w:w="57" w:type="dxa"/>
              <w:left w:w="57" w:type="dxa"/>
              <w:bottom w:w="57" w:type="dxa"/>
              <w:right w:w="57" w:type="dxa"/>
            </w:tcMar>
          </w:tcPr>
          <w:p w:rsidR="00EA45F9" w:rsidRPr="009B5734" w:rsidRDefault="00EA45F9" w:rsidP="00981615">
            <w:pPr>
              <w:tabs>
                <w:tab w:val="num" w:pos="425"/>
              </w:tabs>
              <w:rPr>
                <w:noProof/>
              </w:rPr>
            </w:pPr>
          </w:p>
        </w:tc>
        <w:tc>
          <w:tcPr>
            <w:tcW w:w="1408" w:type="dxa"/>
            <w:tcMar>
              <w:top w:w="57" w:type="dxa"/>
              <w:left w:w="57" w:type="dxa"/>
              <w:bottom w:w="57" w:type="dxa"/>
              <w:right w:w="57" w:type="dxa"/>
            </w:tcMar>
            <w:vAlign w:val="center"/>
          </w:tcPr>
          <w:p w:rsidR="00EA45F9" w:rsidRPr="009B5734" w:rsidRDefault="00EA45F9" w:rsidP="00981615">
            <w:pPr>
              <w:ind w:left="0" w:hanging="9"/>
              <w:jc w:val="center"/>
              <w:rPr>
                <w:noProof/>
              </w:rPr>
            </w:pPr>
            <w:r w:rsidRPr="009B5734">
              <w:rPr>
                <w:noProof/>
              </w:rPr>
              <w:t>Total: ~EUR 2 2 625 – 2 680 million</w:t>
            </w:r>
          </w:p>
          <w:p w:rsidR="00EA45F9" w:rsidRPr="009B5734" w:rsidRDefault="00EA45F9" w:rsidP="00981615">
            <w:pPr>
              <w:ind w:left="0" w:hanging="9"/>
              <w:jc w:val="center"/>
              <w:rPr>
                <w:noProof/>
              </w:rPr>
            </w:pPr>
          </w:p>
          <w:p w:rsidR="00EA45F9" w:rsidRPr="009B5734" w:rsidRDefault="00EA45F9" w:rsidP="00981615">
            <w:pPr>
              <w:ind w:left="0" w:hanging="9"/>
              <w:jc w:val="center"/>
              <w:rPr>
                <w:noProof/>
              </w:rPr>
            </w:pPr>
            <w:r w:rsidRPr="009B5734">
              <w:rPr>
                <w:noProof/>
              </w:rPr>
              <w:t>Per company: ~EUR 373 – 380</w:t>
            </w:r>
          </w:p>
        </w:tc>
        <w:tc>
          <w:tcPr>
            <w:tcW w:w="1427" w:type="dxa"/>
            <w:tcMar>
              <w:top w:w="57" w:type="dxa"/>
              <w:left w:w="57" w:type="dxa"/>
              <w:bottom w:w="57" w:type="dxa"/>
              <w:right w:w="57" w:type="dxa"/>
            </w:tcMar>
            <w:vAlign w:val="center"/>
          </w:tcPr>
          <w:p w:rsidR="00EA45F9" w:rsidRPr="009B5734" w:rsidRDefault="00EA45F9" w:rsidP="00981615">
            <w:pPr>
              <w:ind w:left="10" w:hanging="10"/>
              <w:jc w:val="left"/>
              <w:rPr>
                <w:noProof/>
              </w:rPr>
            </w:pPr>
            <w:r w:rsidRPr="009B5734">
              <w:rPr>
                <w:noProof/>
              </w:rPr>
              <w:t>Annual (average in the period 2025-2040): ~EUR 58 – 70 million</w:t>
            </w:r>
          </w:p>
          <w:p w:rsidR="00EA45F9" w:rsidRPr="009B5734" w:rsidRDefault="00EA45F9" w:rsidP="00981615">
            <w:pPr>
              <w:ind w:left="10" w:hanging="10"/>
              <w:jc w:val="left"/>
              <w:rPr>
                <w:noProof/>
              </w:rPr>
            </w:pPr>
          </w:p>
          <w:p w:rsidR="00EA45F9" w:rsidRPr="009B5734" w:rsidRDefault="00EA45F9" w:rsidP="00981615">
            <w:pPr>
              <w:ind w:left="10" w:hanging="10"/>
              <w:jc w:val="left"/>
              <w:rPr>
                <w:noProof/>
              </w:rPr>
            </w:pPr>
            <w:r w:rsidRPr="009B5734">
              <w:rPr>
                <w:noProof/>
              </w:rPr>
              <w:t>Annual per company (average in the period 2025-2040): ~EUR 8 – 10</w:t>
            </w:r>
          </w:p>
          <w:p w:rsidR="00EA45F9" w:rsidRPr="009B5734" w:rsidRDefault="00EA45F9" w:rsidP="00981615">
            <w:pPr>
              <w:ind w:left="10" w:hanging="10"/>
              <w:jc w:val="left"/>
              <w:rPr>
                <w:noProof/>
              </w:rPr>
            </w:pPr>
          </w:p>
          <w:p w:rsidR="00EA45F9" w:rsidRPr="009B5734" w:rsidRDefault="00EA45F9" w:rsidP="00981615">
            <w:pPr>
              <w:ind w:left="10" w:hanging="10"/>
              <w:jc w:val="left"/>
              <w:rPr>
                <w:noProof/>
              </w:rPr>
            </w:pPr>
            <w:r w:rsidRPr="009B5734">
              <w:rPr>
                <w:noProof/>
              </w:rPr>
              <w:t>Total (present value for 2025-2040): ~675 –  820 million</w:t>
            </w:r>
          </w:p>
        </w:tc>
        <w:tc>
          <w:tcPr>
            <w:tcW w:w="1134" w:type="dxa"/>
            <w:tcMar>
              <w:top w:w="57" w:type="dxa"/>
              <w:left w:w="57" w:type="dxa"/>
              <w:bottom w:w="57" w:type="dxa"/>
              <w:right w:w="57" w:type="dxa"/>
            </w:tcMar>
            <w:vAlign w:val="center"/>
          </w:tcPr>
          <w:p w:rsidR="00EA45F9" w:rsidRPr="009B5734" w:rsidRDefault="00EA45F9" w:rsidP="00981615">
            <w:pPr>
              <w:ind w:left="0" w:hanging="9"/>
              <w:jc w:val="center"/>
              <w:rPr>
                <w:noProof/>
              </w:rPr>
            </w:pPr>
          </w:p>
        </w:tc>
        <w:tc>
          <w:tcPr>
            <w:tcW w:w="1276" w:type="dxa"/>
            <w:tcMar>
              <w:top w:w="57" w:type="dxa"/>
              <w:left w:w="57" w:type="dxa"/>
              <w:bottom w:w="57" w:type="dxa"/>
              <w:right w:w="57" w:type="dxa"/>
            </w:tcMar>
            <w:vAlign w:val="center"/>
          </w:tcPr>
          <w:p w:rsidR="00EA45F9" w:rsidRPr="009B5734" w:rsidRDefault="00EA45F9" w:rsidP="00981615">
            <w:pPr>
              <w:ind w:left="0" w:firstLine="0"/>
              <w:jc w:val="left"/>
              <w:rPr>
                <w:noProof/>
              </w:rPr>
            </w:pPr>
          </w:p>
        </w:tc>
      </w:tr>
      <w:tr w:rsidR="007E6AB3" w:rsidRPr="009B5734" w:rsidTr="6B053803">
        <w:trPr>
          <w:trHeight w:val="307"/>
        </w:trPr>
        <w:tc>
          <w:tcPr>
            <w:tcW w:w="993" w:type="dxa"/>
            <w:vMerge/>
            <w:tcMar>
              <w:top w:w="57" w:type="dxa"/>
              <w:left w:w="57" w:type="dxa"/>
              <w:bottom w:w="57" w:type="dxa"/>
              <w:right w:w="57" w:type="dxa"/>
            </w:tcMar>
          </w:tcPr>
          <w:p w:rsidR="007E6AB3" w:rsidRPr="009B5734" w:rsidRDefault="007E6AB3" w:rsidP="00981615">
            <w:pPr>
              <w:ind w:left="0" w:firstLine="0"/>
              <w:rPr>
                <w:b/>
                <w:i/>
                <w:noProof/>
              </w:rPr>
            </w:pPr>
          </w:p>
        </w:tc>
        <w:tc>
          <w:tcPr>
            <w:tcW w:w="1610" w:type="dxa"/>
            <w:tcBorders>
              <w:right w:val="double" w:sz="4" w:space="0" w:color="auto"/>
            </w:tcBorders>
            <w:tcMar>
              <w:top w:w="57" w:type="dxa"/>
              <w:left w:w="57" w:type="dxa"/>
              <w:bottom w:w="57" w:type="dxa"/>
              <w:right w:w="57" w:type="dxa"/>
            </w:tcMar>
            <w:vAlign w:val="center"/>
          </w:tcPr>
          <w:p w:rsidR="007E6AB3" w:rsidRPr="009B5734" w:rsidRDefault="007E6AB3" w:rsidP="00981615">
            <w:pPr>
              <w:ind w:left="0" w:firstLine="0"/>
              <w:rPr>
                <w:i/>
                <w:noProof/>
              </w:rPr>
            </w:pPr>
            <w:r>
              <w:rPr>
                <w:i/>
                <w:noProof/>
              </w:rPr>
              <w:t>Direct administrative costs</w:t>
            </w:r>
          </w:p>
        </w:tc>
        <w:tc>
          <w:tcPr>
            <w:tcW w:w="1134" w:type="dxa"/>
            <w:tcBorders>
              <w:left w:val="double" w:sz="4" w:space="0" w:color="auto"/>
            </w:tcBorders>
            <w:tcMar>
              <w:top w:w="57" w:type="dxa"/>
              <w:left w:w="57" w:type="dxa"/>
              <w:bottom w:w="57" w:type="dxa"/>
              <w:right w:w="57" w:type="dxa"/>
            </w:tcMar>
          </w:tcPr>
          <w:p w:rsidR="007E6AB3" w:rsidRPr="009B5734" w:rsidRDefault="007E6AB3" w:rsidP="00981615">
            <w:pPr>
              <w:tabs>
                <w:tab w:val="num" w:pos="425"/>
              </w:tabs>
              <w:rPr>
                <w:noProof/>
              </w:rPr>
            </w:pPr>
          </w:p>
        </w:tc>
        <w:tc>
          <w:tcPr>
            <w:tcW w:w="1446" w:type="dxa"/>
            <w:tcMar>
              <w:top w:w="57" w:type="dxa"/>
              <w:left w:w="57" w:type="dxa"/>
              <w:bottom w:w="57" w:type="dxa"/>
              <w:right w:w="57" w:type="dxa"/>
            </w:tcMar>
          </w:tcPr>
          <w:p w:rsidR="007E6AB3" w:rsidRPr="009B5734" w:rsidRDefault="007E6AB3" w:rsidP="00981615">
            <w:pPr>
              <w:tabs>
                <w:tab w:val="num" w:pos="425"/>
              </w:tabs>
              <w:rPr>
                <w:noProof/>
              </w:rPr>
            </w:pPr>
          </w:p>
        </w:tc>
        <w:tc>
          <w:tcPr>
            <w:tcW w:w="1408" w:type="dxa"/>
            <w:tcMar>
              <w:top w:w="57" w:type="dxa"/>
              <w:left w:w="57" w:type="dxa"/>
              <w:bottom w:w="57" w:type="dxa"/>
              <w:right w:w="57" w:type="dxa"/>
            </w:tcMar>
            <w:vAlign w:val="center"/>
          </w:tcPr>
          <w:p w:rsidR="007E6AB3" w:rsidRPr="009B5734" w:rsidRDefault="007E6AB3" w:rsidP="00981615">
            <w:pPr>
              <w:ind w:left="0" w:hanging="9"/>
              <w:jc w:val="center"/>
              <w:rPr>
                <w:noProof/>
              </w:rPr>
            </w:pPr>
            <w:r>
              <w:rPr>
                <w:noProof/>
              </w:rPr>
              <w:t>-</w:t>
            </w:r>
          </w:p>
        </w:tc>
        <w:tc>
          <w:tcPr>
            <w:tcW w:w="1427" w:type="dxa"/>
            <w:tcMar>
              <w:top w:w="57" w:type="dxa"/>
              <w:left w:w="57" w:type="dxa"/>
              <w:bottom w:w="57" w:type="dxa"/>
              <w:right w:w="57" w:type="dxa"/>
            </w:tcMar>
            <w:vAlign w:val="center"/>
          </w:tcPr>
          <w:p w:rsidR="007E6AB3" w:rsidRPr="009B5734" w:rsidRDefault="007E6AB3" w:rsidP="007E6AB3">
            <w:pPr>
              <w:ind w:left="10" w:hanging="10"/>
              <w:jc w:val="center"/>
              <w:rPr>
                <w:noProof/>
              </w:rPr>
            </w:pPr>
            <w:r>
              <w:rPr>
                <w:noProof/>
              </w:rPr>
              <w:t>-</w:t>
            </w:r>
          </w:p>
        </w:tc>
        <w:tc>
          <w:tcPr>
            <w:tcW w:w="1134" w:type="dxa"/>
            <w:tcMar>
              <w:top w:w="57" w:type="dxa"/>
              <w:left w:w="57" w:type="dxa"/>
              <w:bottom w:w="57" w:type="dxa"/>
              <w:right w:w="57" w:type="dxa"/>
            </w:tcMar>
            <w:vAlign w:val="center"/>
          </w:tcPr>
          <w:p w:rsidR="007E6AB3" w:rsidRPr="009B5734" w:rsidRDefault="007E6AB3" w:rsidP="007E6AB3">
            <w:pPr>
              <w:ind w:left="0" w:hanging="9"/>
              <w:jc w:val="center"/>
              <w:rPr>
                <w:noProof/>
              </w:rPr>
            </w:pPr>
            <w:r>
              <w:rPr>
                <w:noProof/>
              </w:rPr>
              <w:t>-</w:t>
            </w:r>
          </w:p>
        </w:tc>
        <w:tc>
          <w:tcPr>
            <w:tcW w:w="1276" w:type="dxa"/>
            <w:tcMar>
              <w:top w:w="57" w:type="dxa"/>
              <w:left w:w="57" w:type="dxa"/>
              <w:bottom w:w="57" w:type="dxa"/>
              <w:right w:w="57" w:type="dxa"/>
            </w:tcMar>
            <w:vAlign w:val="center"/>
          </w:tcPr>
          <w:p w:rsidR="007E6AB3" w:rsidRPr="009B5734" w:rsidRDefault="007E6AB3" w:rsidP="007E6AB3">
            <w:pPr>
              <w:ind w:left="10" w:hanging="10"/>
              <w:jc w:val="center"/>
              <w:rPr>
                <w:noProof/>
              </w:rPr>
            </w:pPr>
            <w:r>
              <w:rPr>
                <w:noProof/>
              </w:rPr>
              <w:t>-</w:t>
            </w:r>
          </w:p>
        </w:tc>
      </w:tr>
      <w:tr w:rsidR="007E6AB3" w:rsidRPr="009B5734" w:rsidTr="6B053803">
        <w:trPr>
          <w:trHeight w:val="307"/>
        </w:trPr>
        <w:tc>
          <w:tcPr>
            <w:tcW w:w="993" w:type="dxa"/>
            <w:vMerge/>
            <w:tcMar>
              <w:top w:w="57" w:type="dxa"/>
              <w:left w:w="57" w:type="dxa"/>
              <w:bottom w:w="57" w:type="dxa"/>
              <w:right w:w="57" w:type="dxa"/>
            </w:tcMar>
          </w:tcPr>
          <w:p w:rsidR="007E6AB3" w:rsidRPr="009B5734" w:rsidRDefault="007E6AB3" w:rsidP="00981615">
            <w:pPr>
              <w:ind w:left="0" w:firstLine="0"/>
              <w:rPr>
                <w:b/>
                <w:i/>
                <w:noProof/>
              </w:rPr>
            </w:pPr>
          </w:p>
        </w:tc>
        <w:tc>
          <w:tcPr>
            <w:tcW w:w="1610" w:type="dxa"/>
            <w:tcBorders>
              <w:right w:val="double" w:sz="4" w:space="0" w:color="auto"/>
            </w:tcBorders>
            <w:tcMar>
              <w:top w:w="57" w:type="dxa"/>
              <w:left w:w="57" w:type="dxa"/>
              <w:bottom w:w="57" w:type="dxa"/>
              <w:right w:w="57" w:type="dxa"/>
            </w:tcMar>
            <w:vAlign w:val="center"/>
          </w:tcPr>
          <w:p w:rsidR="007E6AB3" w:rsidRPr="009B5734" w:rsidRDefault="007E6AB3" w:rsidP="00981615">
            <w:pPr>
              <w:ind w:left="0" w:firstLine="0"/>
              <w:rPr>
                <w:i/>
                <w:noProof/>
              </w:rPr>
            </w:pPr>
            <w:r>
              <w:rPr>
                <w:i/>
                <w:noProof/>
              </w:rPr>
              <w:t>Direct regulatory fees and charges</w:t>
            </w:r>
          </w:p>
        </w:tc>
        <w:tc>
          <w:tcPr>
            <w:tcW w:w="1134" w:type="dxa"/>
            <w:tcBorders>
              <w:left w:val="double" w:sz="4" w:space="0" w:color="auto"/>
            </w:tcBorders>
            <w:tcMar>
              <w:top w:w="57" w:type="dxa"/>
              <w:left w:w="57" w:type="dxa"/>
              <w:bottom w:w="57" w:type="dxa"/>
              <w:right w:w="57" w:type="dxa"/>
            </w:tcMar>
          </w:tcPr>
          <w:p w:rsidR="007E6AB3" w:rsidRPr="009B5734" w:rsidRDefault="007E6AB3" w:rsidP="00981615">
            <w:pPr>
              <w:tabs>
                <w:tab w:val="num" w:pos="425"/>
              </w:tabs>
              <w:rPr>
                <w:noProof/>
              </w:rPr>
            </w:pPr>
          </w:p>
        </w:tc>
        <w:tc>
          <w:tcPr>
            <w:tcW w:w="1446" w:type="dxa"/>
            <w:tcMar>
              <w:top w:w="57" w:type="dxa"/>
              <w:left w:w="57" w:type="dxa"/>
              <w:bottom w:w="57" w:type="dxa"/>
              <w:right w:w="57" w:type="dxa"/>
            </w:tcMar>
          </w:tcPr>
          <w:p w:rsidR="007E6AB3" w:rsidRPr="009B5734" w:rsidRDefault="007E6AB3" w:rsidP="00981615">
            <w:pPr>
              <w:tabs>
                <w:tab w:val="num" w:pos="425"/>
              </w:tabs>
              <w:rPr>
                <w:noProof/>
              </w:rPr>
            </w:pPr>
          </w:p>
        </w:tc>
        <w:tc>
          <w:tcPr>
            <w:tcW w:w="1408" w:type="dxa"/>
            <w:tcMar>
              <w:top w:w="57" w:type="dxa"/>
              <w:left w:w="57" w:type="dxa"/>
              <w:bottom w:w="57" w:type="dxa"/>
              <w:right w:w="57" w:type="dxa"/>
            </w:tcMar>
            <w:vAlign w:val="center"/>
          </w:tcPr>
          <w:p w:rsidR="007E6AB3" w:rsidRPr="009B5734" w:rsidRDefault="007E6AB3" w:rsidP="00981615">
            <w:pPr>
              <w:ind w:left="0" w:hanging="9"/>
              <w:jc w:val="center"/>
              <w:rPr>
                <w:noProof/>
              </w:rPr>
            </w:pPr>
            <w:r>
              <w:rPr>
                <w:noProof/>
              </w:rPr>
              <w:t>-</w:t>
            </w:r>
          </w:p>
        </w:tc>
        <w:tc>
          <w:tcPr>
            <w:tcW w:w="1427" w:type="dxa"/>
            <w:tcMar>
              <w:top w:w="57" w:type="dxa"/>
              <w:left w:w="57" w:type="dxa"/>
              <w:bottom w:w="57" w:type="dxa"/>
              <w:right w:w="57" w:type="dxa"/>
            </w:tcMar>
            <w:vAlign w:val="center"/>
          </w:tcPr>
          <w:p w:rsidR="007E6AB3" w:rsidRPr="009B5734" w:rsidRDefault="007E6AB3" w:rsidP="007E6AB3">
            <w:pPr>
              <w:ind w:left="10" w:hanging="10"/>
              <w:jc w:val="center"/>
              <w:rPr>
                <w:noProof/>
              </w:rPr>
            </w:pPr>
            <w:r>
              <w:rPr>
                <w:noProof/>
              </w:rPr>
              <w:t>-</w:t>
            </w:r>
          </w:p>
        </w:tc>
        <w:tc>
          <w:tcPr>
            <w:tcW w:w="1134" w:type="dxa"/>
            <w:tcMar>
              <w:top w:w="57" w:type="dxa"/>
              <w:left w:w="57" w:type="dxa"/>
              <w:bottom w:w="57" w:type="dxa"/>
              <w:right w:w="57" w:type="dxa"/>
            </w:tcMar>
            <w:vAlign w:val="center"/>
          </w:tcPr>
          <w:p w:rsidR="007E6AB3" w:rsidRPr="009B5734" w:rsidRDefault="007E6AB3" w:rsidP="007E6AB3">
            <w:pPr>
              <w:ind w:left="0" w:hanging="9"/>
              <w:jc w:val="center"/>
              <w:rPr>
                <w:noProof/>
              </w:rPr>
            </w:pPr>
            <w:r>
              <w:rPr>
                <w:noProof/>
              </w:rPr>
              <w:t>-</w:t>
            </w:r>
          </w:p>
        </w:tc>
        <w:tc>
          <w:tcPr>
            <w:tcW w:w="1276" w:type="dxa"/>
            <w:tcMar>
              <w:top w:w="57" w:type="dxa"/>
              <w:left w:w="57" w:type="dxa"/>
              <w:bottom w:w="57" w:type="dxa"/>
              <w:right w:w="57" w:type="dxa"/>
            </w:tcMar>
            <w:vAlign w:val="center"/>
          </w:tcPr>
          <w:p w:rsidR="007E6AB3" w:rsidRPr="009B5734" w:rsidRDefault="007E6AB3" w:rsidP="007E6AB3">
            <w:pPr>
              <w:ind w:left="10" w:hanging="10"/>
              <w:jc w:val="center"/>
              <w:rPr>
                <w:noProof/>
              </w:rPr>
            </w:pPr>
            <w:r>
              <w:rPr>
                <w:noProof/>
              </w:rPr>
              <w:t>-</w:t>
            </w:r>
          </w:p>
        </w:tc>
      </w:tr>
      <w:tr w:rsidR="007E6AB3" w:rsidRPr="009B5734" w:rsidTr="6B053803">
        <w:trPr>
          <w:trHeight w:val="307"/>
        </w:trPr>
        <w:tc>
          <w:tcPr>
            <w:tcW w:w="993" w:type="dxa"/>
            <w:vMerge/>
            <w:tcMar>
              <w:top w:w="57" w:type="dxa"/>
              <w:left w:w="57" w:type="dxa"/>
              <w:bottom w:w="57" w:type="dxa"/>
              <w:right w:w="57" w:type="dxa"/>
            </w:tcMar>
          </w:tcPr>
          <w:p w:rsidR="007E6AB3" w:rsidRPr="009B5734" w:rsidRDefault="007E6AB3" w:rsidP="007E6AB3">
            <w:pPr>
              <w:ind w:left="0" w:firstLine="0"/>
              <w:rPr>
                <w:b/>
                <w:i/>
                <w:noProof/>
              </w:rPr>
            </w:pPr>
          </w:p>
        </w:tc>
        <w:tc>
          <w:tcPr>
            <w:tcW w:w="1610" w:type="dxa"/>
            <w:tcBorders>
              <w:right w:val="double" w:sz="4" w:space="0" w:color="auto"/>
            </w:tcBorders>
            <w:tcMar>
              <w:top w:w="57" w:type="dxa"/>
              <w:left w:w="57" w:type="dxa"/>
              <w:bottom w:w="57" w:type="dxa"/>
              <w:right w:w="57" w:type="dxa"/>
            </w:tcMar>
            <w:vAlign w:val="center"/>
          </w:tcPr>
          <w:p w:rsidR="007E6AB3" w:rsidRDefault="007E6AB3" w:rsidP="007E6AB3">
            <w:pPr>
              <w:ind w:left="0" w:firstLine="0"/>
              <w:rPr>
                <w:i/>
                <w:noProof/>
              </w:rPr>
            </w:pPr>
            <w:r>
              <w:rPr>
                <w:i/>
                <w:noProof/>
              </w:rPr>
              <w:t>Direct enforcement costs</w:t>
            </w:r>
          </w:p>
        </w:tc>
        <w:tc>
          <w:tcPr>
            <w:tcW w:w="1134" w:type="dxa"/>
            <w:tcBorders>
              <w:left w:val="double" w:sz="4" w:space="0" w:color="auto"/>
            </w:tcBorders>
            <w:tcMar>
              <w:top w:w="57" w:type="dxa"/>
              <w:left w:w="57" w:type="dxa"/>
              <w:bottom w:w="57" w:type="dxa"/>
              <w:right w:w="57" w:type="dxa"/>
            </w:tcMar>
          </w:tcPr>
          <w:p w:rsidR="007E6AB3" w:rsidRPr="009B5734" w:rsidRDefault="007E6AB3" w:rsidP="007E6AB3">
            <w:pPr>
              <w:tabs>
                <w:tab w:val="num" w:pos="425"/>
              </w:tabs>
              <w:rPr>
                <w:noProof/>
              </w:rPr>
            </w:pPr>
          </w:p>
        </w:tc>
        <w:tc>
          <w:tcPr>
            <w:tcW w:w="1446" w:type="dxa"/>
            <w:tcMar>
              <w:top w:w="57" w:type="dxa"/>
              <w:left w:w="57" w:type="dxa"/>
              <w:bottom w:w="57" w:type="dxa"/>
              <w:right w:w="57" w:type="dxa"/>
            </w:tcMar>
          </w:tcPr>
          <w:p w:rsidR="007E6AB3" w:rsidRPr="009B5734" w:rsidRDefault="007E6AB3" w:rsidP="007E6AB3">
            <w:pPr>
              <w:tabs>
                <w:tab w:val="num" w:pos="425"/>
              </w:tabs>
              <w:rPr>
                <w:noProof/>
              </w:rPr>
            </w:pPr>
          </w:p>
        </w:tc>
        <w:tc>
          <w:tcPr>
            <w:tcW w:w="1408" w:type="dxa"/>
            <w:tcMar>
              <w:top w:w="57" w:type="dxa"/>
              <w:left w:w="57" w:type="dxa"/>
              <w:bottom w:w="57" w:type="dxa"/>
              <w:right w:w="57" w:type="dxa"/>
            </w:tcMar>
            <w:vAlign w:val="center"/>
          </w:tcPr>
          <w:p w:rsidR="007E6AB3" w:rsidRPr="009B5734" w:rsidRDefault="007E6AB3" w:rsidP="007E6AB3">
            <w:pPr>
              <w:ind w:left="0" w:hanging="9"/>
              <w:jc w:val="center"/>
              <w:rPr>
                <w:noProof/>
              </w:rPr>
            </w:pPr>
          </w:p>
        </w:tc>
        <w:tc>
          <w:tcPr>
            <w:tcW w:w="1427" w:type="dxa"/>
            <w:tcMar>
              <w:top w:w="57" w:type="dxa"/>
              <w:left w:w="57" w:type="dxa"/>
              <w:bottom w:w="57" w:type="dxa"/>
              <w:right w:w="57" w:type="dxa"/>
            </w:tcMar>
            <w:vAlign w:val="center"/>
          </w:tcPr>
          <w:p w:rsidR="007E6AB3" w:rsidRPr="009B5734" w:rsidRDefault="007E6AB3" w:rsidP="007E6AB3">
            <w:pPr>
              <w:ind w:left="10" w:hanging="10"/>
              <w:jc w:val="left"/>
              <w:rPr>
                <w:noProof/>
              </w:rPr>
            </w:pPr>
          </w:p>
        </w:tc>
        <w:tc>
          <w:tcPr>
            <w:tcW w:w="1134" w:type="dxa"/>
            <w:tcMar>
              <w:top w:w="57" w:type="dxa"/>
              <w:left w:w="57" w:type="dxa"/>
              <w:bottom w:w="57" w:type="dxa"/>
              <w:right w:w="57" w:type="dxa"/>
            </w:tcMar>
            <w:vAlign w:val="center"/>
          </w:tcPr>
          <w:p w:rsidR="007E6AB3" w:rsidRPr="009B5734" w:rsidRDefault="007E6AB3" w:rsidP="007E6AB3">
            <w:pPr>
              <w:ind w:left="0" w:hanging="9"/>
              <w:jc w:val="left"/>
              <w:rPr>
                <w:noProof/>
              </w:rPr>
            </w:pPr>
            <w:r w:rsidRPr="009B5734">
              <w:rPr>
                <w:noProof/>
              </w:rPr>
              <w:t>Total: ~EUR 0.12 million</w:t>
            </w:r>
          </w:p>
          <w:p w:rsidR="007E6AB3" w:rsidRPr="009B5734" w:rsidRDefault="007E6AB3" w:rsidP="007E6AB3">
            <w:pPr>
              <w:ind w:left="0" w:hanging="9"/>
              <w:jc w:val="left"/>
              <w:rPr>
                <w:noProof/>
              </w:rPr>
            </w:pPr>
          </w:p>
          <w:p w:rsidR="007E6AB3" w:rsidRPr="009B5734" w:rsidRDefault="007E6AB3" w:rsidP="007E6AB3">
            <w:pPr>
              <w:ind w:left="0" w:hanging="9"/>
              <w:jc w:val="left"/>
              <w:rPr>
                <w:noProof/>
              </w:rPr>
            </w:pPr>
            <w:r w:rsidRPr="009B5734">
              <w:rPr>
                <w:noProof/>
              </w:rPr>
              <w:t>Per Member State: ~EUR 4 270</w:t>
            </w:r>
          </w:p>
        </w:tc>
        <w:tc>
          <w:tcPr>
            <w:tcW w:w="1276" w:type="dxa"/>
            <w:tcMar>
              <w:top w:w="57" w:type="dxa"/>
              <w:left w:w="57" w:type="dxa"/>
              <w:bottom w:w="57" w:type="dxa"/>
              <w:right w:w="57" w:type="dxa"/>
            </w:tcMar>
            <w:vAlign w:val="center"/>
          </w:tcPr>
          <w:p w:rsidR="007E6AB3" w:rsidRPr="009B5734" w:rsidRDefault="007E6AB3" w:rsidP="007E6AB3">
            <w:pPr>
              <w:ind w:left="10" w:hanging="10"/>
              <w:jc w:val="left"/>
              <w:rPr>
                <w:noProof/>
              </w:rPr>
            </w:pPr>
            <w:r w:rsidRPr="009B5734">
              <w:rPr>
                <w:noProof/>
              </w:rPr>
              <w:t>Annual (average in the period 2025-2040): ~EUR 0.43 – 0.74 million</w:t>
            </w:r>
          </w:p>
          <w:p w:rsidR="007E6AB3" w:rsidRPr="009B5734" w:rsidRDefault="007E6AB3" w:rsidP="007E6AB3">
            <w:pPr>
              <w:ind w:left="10" w:hanging="10"/>
              <w:jc w:val="left"/>
              <w:rPr>
                <w:noProof/>
              </w:rPr>
            </w:pPr>
          </w:p>
          <w:p w:rsidR="007E6AB3" w:rsidRPr="009B5734" w:rsidRDefault="007E6AB3" w:rsidP="007E6AB3">
            <w:pPr>
              <w:ind w:left="10" w:hanging="10"/>
              <w:jc w:val="left"/>
              <w:rPr>
                <w:noProof/>
              </w:rPr>
            </w:pPr>
            <w:r w:rsidRPr="009B5734">
              <w:rPr>
                <w:noProof/>
              </w:rPr>
              <w:t>Annual per Member State (average in the period 2025-2040): ~EUR 16 000 – 27 200</w:t>
            </w:r>
          </w:p>
          <w:p w:rsidR="007E6AB3" w:rsidRPr="009B5734" w:rsidRDefault="007E6AB3" w:rsidP="007E6AB3">
            <w:pPr>
              <w:ind w:left="10" w:hanging="10"/>
              <w:jc w:val="left"/>
              <w:rPr>
                <w:noProof/>
              </w:rPr>
            </w:pPr>
          </w:p>
          <w:p w:rsidR="007E6AB3" w:rsidRDefault="007E6AB3" w:rsidP="007E6AB3">
            <w:pPr>
              <w:ind w:left="10" w:hanging="10"/>
              <w:jc w:val="left"/>
              <w:rPr>
                <w:noProof/>
              </w:rPr>
            </w:pPr>
            <w:r w:rsidRPr="009B5734">
              <w:rPr>
                <w:noProof/>
              </w:rPr>
              <w:t>Total (present value for 2025-2040): ~EUR 7 – 12 million</w:t>
            </w:r>
          </w:p>
        </w:tc>
      </w:tr>
      <w:tr w:rsidR="007E6AB3" w:rsidRPr="009B5734" w:rsidTr="6B053803">
        <w:tc>
          <w:tcPr>
            <w:tcW w:w="993" w:type="dxa"/>
            <w:vMerge/>
            <w:tcMar>
              <w:top w:w="57" w:type="dxa"/>
              <w:left w:w="57" w:type="dxa"/>
              <w:bottom w:w="57" w:type="dxa"/>
              <w:right w:w="57" w:type="dxa"/>
            </w:tcMar>
          </w:tcPr>
          <w:p w:rsidR="007E6AB3" w:rsidRPr="009B5734" w:rsidRDefault="007E6AB3" w:rsidP="007E6AB3">
            <w:pPr>
              <w:ind w:left="0" w:firstLine="0"/>
              <w:rPr>
                <w:noProof/>
              </w:rPr>
            </w:pPr>
          </w:p>
        </w:tc>
        <w:tc>
          <w:tcPr>
            <w:tcW w:w="1610" w:type="dxa"/>
            <w:tcBorders>
              <w:right w:val="double" w:sz="4" w:space="0" w:color="auto"/>
            </w:tcBorders>
            <w:tcMar>
              <w:top w:w="57" w:type="dxa"/>
              <w:left w:w="57" w:type="dxa"/>
              <w:bottom w:w="57" w:type="dxa"/>
              <w:right w:w="57" w:type="dxa"/>
            </w:tcMar>
          </w:tcPr>
          <w:p w:rsidR="007E6AB3" w:rsidRPr="009B5734" w:rsidRDefault="007E6AB3" w:rsidP="007E6AB3">
            <w:pPr>
              <w:ind w:left="0" w:firstLine="0"/>
              <w:rPr>
                <w:i/>
                <w:noProof/>
              </w:rPr>
            </w:pPr>
            <w:r w:rsidRPr="009B5734">
              <w:rPr>
                <w:i/>
                <w:noProof/>
              </w:rPr>
              <w:t>Indirect costs</w:t>
            </w:r>
          </w:p>
        </w:tc>
        <w:tc>
          <w:tcPr>
            <w:tcW w:w="1134" w:type="dxa"/>
            <w:tcBorders>
              <w:left w:val="double" w:sz="4" w:space="0" w:color="auto"/>
            </w:tcBorders>
            <w:tcMar>
              <w:top w:w="57" w:type="dxa"/>
              <w:left w:w="57" w:type="dxa"/>
              <w:bottom w:w="57" w:type="dxa"/>
              <w:right w:w="57" w:type="dxa"/>
            </w:tcMar>
          </w:tcPr>
          <w:p w:rsidR="007E6AB3" w:rsidRPr="009B5734" w:rsidRDefault="007E6AB3" w:rsidP="007E6AB3">
            <w:pPr>
              <w:tabs>
                <w:tab w:val="num" w:pos="425"/>
              </w:tabs>
              <w:rPr>
                <w:noProof/>
              </w:rPr>
            </w:pPr>
          </w:p>
        </w:tc>
        <w:tc>
          <w:tcPr>
            <w:tcW w:w="1446" w:type="dxa"/>
            <w:tcMar>
              <w:top w:w="57" w:type="dxa"/>
              <w:left w:w="57" w:type="dxa"/>
              <w:bottom w:w="57" w:type="dxa"/>
              <w:right w:w="57" w:type="dxa"/>
            </w:tcMar>
          </w:tcPr>
          <w:p w:rsidR="007E6AB3" w:rsidRPr="009B5734" w:rsidRDefault="007E6AB3" w:rsidP="007E6AB3">
            <w:pPr>
              <w:tabs>
                <w:tab w:val="num" w:pos="425"/>
              </w:tabs>
              <w:rPr>
                <w:noProof/>
              </w:rPr>
            </w:pPr>
          </w:p>
        </w:tc>
        <w:tc>
          <w:tcPr>
            <w:tcW w:w="1408" w:type="dxa"/>
            <w:tcMar>
              <w:top w:w="57" w:type="dxa"/>
              <w:left w:w="57" w:type="dxa"/>
              <w:bottom w:w="57" w:type="dxa"/>
              <w:right w:w="57" w:type="dxa"/>
            </w:tcMar>
            <w:vAlign w:val="center"/>
          </w:tcPr>
          <w:p w:rsidR="007E6AB3" w:rsidRPr="009B5734" w:rsidRDefault="007E6AB3" w:rsidP="007E6AB3">
            <w:pPr>
              <w:tabs>
                <w:tab w:val="num" w:pos="425"/>
              </w:tabs>
              <w:jc w:val="center"/>
              <w:rPr>
                <w:noProof/>
              </w:rPr>
            </w:pPr>
            <w:r w:rsidRPr="009B5734">
              <w:rPr>
                <w:noProof/>
              </w:rPr>
              <w:t>-</w:t>
            </w:r>
          </w:p>
        </w:tc>
        <w:tc>
          <w:tcPr>
            <w:tcW w:w="1427" w:type="dxa"/>
            <w:tcMar>
              <w:top w:w="57" w:type="dxa"/>
              <w:left w:w="57" w:type="dxa"/>
              <w:bottom w:w="57" w:type="dxa"/>
              <w:right w:w="57" w:type="dxa"/>
            </w:tcMar>
            <w:vAlign w:val="center"/>
          </w:tcPr>
          <w:p w:rsidR="007E6AB3" w:rsidRPr="009B5734" w:rsidRDefault="007E6AB3" w:rsidP="007E6AB3">
            <w:pPr>
              <w:tabs>
                <w:tab w:val="num" w:pos="425"/>
              </w:tabs>
              <w:jc w:val="center"/>
              <w:rPr>
                <w:noProof/>
              </w:rPr>
            </w:pPr>
            <w:r w:rsidRPr="009B5734">
              <w:rPr>
                <w:noProof/>
              </w:rPr>
              <w:t>-</w:t>
            </w:r>
          </w:p>
        </w:tc>
        <w:tc>
          <w:tcPr>
            <w:tcW w:w="1134" w:type="dxa"/>
            <w:tcMar>
              <w:top w:w="57" w:type="dxa"/>
              <w:left w:w="57" w:type="dxa"/>
              <w:bottom w:w="57" w:type="dxa"/>
              <w:right w:w="57" w:type="dxa"/>
            </w:tcMar>
            <w:vAlign w:val="center"/>
          </w:tcPr>
          <w:p w:rsidR="007E6AB3" w:rsidRPr="009B5734" w:rsidRDefault="007E6AB3" w:rsidP="007E6AB3">
            <w:pPr>
              <w:tabs>
                <w:tab w:val="num" w:pos="425"/>
              </w:tabs>
              <w:jc w:val="center"/>
              <w:rPr>
                <w:noProof/>
              </w:rPr>
            </w:pPr>
            <w:r w:rsidRPr="009B5734">
              <w:rPr>
                <w:noProof/>
              </w:rPr>
              <w:t>-</w:t>
            </w:r>
          </w:p>
        </w:tc>
        <w:tc>
          <w:tcPr>
            <w:tcW w:w="1276" w:type="dxa"/>
            <w:tcMar>
              <w:top w:w="57" w:type="dxa"/>
              <w:left w:w="57" w:type="dxa"/>
              <w:bottom w:w="57" w:type="dxa"/>
              <w:right w:w="57" w:type="dxa"/>
            </w:tcMar>
            <w:vAlign w:val="center"/>
          </w:tcPr>
          <w:p w:rsidR="007E6AB3" w:rsidRPr="009B5734" w:rsidRDefault="007E6AB3" w:rsidP="007E6AB3">
            <w:pPr>
              <w:ind w:left="7" w:hanging="7"/>
              <w:jc w:val="center"/>
              <w:rPr>
                <w:noProof/>
              </w:rPr>
            </w:pPr>
          </w:p>
        </w:tc>
      </w:tr>
      <w:tr w:rsidR="007E6AB3" w:rsidRPr="009B5734" w:rsidTr="6B053803">
        <w:trPr>
          <w:trHeight w:val="307"/>
        </w:trPr>
        <w:tc>
          <w:tcPr>
            <w:tcW w:w="993" w:type="dxa"/>
            <w:vMerge w:val="restart"/>
            <w:tcMar>
              <w:top w:w="57" w:type="dxa"/>
              <w:left w:w="57" w:type="dxa"/>
              <w:bottom w:w="57" w:type="dxa"/>
              <w:right w:w="57" w:type="dxa"/>
            </w:tcMar>
          </w:tcPr>
          <w:p w:rsidR="007E6AB3" w:rsidRPr="009B5734" w:rsidRDefault="007E6AB3" w:rsidP="007E6AB3">
            <w:pPr>
              <w:ind w:left="0" w:firstLine="0"/>
              <w:rPr>
                <w:i/>
                <w:noProof/>
              </w:rPr>
            </w:pPr>
            <w:r w:rsidRPr="009B5734">
              <w:rPr>
                <w:b/>
                <w:i/>
                <w:noProof/>
              </w:rPr>
              <w:t xml:space="preserve">Option 2.3.B: Prohibition of sustainability labels and digital information tools not meeting minimum transparency and credibility requirements  </w:t>
            </w:r>
          </w:p>
        </w:tc>
        <w:tc>
          <w:tcPr>
            <w:tcW w:w="1610" w:type="dxa"/>
            <w:tcBorders>
              <w:right w:val="double" w:sz="4" w:space="0" w:color="auto"/>
            </w:tcBorders>
            <w:tcMar>
              <w:top w:w="57" w:type="dxa"/>
              <w:left w:w="57" w:type="dxa"/>
              <w:bottom w:w="57" w:type="dxa"/>
              <w:right w:w="57" w:type="dxa"/>
            </w:tcMar>
            <w:vAlign w:val="center"/>
          </w:tcPr>
          <w:p w:rsidR="007E6AB3" w:rsidRPr="009B5734" w:rsidRDefault="007E6AB3" w:rsidP="007E6AB3">
            <w:pPr>
              <w:ind w:left="0" w:firstLine="0"/>
              <w:rPr>
                <w:noProof/>
              </w:rPr>
            </w:pPr>
            <w:r w:rsidRPr="009B5734">
              <w:rPr>
                <w:i/>
                <w:noProof/>
              </w:rPr>
              <w:t>Direct</w:t>
            </w:r>
            <w:r>
              <w:rPr>
                <w:i/>
                <w:noProof/>
              </w:rPr>
              <w:t xml:space="preserve"> adjustment</w:t>
            </w:r>
            <w:r w:rsidRPr="009B5734">
              <w:rPr>
                <w:i/>
                <w:noProof/>
              </w:rPr>
              <w:t xml:space="preserve"> costs</w:t>
            </w:r>
          </w:p>
        </w:tc>
        <w:tc>
          <w:tcPr>
            <w:tcW w:w="1134" w:type="dxa"/>
            <w:tcBorders>
              <w:left w:val="double" w:sz="4" w:space="0" w:color="auto"/>
            </w:tcBorders>
            <w:tcMar>
              <w:top w:w="57" w:type="dxa"/>
              <w:left w:w="57" w:type="dxa"/>
              <w:bottom w:w="57" w:type="dxa"/>
              <w:right w:w="57" w:type="dxa"/>
            </w:tcMar>
          </w:tcPr>
          <w:p w:rsidR="007E6AB3" w:rsidRPr="009B5734" w:rsidRDefault="007E6AB3" w:rsidP="007E6AB3">
            <w:pPr>
              <w:tabs>
                <w:tab w:val="num" w:pos="425"/>
              </w:tabs>
              <w:rPr>
                <w:noProof/>
              </w:rPr>
            </w:pPr>
          </w:p>
        </w:tc>
        <w:tc>
          <w:tcPr>
            <w:tcW w:w="1446" w:type="dxa"/>
            <w:tcMar>
              <w:top w:w="57" w:type="dxa"/>
              <w:left w:w="57" w:type="dxa"/>
              <w:bottom w:w="57" w:type="dxa"/>
              <w:right w:w="57" w:type="dxa"/>
            </w:tcMar>
          </w:tcPr>
          <w:p w:rsidR="007E6AB3" w:rsidRPr="009B5734" w:rsidRDefault="007E6AB3" w:rsidP="007E6AB3">
            <w:pPr>
              <w:tabs>
                <w:tab w:val="num" w:pos="425"/>
              </w:tabs>
              <w:rPr>
                <w:noProof/>
              </w:rPr>
            </w:pPr>
          </w:p>
        </w:tc>
        <w:tc>
          <w:tcPr>
            <w:tcW w:w="1408" w:type="dxa"/>
            <w:tcMar>
              <w:top w:w="57" w:type="dxa"/>
              <w:left w:w="57" w:type="dxa"/>
              <w:bottom w:w="57" w:type="dxa"/>
              <w:right w:w="57" w:type="dxa"/>
            </w:tcMar>
            <w:vAlign w:val="center"/>
          </w:tcPr>
          <w:p w:rsidR="007E6AB3" w:rsidRPr="009B5734" w:rsidRDefault="007E6AB3" w:rsidP="007E6AB3">
            <w:pPr>
              <w:ind w:left="0" w:hanging="9"/>
              <w:jc w:val="center"/>
              <w:rPr>
                <w:noProof/>
              </w:rPr>
            </w:pPr>
            <w:r w:rsidRPr="009B5734">
              <w:rPr>
                <w:noProof/>
              </w:rPr>
              <w:t>Total: ~EUR 618 - 620 million</w:t>
            </w:r>
          </w:p>
          <w:p w:rsidR="007E6AB3" w:rsidRPr="009B5734" w:rsidRDefault="007E6AB3" w:rsidP="007E6AB3">
            <w:pPr>
              <w:ind w:left="0" w:hanging="9"/>
              <w:jc w:val="center"/>
              <w:rPr>
                <w:noProof/>
              </w:rPr>
            </w:pPr>
          </w:p>
          <w:p w:rsidR="007E6AB3" w:rsidRPr="009B5734" w:rsidRDefault="007E6AB3" w:rsidP="007E6AB3">
            <w:pPr>
              <w:ind w:left="0" w:hanging="9"/>
              <w:jc w:val="center"/>
              <w:rPr>
                <w:noProof/>
              </w:rPr>
            </w:pPr>
            <w:r w:rsidRPr="009B5734">
              <w:rPr>
                <w:noProof/>
              </w:rPr>
              <w:t>Per company: ~EUR 87 – 88</w:t>
            </w:r>
          </w:p>
        </w:tc>
        <w:tc>
          <w:tcPr>
            <w:tcW w:w="1427" w:type="dxa"/>
            <w:tcMar>
              <w:top w:w="57" w:type="dxa"/>
              <w:left w:w="57" w:type="dxa"/>
              <w:bottom w:w="57" w:type="dxa"/>
              <w:right w:w="57" w:type="dxa"/>
            </w:tcMar>
            <w:vAlign w:val="center"/>
          </w:tcPr>
          <w:p w:rsidR="007E6AB3" w:rsidRPr="009B5734" w:rsidRDefault="007E6AB3" w:rsidP="007E6AB3">
            <w:pPr>
              <w:ind w:left="10" w:hanging="10"/>
              <w:jc w:val="left"/>
              <w:rPr>
                <w:noProof/>
              </w:rPr>
            </w:pPr>
            <w:r w:rsidRPr="009B5734">
              <w:rPr>
                <w:noProof/>
              </w:rPr>
              <w:t>Annual (average in the period 2025-2040): EUR ~260 – 300 million</w:t>
            </w:r>
          </w:p>
          <w:p w:rsidR="007E6AB3" w:rsidRPr="009B5734" w:rsidRDefault="007E6AB3" w:rsidP="007E6AB3">
            <w:pPr>
              <w:ind w:left="10" w:hanging="10"/>
              <w:jc w:val="left"/>
              <w:rPr>
                <w:noProof/>
              </w:rPr>
            </w:pPr>
          </w:p>
          <w:p w:rsidR="007E6AB3" w:rsidRPr="009B5734" w:rsidRDefault="007E6AB3" w:rsidP="007E6AB3">
            <w:pPr>
              <w:ind w:left="10" w:hanging="10"/>
              <w:jc w:val="left"/>
              <w:rPr>
                <w:noProof/>
              </w:rPr>
            </w:pPr>
            <w:r w:rsidRPr="009B5734">
              <w:rPr>
                <w:noProof/>
              </w:rPr>
              <w:t>Annual per company (average in the period 2025-2040): ~EUR 37 – 43</w:t>
            </w:r>
          </w:p>
          <w:p w:rsidR="007E6AB3" w:rsidRPr="009B5734" w:rsidRDefault="007E6AB3" w:rsidP="007E6AB3">
            <w:pPr>
              <w:ind w:left="10" w:hanging="10"/>
              <w:jc w:val="left"/>
              <w:rPr>
                <w:noProof/>
              </w:rPr>
            </w:pPr>
          </w:p>
          <w:p w:rsidR="007E6AB3" w:rsidRPr="009B5734" w:rsidRDefault="007E6AB3" w:rsidP="007E6AB3">
            <w:pPr>
              <w:ind w:left="0" w:firstLine="10"/>
              <w:jc w:val="center"/>
              <w:rPr>
                <w:noProof/>
              </w:rPr>
            </w:pPr>
            <w:r w:rsidRPr="009B5734">
              <w:rPr>
                <w:noProof/>
              </w:rPr>
              <w:t>Total (present value for 2025-2040): ~EUR 3 022 – 3 500 million</w:t>
            </w:r>
          </w:p>
        </w:tc>
        <w:tc>
          <w:tcPr>
            <w:tcW w:w="1134" w:type="dxa"/>
            <w:tcMar>
              <w:top w:w="57" w:type="dxa"/>
              <w:left w:w="57" w:type="dxa"/>
              <w:bottom w:w="57" w:type="dxa"/>
              <w:right w:w="57" w:type="dxa"/>
            </w:tcMar>
            <w:vAlign w:val="center"/>
          </w:tcPr>
          <w:p w:rsidR="007E6AB3" w:rsidRPr="009B5734" w:rsidRDefault="007E6AB3" w:rsidP="007E6AB3">
            <w:pPr>
              <w:ind w:left="0" w:hanging="9"/>
              <w:jc w:val="left"/>
              <w:rPr>
                <w:noProof/>
              </w:rPr>
            </w:pPr>
          </w:p>
        </w:tc>
        <w:tc>
          <w:tcPr>
            <w:tcW w:w="1276" w:type="dxa"/>
            <w:tcMar>
              <w:top w:w="57" w:type="dxa"/>
              <w:left w:w="57" w:type="dxa"/>
              <w:bottom w:w="57" w:type="dxa"/>
              <w:right w:w="57" w:type="dxa"/>
            </w:tcMar>
            <w:vAlign w:val="center"/>
          </w:tcPr>
          <w:p w:rsidR="007E6AB3" w:rsidRPr="009B5734" w:rsidRDefault="007E6AB3" w:rsidP="007E6AB3">
            <w:pPr>
              <w:ind w:left="7" w:hanging="7"/>
              <w:jc w:val="center"/>
              <w:rPr>
                <w:noProof/>
              </w:rPr>
            </w:pPr>
          </w:p>
        </w:tc>
      </w:tr>
      <w:tr w:rsidR="007E6AB3" w:rsidRPr="009B5734" w:rsidTr="6B053803">
        <w:trPr>
          <w:trHeight w:val="307"/>
        </w:trPr>
        <w:tc>
          <w:tcPr>
            <w:tcW w:w="993" w:type="dxa"/>
            <w:vMerge/>
            <w:tcMar>
              <w:top w:w="57" w:type="dxa"/>
              <w:left w:w="57" w:type="dxa"/>
              <w:bottom w:w="57" w:type="dxa"/>
              <w:right w:w="57" w:type="dxa"/>
            </w:tcMar>
          </w:tcPr>
          <w:p w:rsidR="007E6AB3" w:rsidRDefault="007E6AB3" w:rsidP="007E6AB3">
            <w:pPr>
              <w:ind w:left="0" w:firstLine="0"/>
              <w:rPr>
                <w:b/>
                <w:i/>
                <w:noProof/>
              </w:rPr>
            </w:pPr>
          </w:p>
        </w:tc>
        <w:tc>
          <w:tcPr>
            <w:tcW w:w="1610" w:type="dxa"/>
            <w:tcBorders>
              <w:right w:val="double" w:sz="4" w:space="0" w:color="auto"/>
            </w:tcBorders>
            <w:tcMar>
              <w:top w:w="57" w:type="dxa"/>
              <w:left w:w="57" w:type="dxa"/>
              <w:bottom w:w="57" w:type="dxa"/>
              <w:right w:w="57" w:type="dxa"/>
            </w:tcMar>
            <w:vAlign w:val="center"/>
          </w:tcPr>
          <w:p w:rsidR="007E6AB3" w:rsidRPr="009B5734" w:rsidRDefault="007E6AB3" w:rsidP="007E6AB3">
            <w:pPr>
              <w:ind w:left="0" w:firstLine="0"/>
              <w:rPr>
                <w:i/>
                <w:noProof/>
              </w:rPr>
            </w:pPr>
            <w:r>
              <w:rPr>
                <w:i/>
                <w:noProof/>
              </w:rPr>
              <w:t>Direct administrative costs</w:t>
            </w:r>
          </w:p>
        </w:tc>
        <w:tc>
          <w:tcPr>
            <w:tcW w:w="1134" w:type="dxa"/>
            <w:tcBorders>
              <w:left w:val="double" w:sz="4" w:space="0" w:color="auto"/>
            </w:tcBorders>
            <w:tcMar>
              <w:top w:w="57" w:type="dxa"/>
              <w:left w:w="57" w:type="dxa"/>
              <w:bottom w:w="57" w:type="dxa"/>
              <w:right w:w="57" w:type="dxa"/>
            </w:tcMar>
          </w:tcPr>
          <w:p w:rsidR="007E6AB3" w:rsidRPr="009B5734" w:rsidRDefault="007E6AB3" w:rsidP="007E6AB3">
            <w:pPr>
              <w:tabs>
                <w:tab w:val="num" w:pos="425"/>
              </w:tabs>
              <w:rPr>
                <w:noProof/>
              </w:rPr>
            </w:pPr>
          </w:p>
        </w:tc>
        <w:tc>
          <w:tcPr>
            <w:tcW w:w="1446" w:type="dxa"/>
            <w:tcMar>
              <w:top w:w="57" w:type="dxa"/>
              <w:left w:w="57" w:type="dxa"/>
              <w:bottom w:w="57" w:type="dxa"/>
              <w:right w:w="57" w:type="dxa"/>
            </w:tcMar>
          </w:tcPr>
          <w:p w:rsidR="007E6AB3" w:rsidRPr="009B5734" w:rsidRDefault="007E6AB3" w:rsidP="007E6AB3">
            <w:pPr>
              <w:tabs>
                <w:tab w:val="num" w:pos="425"/>
              </w:tabs>
              <w:rPr>
                <w:noProof/>
              </w:rPr>
            </w:pPr>
          </w:p>
        </w:tc>
        <w:tc>
          <w:tcPr>
            <w:tcW w:w="1408" w:type="dxa"/>
            <w:tcMar>
              <w:top w:w="57" w:type="dxa"/>
              <w:left w:w="57" w:type="dxa"/>
              <w:bottom w:w="57" w:type="dxa"/>
              <w:right w:w="57" w:type="dxa"/>
            </w:tcMar>
            <w:vAlign w:val="center"/>
          </w:tcPr>
          <w:p w:rsidR="007E6AB3" w:rsidRPr="009B5734" w:rsidRDefault="007E6AB3" w:rsidP="007E6AB3">
            <w:pPr>
              <w:ind w:left="0" w:hanging="9"/>
              <w:jc w:val="center"/>
              <w:rPr>
                <w:noProof/>
              </w:rPr>
            </w:pPr>
            <w:r>
              <w:rPr>
                <w:noProof/>
              </w:rPr>
              <w:t>-</w:t>
            </w:r>
          </w:p>
        </w:tc>
        <w:tc>
          <w:tcPr>
            <w:tcW w:w="1427" w:type="dxa"/>
            <w:tcMar>
              <w:top w:w="57" w:type="dxa"/>
              <w:left w:w="57" w:type="dxa"/>
              <w:bottom w:w="57" w:type="dxa"/>
              <w:right w:w="57" w:type="dxa"/>
            </w:tcMar>
            <w:vAlign w:val="center"/>
          </w:tcPr>
          <w:p w:rsidR="007E6AB3" w:rsidRPr="009B5734" w:rsidRDefault="007E6AB3" w:rsidP="007E6AB3">
            <w:pPr>
              <w:ind w:left="10" w:hanging="10"/>
              <w:jc w:val="center"/>
              <w:rPr>
                <w:noProof/>
              </w:rPr>
            </w:pPr>
            <w:r>
              <w:rPr>
                <w:noProof/>
              </w:rPr>
              <w:t>-</w:t>
            </w:r>
          </w:p>
        </w:tc>
        <w:tc>
          <w:tcPr>
            <w:tcW w:w="1134" w:type="dxa"/>
            <w:tcMar>
              <w:top w:w="57" w:type="dxa"/>
              <w:left w:w="57" w:type="dxa"/>
              <w:bottom w:w="57" w:type="dxa"/>
              <w:right w:w="57" w:type="dxa"/>
            </w:tcMar>
            <w:vAlign w:val="center"/>
          </w:tcPr>
          <w:p w:rsidR="007E6AB3" w:rsidRPr="009B5734" w:rsidRDefault="007E6AB3" w:rsidP="007E6AB3">
            <w:pPr>
              <w:ind w:left="0" w:hanging="9"/>
              <w:jc w:val="center"/>
              <w:rPr>
                <w:noProof/>
              </w:rPr>
            </w:pPr>
            <w:r>
              <w:rPr>
                <w:noProof/>
              </w:rPr>
              <w:t>-</w:t>
            </w:r>
          </w:p>
        </w:tc>
        <w:tc>
          <w:tcPr>
            <w:tcW w:w="1276" w:type="dxa"/>
            <w:tcMar>
              <w:top w:w="57" w:type="dxa"/>
              <w:left w:w="57" w:type="dxa"/>
              <w:bottom w:w="57" w:type="dxa"/>
              <w:right w:w="57" w:type="dxa"/>
            </w:tcMar>
            <w:vAlign w:val="center"/>
          </w:tcPr>
          <w:p w:rsidR="007E6AB3" w:rsidRPr="009B5734" w:rsidRDefault="007E6AB3" w:rsidP="007E6AB3">
            <w:pPr>
              <w:ind w:left="10" w:hanging="10"/>
              <w:jc w:val="center"/>
              <w:rPr>
                <w:noProof/>
              </w:rPr>
            </w:pPr>
            <w:r>
              <w:rPr>
                <w:noProof/>
              </w:rPr>
              <w:t>-</w:t>
            </w:r>
          </w:p>
        </w:tc>
      </w:tr>
      <w:tr w:rsidR="007E6AB3" w:rsidRPr="009B5734" w:rsidTr="6B053803">
        <w:trPr>
          <w:trHeight w:val="307"/>
        </w:trPr>
        <w:tc>
          <w:tcPr>
            <w:tcW w:w="993" w:type="dxa"/>
            <w:vMerge/>
            <w:tcMar>
              <w:top w:w="57" w:type="dxa"/>
              <w:left w:w="57" w:type="dxa"/>
              <w:bottom w:w="57" w:type="dxa"/>
              <w:right w:w="57" w:type="dxa"/>
            </w:tcMar>
          </w:tcPr>
          <w:p w:rsidR="007E6AB3" w:rsidRDefault="007E6AB3" w:rsidP="007E6AB3">
            <w:pPr>
              <w:ind w:left="0" w:firstLine="0"/>
              <w:rPr>
                <w:b/>
                <w:i/>
                <w:noProof/>
              </w:rPr>
            </w:pPr>
          </w:p>
        </w:tc>
        <w:tc>
          <w:tcPr>
            <w:tcW w:w="1610" w:type="dxa"/>
            <w:tcBorders>
              <w:right w:val="double" w:sz="4" w:space="0" w:color="auto"/>
            </w:tcBorders>
            <w:tcMar>
              <w:top w:w="57" w:type="dxa"/>
              <w:left w:w="57" w:type="dxa"/>
              <w:bottom w:w="57" w:type="dxa"/>
              <w:right w:w="57" w:type="dxa"/>
            </w:tcMar>
            <w:vAlign w:val="center"/>
          </w:tcPr>
          <w:p w:rsidR="007E6AB3" w:rsidRPr="009B5734" w:rsidRDefault="007E6AB3" w:rsidP="007E6AB3">
            <w:pPr>
              <w:ind w:left="0" w:firstLine="0"/>
              <w:rPr>
                <w:i/>
                <w:noProof/>
              </w:rPr>
            </w:pPr>
            <w:r>
              <w:rPr>
                <w:i/>
                <w:noProof/>
              </w:rPr>
              <w:t>Direct regulatory fees and charges</w:t>
            </w:r>
          </w:p>
        </w:tc>
        <w:tc>
          <w:tcPr>
            <w:tcW w:w="1134" w:type="dxa"/>
            <w:tcBorders>
              <w:left w:val="double" w:sz="4" w:space="0" w:color="auto"/>
            </w:tcBorders>
            <w:tcMar>
              <w:top w:w="57" w:type="dxa"/>
              <w:left w:w="57" w:type="dxa"/>
              <w:bottom w:w="57" w:type="dxa"/>
              <w:right w:w="57" w:type="dxa"/>
            </w:tcMar>
          </w:tcPr>
          <w:p w:rsidR="007E6AB3" w:rsidRPr="009B5734" w:rsidRDefault="007E6AB3" w:rsidP="007E6AB3">
            <w:pPr>
              <w:tabs>
                <w:tab w:val="num" w:pos="425"/>
              </w:tabs>
              <w:rPr>
                <w:noProof/>
              </w:rPr>
            </w:pPr>
          </w:p>
        </w:tc>
        <w:tc>
          <w:tcPr>
            <w:tcW w:w="1446" w:type="dxa"/>
            <w:tcMar>
              <w:top w:w="57" w:type="dxa"/>
              <w:left w:w="57" w:type="dxa"/>
              <w:bottom w:w="57" w:type="dxa"/>
              <w:right w:w="57" w:type="dxa"/>
            </w:tcMar>
          </w:tcPr>
          <w:p w:rsidR="007E6AB3" w:rsidRPr="009B5734" w:rsidRDefault="007E6AB3" w:rsidP="007E6AB3">
            <w:pPr>
              <w:tabs>
                <w:tab w:val="num" w:pos="425"/>
              </w:tabs>
              <w:rPr>
                <w:noProof/>
              </w:rPr>
            </w:pPr>
          </w:p>
        </w:tc>
        <w:tc>
          <w:tcPr>
            <w:tcW w:w="1408" w:type="dxa"/>
            <w:tcMar>
              <w:top w:w="57" w:type="dxa"/>
              <w:left w:w="57" w:type="dxa"/>
              <w:bottom w:w="57" w:type="dxa"/>
              <w:right w:w="57" w:type="dxa"/>
            </w:tcMar>
            <w:vAlign w:val="center"/>
          </w:tcPr>
          <w:p w:rsidR="007E6AB3" w:rsidRPr="009B5734" w:rsidRDefault="007E6AB3" w:rsidP="007E6AB3">
            <w:pPr>
              <w:ind w:left="0" w:hanging="9"/>
              <w:jc w:val="center"/>
              <w:rPr>
                <w:noProof/>
              </w:rPr>
            </w:pPr>
            <w:r>
              <w:rPr>
                <w:noProof/>
              </w:rPr>
              <w:t>-</w:t>
            </w:r>
          </w:p>
        </w:tc>
        <w:tc>
          <w:tcPr>
            <w:tcW w:w="1427" w:type="dxa"/>
            <w:tcMar>
              <w:top w:w="57" w:type="dxa"/>
              <w:left w:w="57" w:type="dxa"/>
              <w:bottom w:w="57" w:type="dxa"/>
              <w:right w:w="57" w:type="dxa"/>
            </w:tcMar>
            <w:vAlign w:val="center"/>
          </w:tcPr>
          <w:p w:rsidR="007E6AB3" w:rsidRPr="009B5734" w:rsidRDefault="007E6AB3" w:rsidP="007E6AB3">
            <w:pPr>
              <w:ind w:left="10" w:hanging="10"/>
              <w:jc w:val="center"/>
              <w:rPr>
                <w:noProof/>
              </w:rPr>
            </w:pPr>
            <w:r>
              <w:rPr>
                <w:noProof/>
              </w:rPr>
              <w:t>-</w:t>
            </w:r>
          </w:p>
        </w:tc>
        <w:tc>
          <w:tcPr>
            <w:tcW w:w="1134" w:type="dxa"/>
            <w:tcMar>
              <w:top w:w="57" w:type="dxa"/>
              <w:left w:w="57" w:type="dxa"/>
              <w:bottom w:w="57" w:type="dxa"/>
              <w:right w:w="57" w:type="dxa"/>
            </w:tcMar>
            <w:vAlign w:val="center"/>
          </w:tcPr>
          <w:p w:rsidR="007E6AB3" w:rsidRPr="009B5734" w:rsidRDefault="007E6AB3" w:rsidP="007E6AB3">
            <w:pPr>
              <w:ind w:left="0" w:hanging="9"/>
              <w:jc w:val="center"/>
              <w:rPr>
                <w:noProof/>
              </w:rPr>
            </w:pPr>
            <w:r>
              <w:rPr>
                <w:noProof/>
              </w:rPr>
              <w:t>-</w:t>
            </w:r>
          </w:p>
        </w:tc>
        <w:tc>
          <w:tcPr>
            <w:tcW w:w="1276" w:type="dxa"/>
            <w:tcMar>
              <w:top w:w="57" w:type="dxa"/>
              <w:left w:w="57" w:type="dxa"/>
              <w:bottom w:w="57" w:type="dxa"/>
              <w:right w:w="57" w:type="dxa"/>
            </w:tcMar>
            <w:vAlign w:val="center"/>
          </w:tcPr>
          <w:p w:rsidR="007E6AB3" w:rsidRPr="009B5734" w:rsidRDefault="007E6AB3" w:rsidP="007E6AB3">
            <w:pPr>
              <w:ind w:left="10" w:hanging="10"/>
              <w:jc w:val="center"/>
              <w:rPr>
                <w:noProof/>
              </w:rPr>
            </w:pPr>
            <w:r>
              <w:rPr>
                <w:noProof/>
              </w:rPr>
              <w:t>-</w:t>
            </w:r>
          </w:p>
        </w:tc>
      </w:tr>
      <w:tr w:rsidR="007E6AB3" w:rsidRPr="009B5734" w:rsidTr="6B053803">
        <w:trPr>
          <w:trHeight w:val="307"/>
        </w:trPr>
        <w:tc>
          <w:tcPr>
            <w:tcW w:w="993" w:type="dxa"/>
            <w:vMerge/>
            <w:tcMar>
              <w:top w:w="57" w:type="dxa"/>
              <w:left w:w="57" w:type="dxa"/>
              <w:bottom w:w="57" w:type="dxa"/>
              <w:right w:w="57" w:type="dxa"/>
            </w:tcMar>
          </w:tcPr>
          <w:p w:rsidR="007E6AB3" w:rsidRDefault="007E6AB3" w:rsidP="007E6AB3">
            <w:pPr>
              <w:ind w:left="0" w:firstLine="0"/>
              <w:rPr>
                <w:b/>
                <w:i/>
                <w:noProof/>
              </w:rPr>
            </w:pPr>
          </w:p>
        </w:tc>
        <w:tc>
          <w:tcPr>
            <w:tcW w:w="1610" w:type="dxa"/>
            <w:tcBorders>
              <w:right w:val="double" w:sz="4" w:space="0" w:color="auto"/>
            </w:tcBorders>
            <w:tcMar>
              <w:top w:w="57" w:type="dxa"/>
              <w:left w:w="57" w:type="dxa"/>
              <w:bottom w:w="57" w:type="dxa"/>
              <w:right w:w="57" w:type="dxa"/>
            </w:tcMar>
            <w:vAlign w:val="center"/>
          </w:tcPr>
          <w:p w:rsidR="007E6AB3" w:rsidRPr="009B5734" w:rsidRDefault="007E6AB3" w:rsidP="007E6AB3">
            <w:pPr>
              <w:ind w:left="0" w:firstLine="0"/>
              <w:rPr>
                <w:i/>
                <w:noProof/>
              </w:rPr>
            </w:pPr>
            <w:r>
              <w:rPr>
                <w:i/>
                <w:noProof/>
              </w:rPr>
              <w:t>Direct enforcement costs</w:t>
            </w:r>
          </w:p>
        </w:tc>
        <w:tc>
          <w:tcPr>
            <w:tcW w:w="1134" w:type="dxa"/>
            <w:tcBorders>
              <w:left w:val="double" w:sz="4" w:space="0" w:color="auto"/>
            </w:tcBorders>
            <w:tcMar>
              <w:top w:w="57" w:type="dxa"/>
              <w:left w:w="57" w:type="dxa"/>
              <w:bottom w:w="57" w:type="dxa"/>
              <w:right w:w="57" w:type="dxa"/>
            </w:tcMar>
          </w:tcPr>
          <w:p w:rsidR="007E6AB3" w:rsidRPr="009B5734" w:rsidRDefault="007E6AB3" w:rsidP="007E6AB3">
            <w:pPr>
              <w:tabs>
                <w:tab w:val="num" w:pos="425"/>
              </w:tabs>
              <w:rPr>
                <w:noProof/>
              </w:rPr>
            </w:pPr>
          </w:p>
        </w:tc>
        <w:tc>
          <w:tcPr>
            <w:tcW w:w="1446" w:type="dxa"/>
            <w:tcMar>
              <w:top w:w="57" w:type="dxa"/>
              <w:left w:w="57" w:type="dxa"/>
              <w:bottom w:w="57" w:type="dxa"/>
              <w:right w:w="57" w:type="dxa"/>
            </w:tcMar>
          </w:tcPr>
          <w:p w:rsidR="007E6AB3" w:rsidRPr="009B5734" w:rsidRDefault="007E6AB3" w:rsidP="007E6AB3">
            <w:pPr>
              <w:tabs>
                <w:tab w:val="num" w:pos="425"/>
              </w:tabs>
              <w:rPr>
                <w:noProof/>
              </w:rPr>
            </w:pPr>
          </w:p>
        </w:tc>
        <w:tc>
          <w:tcPr>
            <w:tcW w:w="1408" w:type="dxa"/>
            <w:tcMar>
              <w:top w:w="57" w:type="dxa"/>
              <w:left w:w="57" w:type="dxa"/>
              <w:bottom w:w="57" w:type="dxa"/>
              <w:right w:w="57" w:type="dxa"/>
            </w:tcMar>
            <w:vAlign w:val="center"/>
          </w:tcPr>
          <w:p w:rsidR="007E6AB3" w:rsidRPr="009B5734" w:rsidRDefault="007E6AB3" w:rsidP="007E6AB3">
            <w:pPr>
              <w:ind w:left="0" w:hanging="9"/>
              <w:jc w:val="center"/>
              <w:rPr>
                <w:noProof/>
              </w:rPr>
            </w:pPr>
          </w:p>
        </w:tc>
        <w:tc>
          <w:tcPr>
            <w:tcW w:w="1427" w:type="dxa"/>
            <w:tcMar>
              <w:top w:w="57" w:type="dxa"/>
              <w:left w:w="57" w:type="dxa"/>
              <w:bottom w:w="57" w:type="dxa"/>
              <w:right w:w="57" w:type="dxa"/>
            </w:tcMar>
            <w:vAlign w:val="center"/>
          </w:tcPr>
          <w:p w:rsidR="007E6AB3" w:rsidRPr="009B5734" w:rsidRDefault="007E6AB3" w:rsidP="007E6AB3">
            <w:pPr>
              <w:ind w:left="10" w:hanging="10"/>
              <w:jc w:val="left"/>
              <w:rPr>
                <w:noProof/>
              </w:rPr>
            </w:pPr>
          </w:p>
        </w:tc>
        <w:tc>
          <w:tcPr>
            <w:tcW w:w="1134" w:type="dxa"/>
            <w:tcMar>
              <w:top w:w="57" w:type="dxa"/>
              <w:left w:w="57" w:type="dxa"/>
              <w:bottom w:w="57" w:type="dxa"/>
              <w:right w:w="57" w:type="dxa"/>
            </w:tcMar>
            <w:vAlign w:val="center"/>
          </w:tcPr>
          <w:p w:rsidR="007E6AB3" w:rsidRPr="009B5734" w:rsidRDefault="007E6AB3" w:rsidP="007E6AB3">
            <w:pPr>
              <w:ind w:left="0" w:hanging="9"/>
              <w:jc w:val="left"/>
              <w:rPr>
                <w:noProof/>
              </w:rPr>
            </w:pPr>
            <w:r w:rsidRPr="009B5734">
              <w:rPr>
                <w:noProof/>
              </w:rPr>
              <w:t>Total: ~EUR 0.13 million</w:t>
            </w:r>
          </w:p>
          <w:p w:rsidR="007E6AB3" w:rsidRPr="009B5734" w:rsidRDefault="007E6AB3" w:rsidP="007E6AB3">
            <w:pPr>
              <w:ind w:left="0" w:hanging="9"/>
              <w:jc w:val="left"/>
              <w:rPr>
                <w:noProof/>
              </w:rPr>
            </w:pPr>
          </w:p>
          <w:p w:rsidR="007E6AB3" w:rsidRPr="009B5734" w:rsidRDefault="007E6AB3" w:rsidP="007E6AB3">
            <w:pPr>
              <w:ind w:left="0" w:hanging="9"/>
              <w:jc w:val="left"/>
              <w:rPr>
                <w:noProof/>
              </w:rPr>
            </w:pPr>
            <w:r w:rsidRPr="009B5734">
              <w:rPr>
                <w:noProof/>
              </w:rPr>
              <w:t>Per Member State: ~EUR 4 450</w:t>
            </w:r>
          </w:p>
        </w:tc>
        <w:tc>
          <w:tcPr>
            <w:tcW w:w="1276" w:type="dxa"/>
            <w:tcMar>
              <w:top w:w="57" w:type="dxa"/>
              <w:left w:w="57" w:type="dxa"/>
              <w:bottom w:w="57" w:type="dxa"/>
              <w:right w:w="57" w:type="dxa"/>
            </w:tcMar>
            <w:vAlign w:val="center"/>
          </w:tcPr>
          <w:p w:rsidR="007E6AB3" w:rsidRPr="009B5734" w:rsidRDefault="007E6AB3" w:rsidP="007E6AB3">
            <w:pPr>
              <w:ind w:left="10" w:hanging="10"/>
              <w:jc w:val="left"/>
              <w:rPr>
                <w:noProof/>
              </w:rPr>
            </w:pPr>
            <w:r w:rsidRPr="009B5734">
              <w:rPr>
                <w:noProof/>
              </w:rPr>
              <w:t>Annual (average in the period 2025-2040): ~EUR 1.2 – 1.29 million</w:t>
            </w:r>
          </w:p>
          <w:p w:rsidR="007E6AB3" w:rsidRPr="009B5734" w:rsidRDefault="007E6AB3" w:rsidP="007E6AB3">
            <w:pPr>
              <w:ind w:left="10" w:hanging="10"/>
              <w:jc w:val="left"/>
              <w:rPr>
                <w:noProof/>
              </w:rPr>
            </w:pPr>
          </w:p>
          <w:p w:rsidR="007E6AB3" w:rsidRPr="009B5734" w:rsidRDefault="007E6AB3" w:rsidP="007E6AB3">
            <w:pPr>
              <w:ind w:left="10" w:hanging="10"/>
              <w:jc w:val="left"/>
              <w:rPr>
                <w:noProof/>
              </w:rPr>
            </w:pPr>
            <w:r w:rsidRPr="009B5734">
              <w:rPr>
                <w:noProof/>
              </w:rPr>
              <w:t>Annual per Member State (average in the period 2025-2040): ~EUR 44 500 – 47 677</w:t>
            </w:r>
          </w:p>
          <w:p w:rsidR="007E6AB3" w:rsidRPr="009B5734" w:rsidRDefault="007E6AB3" w:rsidP="007E6AB3">
            <w:pPr>
              <w:ind w:left="10" w:hanging="10"/>
              <w:jc w:val="left"/>
              <w:rPr>
                <w:noProof/>
              </w:rPr>
            </w:pPr>
          </w:p>
          <w:p w:rsidR="007E6AB3" w:rsidRPr="009B5734" w:rsidRDefault="007E6AB3" w:rsidP="007E6AB3">
            <w:pPr>
              <w:ind w:left="10" w:hanging="10"/>
              <w:jc w:val="left"/>
              <w:rPr>
                <w:noProof/>
              </w:rPr>
            </w:pPr>
            <w:r w:rsidRPr="009B5734">
              <w:rPr>
                <w:noProof/>
              </w:rPr>
              <w:t>Total (present value for 2025-2040): 14 – 15 million</w:t>
            </w:r>
          </w:p>
        </w:tc>
      </w:tr>
      <w:tr w:rsidR="007E6AB3" w:rsidRPr="009B5734" w:rsidTr="00C310D8">
        <w:tc>
          <w:tcPr>
            <w:tcW w:w="993" w:type="dxa"/>
            <w:vMerge/>
            <w:tcBorders>
              <w:bottom w:val="single" w:sz="4" w:space="0" w:color="auto"/>
            </w:tcBorders>
            <w:tcMar>
              <w:top w:w="57" w:type="dxa"/>
              <w:left w:w="57" w:type="dxa"/>
              <w:bottom w:w="57" w:type="dxa"/>
              <w:right w:w="57" w:type="dxa"/>
            </w:tcMar>
          </w:tcPr>
          <w:p w:rsidR="007E6AB3" w:rsidRPr="009B5734" w:rsidRDefault="007E6AB3" w:rsidP="007E6AB3">
            <w:pPr>
              <w:ind w:left="0" w:firstLine="0"/>
              <w:rPr>
                <w:noProof/>
              </w:rPr>
            </w:pPr>
          </w:p>
        </w:tc>
        <w:tc>
          <w:tcPr>
            <w:tcW w:w="1610" w:type="dxa"/>
            <w:tcBorders>
              <w:bottom w:val="single" w:sz="4" w:space="0" w:color="auto"/>
              <w:right w:val="double" w:sz="4" w:space="0" w:color="auto"/>
            </w:tcBorders>
            <w:tcMar>
              <w:top w:w="57" w:type="dxa"/>
              <w:left w:w="57" w:type="dxa"/>
              <w:bottom w:w="57" w:type="dxa"/>
              <w:right w:w="57" w:type="dxa"/>
            </w:tcMar>
          </w:tcPr>
          <w:p w:rsidR="007E6AB3" w:rsidRPr="009B5734" w:rsidRDefault="007E6AB3" w:rsidP="007E6AB3">
            <w:pPr>
              <w:ind w:left="0" w:firstLine="0"/>
              <w:rPr>
                <w:i/>
                <w:noProof/>
              </w:rPr>
            </w:pPr>
            <w:r w:rsidRPr="009B5734">
              <w:rPr>
                <w:i/>
                <w:noProof/>
              </w:rPr>
              <w:t>Indirect costs</w:t>
            </w:r>
          </w:p>
        </w:tc>
        <w:tc>
          <w:tcPr>
            <w:tcW w:w="1134" w:type="dxa"/>
            <w:tcBorders>
              <w:left w:val="double" w:sz="4" w:space="0" w:color="auto"/>
              <w:bottom w:val="single" w:sz="4" w:space="0" w:color="auto"/>
            </w:tcBorders>
            <w:tcMar>
              <w:top w:w="57" w:type="dxa"/>
              <w:left w:w="57" w:type="dxa"/>
              <w:bottom w:w="57" w:type="dxa"/>
              <w:right w:w="57" w:type="dxa"/>
            </w:tcMar>
          </w:tcPr>
          <w:p w:rsidR="007E6AB3" w:rsidRPr="009B5734" w:rsidRDefault="007E6AB3" w:rsidP="007E6AB3">
            <w:pPr>
              <w:tabs>
                <w:tab w:val="num" w:pos="425"/>
              </w:tabs>
              <w:rPr>
                <w:noProof/>
              </w:rPr>
            </w:pPr>
          </w:p>
        </w:tc>
        <w:tc>
          <w:tcPr>
            <w:tcW w:w="1446" w:type="dxa"/>
            <w:tcBorders>
              <w:bottom w:val="single" w:sz="4" w:space="0" w:color="auto"/>
            </w:tcBorders>
            <w:tcMar>
              <w:top w:w="57" w:type="dxa"/>
              <w:left w:w="57" w:type="dxa"/>
              <w:bottom w:w="57" w:type="dxa"/>
              <w:right w:w="57" w:type="dxa"/>
            </w:tcMar>
          </w:tcPr>
          <w:p w:rsidR="007E6AB3" w:rsidRPr="009B5734" w:rsidRDefault="007E6AB3" w:rsidP="007E6AB3">
            <w:pPr>
              <w:tabs>
                <w:tab w:val="num" w:pos="425"/>
              </w:tabs>
              <w:rPr>
                <w:noProof/>
              </w:rPr>
            </w:pPr>
          </w:p>
        </w:tc>
        <w:tc>
          <w:tcPr>
            <w:tcW w:w="1408" w:type="dxa"/>
            <w:tcBorders>
              <w:bottom w:val="single" w:sz="4" w:space="0" w:color="auto"/>
            </w:tcBorders>
            <w:tcMar>
              <w:top w:w="57" w:type="dxa"/>
              <w:left w:w="57" w:type="dxa"/>
              <w:bottom w:w="57" w:type="dxa"/>
              <w:right w:w="57" w:type="dxa"/>
            </w:tcMar>
            <w:vAlign w:val="center"/>
          </w:tcPr>
          <w:p w:rsidR="007E6AB3" w:rsidRPr="009B5734" w:rsidRDefault="007E6AB3" w:rsidP="007E6AB3">
            <w:pPr>
              <w:tabs>
                <w:tab w:val="num" w:pos="425"/>
              </w:tabs>
              <w:jc w:val="center"/>
              <w:rPr>
                <w:noProof/>
              </w:rPr>
            </w:pPr>
            <w:r w:rsidRPr="009B5734">
              <w:rPr>
                <w:noProof/>
              </w:rPr>
              <w:t>-</w:t>
            </w:r>
          </w:p>
        </w:tc>
        <w:tc>
          <w:tcPr>
            <w:tcW w:w="1427" w:type="dxa"/>
            <w:tcBorders>
              <w:bottom w:val="single" w:sz="4" w:space="0" w:color="auto"/>
            </w:tcBorders>
            <w:tcMar>
              <w:top w:w="57" w:type="dxa"/>
              <w:left w:w="57" w:type="dxa"/>
              <w:bottom w:w="57" w:type="dxa"/>
              <w:right w:w="57" w:type="dxa"/>
            </w:tcMar>
            <w:vAlign w:val="center"/>
          </w:tcPr>
          <w:p w:rsidR="007E6AB3" w:rsidRPr="009B5734" w:rsidRDefault="007E6AB3" w:rsidP="007E6AB3">
            <w:pPr>
              <w:tabs>
                <w:tab w:val="num" w:pos="425"/>
              </w:tabs>
              <w:jc w:val="center"/>
              <w:rPr>
                <w:noProof/>
              </w:rPr>
            </w:pPr>
            <w:r w:rsidRPr="009B5734">
              <w:rPr>
                <w:noProof/>
              </w:rPr>
              <w:t>-</w:t>
            </w:r>
          </w:p>
        </w:tc>
        <w:tc>
          <w:tcPr>
            <w:tcW w:w="1134" w:type="dxa"/>
            <w:tcBorders>
              <w:bottom w:val="single" w:sz="4" w:space="0" w:color="auto"/>
            </w:tcBorders>
            <w:tcMar>
              <w:top w:w="57" w:type="dxa"/>
              <w:left w:w="57" w:type="dxa"/>
              <w:bottom w:w="57" w:type="dxa"/>
              <w:right w:w="57" w:type="dxa"/>
            </w:tcMar>
            <w:vAlign w:val="center"/>
          </w:tcPr>
          <w:p w:rsidR="007E6AB3" w:rsidRPr="009B5734" w:rsidRDefault="007E6AB3" w:rsidP="007E6AB3">
            <w:pPr>
              <w:tabs>
                <w:tab w:val="num" w:pos="425"/>
              </w:tabs>
              <w:jc w:val="center"/>
              <w:rPr>
                <w:noProof/>
              </w:rPr>
            </w:pPr>
            <w:r w:rsidRPr="009B5734">
              <w:rPr>
                <w:noProof/>
              </w:rPr>
              <w:t>-</w:t>
            </w:r>
          </w:p>
        </w:tc>
        <w:tc>
          <w:tcPr>
            <w:tcW w:w="1276" w:type="dxa"/>
            <w:tcBorders>
              <w:bottom w:val="single" w:sz="4" w:space="0" w:color="auto"/>
            </w:tcBorders>
            <w:tcMar>
              <w:top w:w="57" w:type="dxa"/>
              <w:left w:w="57" w:type="dxa"/>
              <w:bottom w:w="57" w:type="dxa"/>
              <w:right w:w="57" w:type="dxa"/>
            </w:tcMar>
            <w:vAlign w:val="center"/>
          </w:tcPr>
          <w:p w:rsidR="007E6AB3" w:rsidRPr="009B5734" w:rsidRDefault="007E6AB3" w:rsidP="007E6AB3">
            <w:pPr>
              <w:tabs>
                <w:tab w:val="num" w:pos="425"/>
              </w:tabs>
              <w:jc w:val="center"/>
              <w:rPr>
                <w:noProof/>
              </w:rPr>
            </w:pPr>
            <w:r w:rsidRPr="009B5734">
              <w:rPr>
                <w:noProof/>
              </w:rPr>
              <w:t>-</w:t>
            </w:r>
          </w:p>
        </w:tc>
      </w:tr>
      <w:tr w:rsidR="00A43F91" w:rsidRPr="00A43F91" w:rsidTr="00F12321">
        <w:trPr>
          <w:trHeight w:val="307"/>
        </w:trPr>
        <w:tc>
          <w:tcPr>
            <w:tcW w:w="10428" w:type="dxa"/>
            <w:gridSpan w:val="8"/>
            <w:tcBorders>
              <w:top w:val="single" w:sz="4" w:space="0" w:color="auto"/>
              <w:bottom w:val="double" w:sz="4" w:space="0" w:color="auto"/>
            </w:tcBorders>
            <w:shd w:val="clear" w:color="auto" w:fill="C6D9F1" w:themeFill="text2" w:themeFillTint="33"/>
            <w:tcMar>
              <w:top w:w="57" w:type="dxa"/>
              <w:left w:w="57" w:type="dxa"/>
              <w:bottom w:w="57" w:type="dxa"/>
              <w:right w:w="57" w:type="dxa"/>
            </w:tcMar>
            <w:vAlign w:val="center"/>
          </w:tcPr>
          <w:p w:rsidR="00A43F91" w:rsidRPr="00A43F91" w:rsidRDefault="00A43F91" w:rsidP="00A43F91">
            <w:pPr>
              <w:ind w:left="0" w:firstLine="0"/>
              <w:jc w:val="center"/>
              <w:rPr>
                <w:b/>
                <w:i/>
                <w:noProof/>
                <w:sz w:val="22"/>
                <w:szCs w:val="22"/>
              </w:rPr>
            </w:pPr>
            <w:r w:rsidRPr="00A43F91">
              <w:rPr>
                <w:b/>
                <w:i/>
                <w:noProof/>
                <w:sz w:val="22"/>
                <w:szCs w:val="22"/>
              </w:rPr>
              <w:t>Costs related to the ‘one in, one out’ approach</w:t>
            </w:r>
          </w:p>
        </w:tc>
      </w:tr>
      <w:tr w:rsidR="00F12321" w:rsidRPr="009B5734" w:rsidTr="00F12321">
        <w:trPr>
          <w:trHeight w:val="307"/>
        </w:trPr>
        <w:tc>
          <w:tcPr>
            <w:tcW w:w="993" w:type="dxa"/>
            <w:vMerge w:val="restart"/>
            <w:shd w:val="clear" w:color="auto" w:fill="C6D9F1" w:themeFill="text2" w:themeFillTint="33"/>
            <w:tcMar>
              <w:top w:w="57" w:type="dxa"/>
              <w:left w:w="57" w:type="dxa"/>
              <w:bottom w:w="57" w:type="dxa"/>
              <w:right w:w="57" w:type="dxa"/>
            </w:tcMar>
            <w:vAlign w:val="center"/>
          </w:tcPr>
          <w:p w:rsidR="00F12321" w:rsidRPr="009B5734" w:rsidRDefault="003134BD" w:rsidP="007E6AB3">
            <w:pPr>
              <w:ind w:left="0" w:firstLine="0"/>
              <w:rPr>
                <w:b/>
                <w:i/>
                <w:noProof/>
              </w:rPr>
            </w:pPr>
            <w:r>
              <w:rPr>
                <w:b/>
                <w:i/>
                <w:noProof/>
              </w:rPr>
              <w:t>Total costs for all preferred options together</w:t>
            </w:r>
          </w:p>
        </w:tc>
        <w:tc>
          <w:tcPr>
            <w:tcW w:w="1610" w:type="dxa"/>
            <w:tcBorders>
              <w:top w:val="single" w:sz="4" w:space="0" w:color="auto"/>
              <w:bottom w:val="single" w:sz="4" w:space="0" w:color="auto"/>
              <w:right w:val="double" w:sz="4" w:space="0" w:color="auto"/>
            </w:tcBorders>
            <w:shd w:val="clear" w:color="auto" w:fill="C6D9F1" w:themeFill="text2" w:themeFillTint="33"/>
            <w:tcMar>
              <w:top w:w="57" w:type="dxa"/>
              <w:left w:w="57" w:type="dxa"/>
              <w:bottom w:w="57" w:type="dxa"/>
              <w:right w:w="57" w:type="dxa"/>
            </w:tcMar>
            <w:vAlign w:val="center"/>
          </w:tcPr>
          <w:p w:rsidR="00F12321" w:rsidRPr="009B5734" w:rsidRDefault="00F12321" w:rsidP="007E6AB3">
            <w:pPr>
              <w:ind w:left="0" w:firstLine="0"/>
              <w:rPr>
                <w:b/>
                <w:i/>
                <w:noProof/>
              </w:rPr>
            </w:pPr>
            <w:r w:rsidRPr="009B5734">
              <w:rPr>
                <w:b/>
                <w:i/>
                <w:noProof/>
              </w:rPr>
              <w:t>Direct</w:t>
            </w:r>
            <w:r>
              <w:rPr>
                <w:b/>
                <w:i/>
                <w:noProof/>
              </w:rPr>
              <w:t xml:space="preserve"> adjustment</w:t>
            </w:r>
            <w:r w:rsidRPr="009B5734">
              <w:rPr>
                <w:b/>
                <w:i/>
                <w:noProof/>
              </w:rPr>
              <w:t xml:space="preserve"> costs</w:t>
            </w:r>
          </w:p>
          <w:p w:rsidR="00F12321" w:rsidRPr="009B5734" w:rsidRDefault="00F12321" w:rsidP="007E6AB3">
            <w:pPr>
              <w:ind w:left="0" w:firstLine="0"/>
              <w:rPr>
                <w:b/>
                <w:noProof/>
              </w:rPr>
            </w:pPr>
          </w:p>
        </w:tc>
        <w:tc>
          <w:tcPr>
            <w:tcW w:w="1134" w:type="dxa"/>
            <w:tcBorders>
              <w:top w:val="single" w:sz="4" w:space="0" w:color="auto"/>
              <w:left w:val="double" w:sz="4" w:space="0" w:color="auto"/>
              <w:bottom w:val="single" w:sz="4" w:space="0" w:color="auto"/>
            </w:tcBorders>
            <w:shd w:val="clear" w:color="auto" w:fill="C6D9F1" w:themeFill="text2" w:themeFillTint="33"/>
            <w:tcMar>
              <w:top w:w="57" w:type="dxa"/>
              <w:left w:w="57" w:type="dxa"/>
              <w:bottom w:w="57" w:type="dxa"/>
              <w:right w:w="57" w:type="dxa"/>
            </w:tcMar>
          </w:tcPr>
          <w:p w:rsidR="00F12321" w:rsidRPr="009B5734" w:rsidRDefault="00F12321" w:rsidP="007E6AB3">
            <w:pPr>
              <w:tabs>
                <w:tab w:val="num" w:pos="425"/>
              </w:tabs>
              <w:rPr>
                <w:b/>
                <w:noProof/>
              </w:rPr>
            </w:pPr>
          </w:p>
        </w:tc>
        <w:tc>
          <w:tcPr>
            <w:tcW w:w="1446" w:type="dxa"/>
            <w:tcBorders>
              <w:top w:val="single" w:sz="4" w:space="0" w:color="auto"/>
              <w:bottom w:val="single" w:sz="4" w:space="0" w:color="auto"/>
            </w:tcBorders>
            <w:shd w:val="clear" w:color="auto" w:fill="C6D9F1" w:themeFill="text2" w:themeFillTint="33"/>
            <w:tcMar>
              <w:top w:w="57" w:type="dxa"/>
              <w:left w:w="57" w:type="dxa"/>
              <w:bottom w:w="57" w:type="dxa"/>
              <w:right w:w="57" w:type="dxa"/>
            </w:tcMar>
          </w:tcPr>
          <w:p w:rsidR="00F12321" w:rsidRPr="009B5734" w:rsidRDefault="00F12321" w:rsidP="007E6AB3">
            <w:pPr>
              <w:tabs>
                <w:tab w:val="num" w:pos="425"/>
              </w:tabs>
              <w:rPr>
                <w:b/>
                <w:noProof/>
              </w:rPr>
            </w:pPr>
          </w:p>
        </w:tc>
        <w:tc>
          <w:tcPr>
            <w:tcW w:w="1408" w:type="dxa"/>
            <w:tcBorders>
              <w:top w:val="single" w:sz="4" w:space="0" w:color="auto"/>
              <w:bottom w:val="single" w:sz="4" w:space="0" w:color="auto"/>
            </w:tcBorders>
            <w:shd w:val="clear" w:color="auto" w:fill="C6D9F1" w:themeFill="text2" w:themeFillTint="33"/>
            <w:tcMar>
              <w:top w:w="57" w:type="dxa"/>
              <w:left w:w="57" w:type="dxa"/>
              <w:bottom w:w="57" w:type="dxa"/>
              <w:right w:w="57" w:type="dxa"/>
            </w:tcMar>
            <w:vAlign w:val="center"/>
          </w:tcPr>
          <w:p w:rsidR="00F12321" w:rsidRPr="009B5734" w:rsidRDefault="00F12321" w:rsidP="007E6AB3">
            <w:pPr>
              <w:ind w:left="0" w:hanging="9"/>
              <w:jc w:val="center"/>
              <w:rPr>
                <w:b/>
                <w:noProof/>
              </w:rPr>
            </w:pPr>
            <w:r w:rsidRPr="009B5734">
              <w:rPr>
                <w:b/>
                <w:noProof/>
                <w:u w:val="single"/>
              </w:rPr>
              <w:t>Total</w:t>
            </w:r>
            <w:r w:rsidRPr="009B5734">
              <w:rPr>
                <w:b/>
                <w:noProof/>
              </w:rPr>
              <w:t>:</w:t>
            </w:r>
          </w:p>
          <w:p w:rsidR="00F12321" w:rsidRPr="009B5734" w:rsidRDefault="00F12321" w:rsidP="007E6AB3">
            <w:pPr>
              <w:ind w:left="0" w:hanging="9"/>
              <w:jc w:val="center"/>
              <w:rPr>
                <w:b/>
                <w:noProof/>
              </w:rPr>
            </w:pPr>
            <w:r w:rsidRPr="009B5734">
              <w:rPr>
                <w:b/>
                <w:noProof/>
              </w:rPr>
              <w:t xml:space="preserve"> ~EUR </w:t>
            </w:r>
            <w:r>
              <w:rPr>
                <w:b/>
                <w:noProof/>
              </w:rPr>
              <w:t>3800</w:t>
            </w:r>
            <w:r w:rsidRPr="009B5734">
              <w:rPr>
                <w:b/>
                <w:noProof/>
              </w:rPr>
              <w:t xml:space="preserve"> – </w:t>
            </w:r>
            <w:r>
              <w:rPr>
                <w:b/>
                <w:noProof/>
              </w:rPr>
              <w:t>3880</w:t>
            </w:r>
            <w:r w:rsidRPr="009B5734">
              <w:rPr>
                <w:b/>
                <w:noProof/>
              </w:rPr>
              <w:t xml:space="preserve">  million</w:t>
            </w:r>
          </w:p>
          <w:p w:rsidR="00F12321" w:rsidRPr="009B5734" w:rsidRDefault="00F12321" w:rsidP="007E6AB3">
            <w:pPr>
              <w:ind w:left="0" w:hanging="9"/>
              <w:jc w:val="center"/>
              <w:rPr>
                <w:b/>
                <w:noProof/>
              </w:rPr>
            </w:pPr>
          </w:p>
          <w:p w:rsidR="00F12321" w:rsidRPr="009B5734" w:rsidRDefault="00F12321" w:rsidP="00CF78AC">
            <w:pPr>
              <w:ind w:left="0" w:hanging="9"/>
              <w:jc w:val="center"/>
              <w:rPr>
                <w:b/>
                <w:noProof/>
              </w:rPr>
            </w:pPr>
            <w:r w:rsidRPr="009B5734">
              <w:rPr>
                <w:b/>
                <w:noProof/>
                <w:u w:val="single"/>
              </w:rPr>
              <w:t>Per company</w:t>
            </w:r>
            <w:r w:rsidRPr="009B5734">
              <w:rPr>
                <w:b/>
                <w:noProof/>
              </w:rPr>
              <w:t xml:space="preserve">: ~EUR </w:t>
            </w:r>
            <w:r>
              <w:rPr>
                <w:b/>
                <w:noProof/>
              </w:rPr>
              <w:t>540</w:t>
            </w:r>
            <w:r w:rsidRPr="009B5734">
              <w:rPr>
                <w:b/>
                <w:noProof/>
              </w:rPr>
              <w:t xml:space="preserve"> – </w:t>
            </w:r>
            <w:r>
              <w:rPr>
                <w:b/>
                <w:noProof/>
              </w:rPr>
              <w:t>552</w:t>
            </w:r>
          </w:p>
        </w:tc>
        <w:tc>
          <w:tcPr>
            <w:tcW w:w="1427" w:type="dxa"/>
            <w:tcBorders>
              <w:top w:val="single" w:sz="4" w:space="0" w:color="auto"/>
              <w:bottom w:val="single" w:sz="4" w:space="0" w:color="auto"/>
            </w:tcBorders>
            <w:shd w:val="clear" w:color="auto" w:fill="C6D9F1" w:themeFill="text2" w:themeFillTint="33"/>
            <w:tcMar>
              <w:top w:w="57" w:type="dxa"/>
              <w:left w:w="57" w:type="dxa"/>
              <w:bottom w:w="57" w:type="dxa"/>
              <w:right w:w="57" w:type="dxa"/>
            </w:tcMar>
            <w:vAlign w:val="center"/>
          </w:tcPr>
          <w:p w:rsidR="00F12321" w:rsidRPr="009B5734" w:rsidRDefault="00F12321" w:rsidP="007E6AB3">
            <w:pPr>
              <w:ind w:left="10" w:hanging="10"/>
              <w:jc w:val="left"/>
              <w:rPr>
                <w:b/>
                <w:noProof/>
              </w:rPr>
            </w:pPr>
            <w:r w:rsidRPr="009B5734">
              <w:rPr>
                <w:b/>
                <w:noProof/>
                <w:u w:val="single"/>
              </w:rPr>
              <w:t>Annual</w:t>
            </w:r>
            <w:r w:rsidRPr="009B5734">
              <w:rPr>
                <w:b/>
                <w:noProof/>
              </w:rPr>
              <w:t xml:space="preserve"> (average in the period 2025-2040): ~EUR </w:t>
            </w:r>
            <w:r>
              <w:rPr>
                <w:b/>
                <w:noProof/>
              </w:rPr>
              <w:t>438</w:t>
            </w:r>
            <w:r w:rsidRPr="009B5734">
              <w:rPr>
                <w:b/>
                <w:noProof/>
              </w:rPr>
              <w:t xml:space="preserve"> – </w:t>
            </w:r>
            <w:r>
              <w:rPr>
                <w:b/>
                <w:noProof/>
              </w:rPr>
              <w:t>539</w:t>
            </w:r>
            <w:r w:rsidRPr="009B5734">
              <w:rPr>
                <w:b/>
                <w:noProof/>
              </w:rPr>
              <w:t xml:space="preserve"> million</w:t>
            </w:r>
          </w:p>
          <w:p w:rsidR="00F12321" w:rsidRPr="009B5734" w:rsidRDefault="00F12321" w:rsidP="007E6AB3">
            <w:pPr>
              <w:ind w:left="10" w:hanging="10"/>
              <w:jc w:val="left"/>
              <w:rPr>
                <w:b/>
                <w:noProof/>
              </w:rPr>
            </w:pPr>
          </w:p>
          <w:p w:rsidR="00F12321" w:rsidRPr="009B5734" w:rsidRDefault="00F12321" w:rsidP="007E6AB3">
            <w:pPr>
              <w:ind w:left="10" w:hanging="10"/>
              <w:jc w:val="left"/>
              <w:rPr>
                <w:b/>
                <w:noProof/>
              </w:rPr>
            </w:pPr>
            <w:r w:rsidRPr="009B5734">
              <w:rPr>
                <w:b/>
                <w:noProof/>
                <w:u w:val="single"/>
              </w:rPr>
              <w:t>Annual per company</w:t>
            </w:r>
            <w:r w:rsidRPr="009B5734">
              <w:rPr>
                <w:b/>
                <w:noProof/>
              </w:rPr>
              <w:t xml:space="preserve"> (average in the period 2025-2040): ~EUR 6</w:t>
            </w:r>
            <w:r>
              <w:rPr>
                <w:b/>
                <w:noProof/>
              </w:rPr>
              <w:t>3</w:t>
            </w:r>
            <w:r w:rsidRPr="009B5734">
              <w:rPr>
                <w:b/>
                <w:noProof/>
              </w:rPr>
              <w:t xml:space="preserve"> – </w:t>
            </w:r>
            <w:r>
              <w:rPr>
                <w:b/>
                <w:noProof/>
              </w:rPr>
              <w:t>77</w:t>
            </w:r>
          </w:p>
          <w:p w:rsidR="00F12321" w:rsidRPr="009B5734" w:rsidRDefault="00F12321" w:rsidP="007E6AB3">
            <w:pPr>
              <w:ind w:left="10" w:hanging="10"/>
              <w:jc w:val="left"/>
              <w:rPr>
                <w:b/>
                <w:noProof/>
              </w:rPr>
            </w:pPr>
          </w:p>
          <w:p w:rsidR="00F12321" w:rsidRPr="009B5734" w:rsidRDefault="00F12321" w:rsidP="00221D68">
            <w:pPr>
              <w:ind w:left="0" w:firstLine="10"/>
              <w:jc w:val="center"/>
              <w:rPr>
                <w:b/>
                <w:noProof/>
              </w:rPr>
            </w:pPr>
            <w:r w:rsidRPr="009B5734">
              <w:rPr>
                <w:b/>
                <w:noProof/>
                <w:u w:val="single"/>
              </w:rPr>
              <w:t>Total (</w:t>
            </w:r>
            <w:r w:rsidRPr="009B5734">
              <w:rPr>
                <w:b/>
                <w:noProof/>
              </w:rPr>
              <w:t>present value for 2025-2040)</w:t>
            </w:r>
            <w:r w:rsidRPr="009B5734">
              <w:rPr>
                <w:b/>
                <w:noProof/>
                <w:u w:val="single"/>
              </w:rPr>
              <w:t>:</w:t>
            </w:r>
            <w:r w:rsidRPr="009B5734">
              <w:rPr>
                <w:b/>
                <w:noProof/>
              </w:rPr>
              <w:t xml:space="preserve"> ~EUR </w:t>
            </w:r>
            <w:r>
              <w:rPr>
                <w:b/>
                <w:noProof/>
              </w:rPr>
              <w:t>5102</w:t>
            </w:r>
            <w:r w:rsidRPr="009B5734">
              <w:rPr>
                <w:b/>
                <w:noProof/>
              </w:rPr>
              <w:t xml:space="preserve"> – </w:t>
            </w:r>
            <w:r>
              <w:rPr>
                <w:b/>
                <w:noProof/>
              </w:rPr>
              <w:t>6283</w:t>
            </w:r>
            <w:r w:rsidRPr="009B5734">
              <w:rPr>
                <w:b/>
                <w:noProof/>
              </w:rPr>
              <w:t xml:space="preserve"> million</w:t>
            </w:r>
          </w:p>
        </w:tc>
        <w:tc>
          <w:tcPr>
            <w:tcW w:w="1134" w:type="dxa"/>
            <w:tcBorders>
              <w:top w:val="single" w:sz="4" w:space="0" w:color="auto"/>
              <w:bottom w:val="single" w:sz="4" w:space="0" w:color="auto"/>
            </w:tcBorders>
            <w:shd w:val="clear" w:color="auto" w:fill="C6D9F1" w:themeFill="text2" w:themeFillTint="33"/>
            <w:tcMar>
              <w:top w:w="57" w:type="dxa"/>
              <w:left w:w="57" w:type="dxa"/>
              <w:bottom w:w="57" w:type="dxa"/>
              <w:right w:w="57" w:type="dxa"/>
            </w:tcMar>
            <w:vAlign w:val="center"/>
          </w:tcPr>
          <w:p w:rsidR="00F12321" w:rsidRPr="009B5734" w:rsidRDefault="00F12321" w:rsidP="007E6AB3">
            <w:pPr>
              <w:ind w:left="0" w:hanging="9"/>
              <w:jc w:val="left"/>
              <w:rPr>
                <w:b/>
                <w:noProof/>
              </w:rPr>
            </w:pPr>
          </w:p>
        </w:tc>
        <w:tc>
          <w:tcPr>
            <w:tcW w:w="1276" w:type="dxa"/>
            <w:tcBorders>
              <w:top w:val="single" w:sz="4" w:space="0" w:color="auto"/>
              <w:bottom w:val="single" w:sz="4" w:space="0" w:color="auto"/>
            </w:tcBorders>
            <w:shd w:val="clear" w:color="auto" w:fill="C6D9F1" w:themeFill="text2" w:themeFillTint="33"/>
            <w:tcMar>
              <w:top w:w="57" w:type="dxa"/>
              <w:left w:w="57" w:type="dxa"/>
              <w:bottom w:w="57" w:type="dxa"/>
              <w:right w:w="57" w:type="dxa"/>
            </w:tcMar>
            <w:vAlign w:val="center"/>
          </w:tcPr>
          <w:p w:rsidR="00F12321" w:rsidRPr="009B5734" w:rsidRDefault="00F12321" w:rsidP="007E6AB3">
            <w:pPr>
              <w:ind w:left="10" w:hanging="10"/>
              <w:jc w:val="left"/>
              <w:rPr>
                <w:b/>
                <w:noProof/>
              </w:rPr>
            </w:pPr>
          </w:p>
          <w:p w:rsidR="00F12321" w:rsidRPr="009B5734" w:rsidRDefault="00F12321" w:rsidP="007E6AB3">
            <w:pPr>
              <w:ind w:left="7" w:hanging="7"/>
              <w:jc w:val="center"/>
              <w:rPr>
                <w:b/>
                <w:noProof/>
              </w:rPr>
            </w:pPr>
            <w:r>
              <w:rPr>
                <w:b/>
                <w:noProof/>
                <w:u w:val="single"/>
              </w:rPr>
              <w:t>-</w:t>
            </w:r>
          </w:p>
        </w:tc>
      </w:tr>
      <w:tr w:rsidR="00F12321" w:rsidRPr="009B5734" w:rsidTr="00F12321">
        <w:trPr>
          <w:trHeight w:val="307"/>
        </w:trPr>
        <w:tc>
          <w:tcPr>
            <w:tcW w:w="993" w:type="dxa"/>
            <w:vMerge/>
            <w:shd w:val="clear" w:color="auto" w:fill="C6D9F1" w:themeFill="text2" w:themeFillTint="33"/>
            <w:tcMar>
              <w:top w:w="57" w:type="dxa"/>
              <w:left w:w="57" w:type="dxa"/>
              <w:bottom w:w="57" w:type="dxa"/>
              <w:right w:w="57" w:type="dxa"/>
            </w:tcMar>
            <w:vAlign w:val="center"/>
          </w:tcPr>
          <w:p w:rsidR="00F12321" w:rsidRDefault="00F12321" w:rsidP="007E6AB3">
            <w:pPr>
              <w:ind w:left="0" w:firstLine="0"/>
              <w:rPr>
                <w:b/>
                <w:i/>
                <w:noProof/>
              </w:rPr>
            </w:pPr>
          </w:p>
        </w:tc>
        <w:tc>
          <w:tcPr>
            <w:tcW w:w="1610" w:type="dxa"/>
            <w:tcBorders>
              <w:top w:val="single" w:sz="4" w:space="0" w:color="auto"/>
              <w:bottom w:val="single" w:sz="4" w:space="0" w:color="auto"/>
              <w:right w:val="double" w:sz="4" w:space="0" w:color="auto"/>
            </w:tcBorders>
            <w:shd w:val="clear" w:color="auto" w:fill="C6D9F1" w:themeFill="text2" w:themeFillTint="33"/>
            <w:tcMar>
              <w:top w:w="57" w:type="dxa"/>
              <w:left w:w="57" w:type="dxa"/>
              <w:bottom w:w="57" w:type="dxa"/>
              <w:right w:w="57" w:type="dxa"/>
            </w:tcMar>
            <w:vAlign w:val="center"/>
          </w:tcPr>
          <w:p w:rsidR="00F12321" w:rsidRPr="009B5734" w:rsidRDefault="00F12321" w:rsidP="007E6AB3">
            <w:pPr>
              <w:ind w:left="0" w:firstLine="0"/>
              <w:rPr>
                <w:b/>
                <w:i/>
                <w:noProof/>
              </w:rPr>
            </w:pPr>
            <w:r>
              <w:rPr>
                <w:b/>
                <w:i/>
                <w:noProof/>
              </w:rPr>
              <w:t>Indirect adjustment costs</w:t>
            </w:r>
          </w:p>
        </w:tc>
        <w:tc>
          <w:tcPr>
            <w:tcW w:w="1134" w:type="dxa"/>
            <w:tcBorders>
              <w:top w:val="single" w:sz="4" w:space="0" w:color="auto"/>
              <w:left w:val="double" w:sz="4" w:space="0" w:color="auto"/>
              <w:bottom w:val="single" w:sz="4" w:space="0" w:color="auto"/>
            </w:tcBorders>
            <w:shd w:val="clear" w:color="auto" w:fill="C6D9F1" w:themeFill="text2" w:themeFillTint="33"/>
            <w:tcMar>
              <w:top w:w="57" w:type="dxa"/>
              <w:left w:w="57" w:type="dxa"/>
              <w:bottom w:w="57" w:type="dxa"/>
              <w:right w:w="57" w:type="dxa"/>
            </w:tcMar>
          </w:tcPr>
          <w:p w:rsidR="00F12321" w:rsidRPr="009B5734" w:rsidRDefault="00F12321" w:rsidP="007E6AB3">
            <w:pPr>
              <w:tabs>
                <w:tab w:val="num" w:pos="425"/>
              </w:tabs>
              <w:rPr>
                <w:b/>
                <w:noProof/>
              </w:rPr>
            </w:pPr>
          </w:p>
        </w:tc>
        <w:tc>
          <w:tcPr>
            <w:tcW w:w="1446" w:type="dxa"/>
            <w:tcBorders>
              <w:top w:val="single" w:sz="4" w:space="0" w:color="auto"/>
              <w:bottom w:val="single" w:sz="4" w:space="0" w:color="auto"/>
            </w:tcBorders>
            <w:shd w:val="clear" w:color="auto" w:fill="C6D9F1" w:themeFill="text2" w:themeFillTint="33"/>
            <w:tcMar>
              <w:top w:w="57" w:type="dxa"/>
              <w:left w:w="57" w:type="dxa"/>
              <w:bottom w:w="57" w:type="dxa"/>
              <w:right w:w="57" w:type="dxa"/>
            </w:tcMar>
          </w:tcPr>
          <w:p w:rsidR="00F12321" w:rsidRPr="009B5734" w:rsidRDefault="00F12321" w:rsidP="007E6AB3">
            <w:pPr>
              <w:tabs>
                <w:tab w:val="num" w:pos="425"/>
              </w:tabs>
              <w:rPr>
                <w:b/>
                <w:noProof/>
              </w:rPr>
            </w:pPr>
          </w:p>
        </w:tc>
        <w:tc>
          <w:tcPr>
            <w:tcW w:w="1408" w:type="dxa"/>
            <w:tcBorders>
              <w:top w:val="single" w:sz="4" w:space="0" w:color="auto"/>
              <w:bottom w:val="single" w:sz="4" w:space="0" w:color="auto"/>
            </w:tcBorders>
            <w:shd w:val="clear" w:color="auto" w:fill="C6D9F1" w:themeFill="text2" w:themeFillTint="33"/>
            <w:tcMar>
              <w:top w:w="57" w:type="dxa"/>
              <w:left w:w="57" w:type="dxa"/>
              <w:bottom w:w="57" w:type="dxa"/>
              <w:right w:w="57" w:type="dxa"/>
            </w:tcMar>
            <w:vAlign w:val="center"/>
          </w:tcPr>
          <w:p w:rsidR="00F12321" w:rsidRPr="009B5734" w:rsidRDefault="00F12321" w:rsidP="007E6AB3">
            <w:pPr>
              <w:ind w:left="0" w:hanging="9"/>
              <w:jc w:val="center"/>
              <w:rPr>
                <w:b/>
                <w:noProof/>
                <w:u w:val="single"/>
              </w:rPr>
            </w:pPr>
            <w:r>
              <w:rPr>
                <w:b/>
                <w:noProof/>
                <w:u w:val="single"/>
              </w:rPr>
              <w:t>-</w:t>
            </w:r>
          </w:p>
        </w:tc>
        <w:tc>
          <w:tcPr>
            <w:tcW w:w="1427" w:type="dxa"/>
            <w:tcBorders>
              <w:top w:val="single" w:sz="4" w:space="0" w:color="auto"/>
              <w:bottom w:val="single" w:sz="4" w:space="0" w:color="auto"/>
            </w:tcBorders>
            <w:shd w:val="clear" w:color="auto" w:fill="C6D9F1" w:themeFill="text2" w:themeFillTint="33"/>
            <w:tcMar>
              <w:top w:w="57" w:type="dxa"/>
              <w:left w:w="57" w:type="dxa"/>
              <w:bottom w:w="57" w:type="dxa"/>
              <w:right w:w="57" w:type="dxa"/>
            </w:tcMar>
            <w:vAlign w:val="center"/>
          </w:tcPr>
          <w:p w:rsidR="00F12321" w:rsidRPr="009B5734" w:rsidRDefault="00F12321" w:rsidP="00640AD3">
            <w:pPr>
              <w:ind w:left="10" w:hanging="10"/>
              <w:jc w:val="center"/>
              <w:rPr>
                <w:b/>
                <w:noProof/>
                <w:u w:val="single"/>
              </w:rPr>
            </w:pPr>
            <w:r>
              <w:rPr>
                <w:b/>
                <w:noProof/>
                <w:u w:val="single"/>
              </w:rPr>
              <w:t>-</w:t>
            </w:r>
          </w:p>
        </w:tc>
        <w:tc>
          <w:tcPr>
            <w:tcW w:w="1134" w:type="dxa"/>
            <w:tcBorders>
              <w:top w:val="single" w:sz="4" w:space="0" w:color="auto"/>
              <w:bottom w:val="single" w:sz="4" w:space="0" w:color="auto"/>
            </w:tcBorders>
            <w:shd w:val="clear" w:color="auto" w:fill="C6D9F1" w:themeFill="text2" w:themeFillTint="33"/>
            <w:tcMar>
              <w:top w:w="57" w:type="dxa"/>
              <w:left w:w="57" w:type="dxa"/>
              <w:bottom w:w="57" w:type="dxa"/>
              <w:right w:w="57" w:type="dxa"/>
            </w:tcMar>
            <w:vAlign w:val="center"/>
          </w:tcPr>
          <w:p w:rsidR="00F12321" w:rsidRPr="009B5734" w:rsidRDefault="00F12321" w:rsidP="00640AD3">
            <w:pPr>
              <w:ind w:left="0" w:hanging="9"/>
              <w:jc w:val="center"/>
              <w:rPr>
                <w:b/>
                <w:noProof/>
                <w:u w:val="single"/>
              </w:rPr>
            </w:pPr>
            <w:r>
              <w:rPr>
                <w:b/>
                <w:noProof/>
                <w:u w:val="single"/>
              </w:rPr>
              <w:t>-</w:t>
            </w:r>
          </w:p>
        </w:tc>
        <w:tc>
          <w:tcPr>
            <w:tcW w:w="1276" w:type="dxa"/>
            <w:tcBorders>
              <w:top w:val="single" w:sz="4" w:space="0" w:color="auto"/>
              <w:bottom w:val="single" w:sz="4" w:space="0" w:color="auto"/>
            </w:tcBorders>
            <w:shd w:val="clear" w:color="auto" w:fill="C6D9F1" w:themeFill="text2" w:themeFillTint="33"/>
            <w:tcMar>
              <w:top w:w="57" w:type="dxa"/>
              <w:left w:w="57" w:type="dxa"/>
              <w:bottom w:w="57" w:type="dxa"/>
              <w:right w:w="57" w:type="dxa"/>
            </w:tcMar>
            <w:vAlign w:val="center"/>
          </w:tcPr>
          <w:p w:rsidR="00F12321" w:rsidRPr="009B5734" w:rsidRDefault="00F12321" w:rsidP="00640AD3">
            <w:pPr>
              <w:ind w:left="10" w:hanging="10"/>
              <w:jc w:val="center"/>
              <w:rPr>
                <w:b/>
                <w:noProof/>
                <w:u w:val="single"/>
              </w:rPr>
            </w:pPr>
            <w:r>
              <w:rPr>
                <w:b/>
                <w:noProof/>
                <w:u w:val="single"/>
              </w:rPr>
              <w:t>-</w:t>
            </w:r>
          </w:p>
        </w:tc>
      </w:tr>
      <w:tr w:rsidR="00F12321" w:rsidRPr="009B5734" w:rsidTr="00F12321">
        <w:trPr>
          <w:trHeight w:val="307"/>
        </w:trPr>
        <w:tc>
          <w:tcPr>
            <w:tcW w:w="993" w:type="dxa"/>
            <w:vMerge/>
            <w:tcBorders>
              <w:bottom w:val="single" w:sz="4" w:space="0" w:color="auto"/>
            </w:tcBorders>
            <w:shd w:val="clear" w:color="auto" w:fill="C6D9F1" w:themeFill="text2" w:themeFillTint="33"/>
            <w:tcMar>
              <w:top w:w="57" w:type="dxa"/>
              <w:left w:w="57" w:type="dxa"/>
              <w:bottom w:w="57" w:type="dxa"/>
              <w:right w:w="57" w:type="dxa"/>
            </w:tcMar>
            <w:vAlign w:val="center"/>
          </w:tcPr>
          <w:p w:rsidR="00F12321" w:rsidRDefault="00F12321" w:rsidP="007E6AB3">
            <w:pPr>
              <w:ind w:left="0" w:firstLine="0"/>
              <w:rPr>
                <w:b/>
                <w:i/>
                <w:noProof/>
              </w:rPr>
            </w:pPr>
          </w:p>
        </w:tc>
        <w:tc>
          <w:tcPr>
            <w:tcW w:w="1610" w:type="dxa"/>
            <w:tcBorders>
              <w:top w:val="single" w:sz="4" w:space="0" w:color="auto"/>
              <w:bottom w:val="single" w:sz="4" w:space="0" w:color="auto"/>
              <w:right w:val="double" w:sz="4" w:space="0" w:color="auto"/>
            </w:tcBorders>
            <w:shd w:val="clear" w:color="auto" w:fill="C6D9F1" w:themeFill="text2" w:themeFillTint="33"/>
            <w:tcMar>
              <w:top w:w="57" w:type="dxa"/>
              <w:left w:w="57" w:type="dxa"/>
              <w:bottom w:w="57" w:type="dxa"/>
              <w:right w:w="57" w:type="dxa"/>
            </w:tcMar>
            <w:vAlign w:val="center"/>
          </w:tcPr>
          <w:p w:rsidR="00F12321" w:rsidRPr="009B5734" w:rsidRDefault="00F12321" w:rsidP="007E6AB3">
            <w:pPr>
              <w:ind w:left="0" w:firstLine="0"/>
              <w:rPr>
                <w:b/>
                <w:i/>
                <w:noProof/>
              </w:rPr>
            </w:pPr>
            <w:r>
              <w:rPr>
                <w:b/>
                <w:i/>
                <w:noProof/>
              </w:rPr>
              <w:t>Administrative costs (for offsetting)</w:t>
            </w:r>
          </w:p>
        </w:tc>
        <w:tc>
          <w:tcPr>
            <w:tcW w:w="1134" w:type="dxa"/>
            <w:tcBorders>
              <w:top w:val="single" w:sz="4" w:space="0" w:color="auto"/>
              <w:left w:val="double" w:sz="4" w:space="0" w:color="auto"/>
              <w:bottom w:val="single" w:sz="4" w:space="0" w:color="auto"/>
            </w:tcBorders>
            <w:shd w:val="clear" w:color="auto" w:fill="C6D9F1" w:themeFill="text2" w:themeFillTint="33"/>
            <w:tcMar>
              <w:top w:w="57" w:type="dxa"/>
              <w:left w:w="57" w:type="dxa"/>
              <w:bottom w:w="57" w:type="dxa"/>
              <w:right w:w="57" w:type="dxa"/>
            </w:tcMar>
          </w:tcPr>
          <w:p w:rsidR="00F12321" w:rsidRPr="009B5734" w:rsidRDefault="00F12321" w:rsidP="007E6AB3">
            <w:pPr>
              <w:tabs>
                <w:tab w:val="num" w:pos="425"/>
              </w:tabs>
              <w:rPr>
                <w:b/>
                <w:noProof/>
              </w:rPr>
            </w:pPr>
          </w:p>
        </w:tc>
        <w:tc>
          <w:tcPr>
            <w:tcW w:w="1446" w:type="dxa"/>
            <w:tcBorders>
              <w:top w:val="single" w:sz="4" w:space="0" w:color="auto"/>
              <w:bottom w:val="single" w:sz="4" w:space="0" w:color="auto"/>
            </w:tcBorders>
            <w:shd w:val="clear" w:color="auto" w:fill="C6D9F1" w:themeFill="text2" w:themeFillTint="33"/>
            <w:tcMar>
              <w:top w:w="57" w:type="dxa"/>
              <w:left w:w="57" w:type="dxa"/>
              <w:bottom w:w="57" w:type="dxa"/>
              <w:right w:w="57" w:type="dxa"/>
            </w:tcMar>
          </w:tcPr>
          <w:p w:rsidR="00F12321" w:rsidRPr="009B5734" w:rsidRDefault="00F12321" w:rsidP="007E6AB3">
            <w:pPr>
              <w:tabs>
                <w:tab w:val="num" w:pos="425"/>
              </w:tabs>
              <w:rPr>
                <w:b/>
                <w:noProof/>
              </w:rPr>
            </w:pPr>
          </w:p>
        </w:tc>
        <w:tc>
          <w:tcPr>
            <w:tcW w:w="1408" w:type="dxa"/>
            <w:tcBorders>
              <w:top w:val="single" w:sz="4" w:space="0" w:color="auto"/>
              <w:bottom w:val="single" w:sz="4" w:space="0" w:color="auto"/>
            </w:tcBorders>
            <w:shd w:val="clear" w:color="auto" w:fill="C6D9F1" w:themeFill="text2" w:themeFillTint="33"/>
            <w:tcMar>
              <w:top w:w="57" w:type="dxa"/>
              <w:left w:w="57" w:type="dxa"/>
              <w:bottom w:w="57" w:type="dxa"/>
              <w:right w:w="57" w:type="dxa"/>
            </w:tcMar>
            <w:vAlign w:val="center"/>
          </w:tcPr>
          <w:p w:rsidR="00F12321" w:rsidRPr="009B5734" w:rsidRDefault="00F12321" w:rsidP="00640AD3">
            <w:pPr>
              <w:ind w:left="0" w:hanging="9"/>
              <w:jc w:val="center"/>
              <w:rPr>
                <w:b/>
                <w:noProof/>
              </w:rPr>
            </w:pPr>
            <w:r w:rsidRPr="009B5734">
              <w:rPr>
                <w:b/>
                <w:noProof/>
                <w:u w:val="single"/>
              </w:rPr>
              <w:t>Total</w:t>
            </w:r>
            <w:r w:rsidRPr="009B5734">
              <w:rPr>
                <w:b/>
                <w:noProof/>
              </w:rPr>
              <w:t>:</w:t>
            </w:r>
          </w:p>
          <w:p w:rsidR="00F12321" w:rsidRDefault="00F12321" w:rsidP="00640AD3">
            <w:pPr>
              <w:ind w:left="0" w:hanging="9"/>
              <w:jc w:val="center"/>
              <w:rPr>
                <w:b/>
                <w:noProof/>
              </w:rPr>
            </w:pPr>
            <w:r w:rsidRPr="009B5734">
              <w:rPr>
                <w:b/>
                <w:noProof/>
              </w:rPr>
              <w:t xml:space="preserve"> ~EUR</w:t>
            </w:r>
            <w:r>
              <w:rPr>
                <w:b/>
                <w:noProof/>
              </w:rPr>
              <w:t xml:space="preserve"> 110-115 million</w:t>
            </w:r>
          </w:p>
          <w:p w:rsidR="00F12321" w:rsidRDefault="00F12321" w:rsidP="00640AD3">
            <w:pPr>
              <w:ind w:left="0" w:hanging="9"/>
              <w:jc w:val="center"/>
              <w:rPr>
                <w:b/>
                <w:noProof/>
                <w:u w:val="single"/>
              </w:rPr>
            </w:pPr>
          </w:p>
          <w:p w:rsidR="00F12321" w:rsidRPr="009B5734" w:rsidRDefault="00F12321" w:rsidP="00640AD3">
            <w:pPr>
              <w:ind w:left="0" w:hanging="9"/>
              <w:jc w:val="center"/>
              <w:rPr>
                <w:b/>
                <w:noProof/>
                <w:u w:val="single"/>
              </w:rPr>
            </w:pPr>
            <w:r w:rsidRPr="009B5734">
              <w:rPr>
                <w:b/>
                <w:noProof/>
                <w:u w:val="single"/>
              </w:rPr>
              <w:t>Per company</w:t>
            </w:r>
            <w:r>
              <w:rPr>
                <w:b/>
                <w:noProof/>
              </w:rPr>
              <w:t>: ~EUR</w:t>
            </w:r>
            <w:r>
              <w:rPr>
                <w:noProof/>
              </w:rPr>
              <w:t xml:space="preserve"> </w:t>
            </w:r>
            <w:r w:rsidRPr="00640AD3">
              <w:rPr>
                <w:b/>
                <w:noProof/>
              </w:rPr>
              <w:t>708 - 760</w:t>
            </w:r>
            <w:r>
              <w:rPr>
                <w:noProof/>
              </w:rPr>
              <w:t xml:space="preserve"> </w:t>
            </w:r>
          </w:p>
        </w:tc>
        <w:tc>
          <w:tcPr>
            <w:tcW w:w="1427" w:type="dxa"/>
            <w:tcBorders>
              <w:top w:val="single" w:sz="4" w:space="0" w:color="auto"/>
              <w:bottom w:val="single" w:sz="4" w:space="0" w:color="auto"/>
            </w:tcBorders>
            <w:shd w:val="clear" w:color="auto" w:fill="C6D9F1" w:themeFill="text2" w:themeFillTint="33"/>
            <w:tcMar>
              <w:top w:w="57" w:type="dxa"/>
              <w:left w:w="57" w:type="dxa"/>
              <w:bottom w:w="57" w:type="dxa"/>
              <w:right w:w="57" w:type="dxa"/>
            </w:tcMar>
            <w:vAlign w:val="center"/>
          </w:tcPr>
          <w:p w:rsidR="00F12321" w:rsidRPr="00CF78AC" w:rsidRDefault="00F12321" w:rsidP="00CF78AC">
            <w:pPr>
              <w:ind w:left="10" w:hanging="10"/>
              <w:jc w:val="left"/>
              <w:rPr>
                <w:b/>
                <w:noProof/>
              </w:rPr>
            </w:pPr>
            <w:r w:rsidRPr="00CF78AC">
              <w:rPr>
                <w:b/>
                <w:noProof/>
              </w:rPr>
              <w:t>Annual (average in the period 2025-2040): ~EUR 9-12 million</w:t>
            </w:r>
          </w:p>
          <w:p w:rsidR="00F12321" w:rsidRPr="00CF78AC" w:rsidRDefault="00F12321" w:rsidP="00CF78AC">
            <w:pPr>
              <w:ind w:left="10" w:hanging="10"/>
              <w:jc w:val="left"/>
              <w:rPr>
                <w:b/>
                <w:noProof/>
              </w:rPr>
            </w:pPr>
          </w:p>
          <w:p w:rsidR="00F12321" w:rsidRPr="00CF78AC" w:rsidRDefault="00F12321" w:rsidP="00CF78AC">
            <w:pPr>
              <w:ind w:left="10" w:hanging="10"/>
              <w:jc w:val="left"/>
              <w:rPr>
                <w:b/>
                <w:noProof/>
              </w:rPr>
            </w:pPr>
            <w:r w:rsidRPr="00CF78AC">
              <w:rPr>
                <w:b/>
                <w:noProof/>
              </w:rPr>
              <w:t>Annual per company (average in the period 2025-2040): ~EUR 61 - 80</w:t>
            </w:r>
          </w:p>
          <w:p w:rsidR="00F12321" w:rsidRPr="00CF78AC" w:rsidRDefault="00F12321" w:rsidP="00CF78AC">
            <w:pPr>
              <w:ind w:left="10" w:hanging="10"/>
              <w:jc w:val="left"/>
              <w:rPr>
                <w:b/>
                <w:noProof/>
              </w:rPr>
            </w:pPr>
          </w:p>
          <w:p w:rsidR="00F12321" w:rsidRPr="009B5734" w:rsidRDefault="00F12321" w:rsidP="00CF78AC">
            <w:pPr>
              <w:ind w:left="10" w:hanging="10"/>
              <w:jc w:val="left"/>
              <w:rPr>
                <w:b/>
                <w:noProof/>
                <w:u w:val="single"/>
              </w:rPr>
            </w:pPr>
            <w:r w:rsidRPr="00CF78AC">
              <w:rPr>
                <w:b/>
                <w:noProof/>
              </w:rPr>
              <w:t>Total (present value for 2025-2040): ~</w:t>
            </w:r>
            <w:r w:rsidR="004869AB">
              <w:rPr>
                <w:b/>
                <w:noProof/>
              </w:rPr>
              <w:t xml:space="preserve">EUR </w:t>
            </w:r>
            <w:r w:rsidRPr="00CF78AC">
              <w:rPr>
                <w:b/>
                <w:noProof/>
              </w:rPr>
              <w:t>108 – 142 million</w:t>
            </w:r>
          </w:p>
        </w:tc>
        <w:tc>
          <w:tcPr>
            <w:tcW w:w="1134" w:type="dxa"/>
            <w:tcBorders>
              <w:top w:val="single" w:sz="4" w:space="0" w:color="auto"/>
              <w:bottom w:val="single" w:sz="4" w:space="0" w:color="auto"/>
            </w:tcBorders>
            <w:shd w:val="clear" w:color="auto" w:fill="C6D9F1" w:themeFill="text2" w:themeFillTint="33"/>
            <w:tcMar>
              <w:top w:w="57" w:type="dxa"/>
              <w:left w:w="57" w:type="dxa"/>
              <w:bottom w:w="57" w:type="dxa"/>
              <w:right w:w="57" w:type="dxa"/>
            </w:tcMar>
            <w:vAlign w:val="center"/>
          </w:tcPr>
          <w:p w:rsidR="00F12321" w:rsidRPr="009B5734" w:rsidRDefault="00F12321" w:rsidP="007E6AB3">
            <w:pPr>
              <w:ind w:left="0" w:hanging="9"/>
              <w:jc w:val="left"/>
              <w:rPr>
                <w:b/>
                <w:noProof/>
                <w:u w:val="single"/>
              </w:rPr>
            </w:pPr>
          </w:p>
        </w:tc>
        <w:tc>
          <w:tcPr>
            <w:tcW w:w="1276" w:type="dxa"/>
            <w:tcBorders>
              <w:top w:val="single" w:sz="4" w:space="0" w:color="auto"/>
              <w:bottom w:val="single" w:sz="4" w:space="0" w:color="auto"/>
            </w:tcBorders>
            <w:shd w:val="clear" w:color="auto" w:fill="C6D9F1" w:themeFill="text2" w:themeFillTint="33"/>
            <w:tcMar>
              <w:top w:w="57" w:type="dxa"/>
              <w:left w:w="57" w:type="dxa"/>
              <w:bottom w:w="57" w:type="dxa"/>
              <w:right w:w="57" w:type="dxa"/>
            </w:tcMar>
            <w:vAlign w:val="center"/>
          </w:tcPr>
          <w:p w:rsidR="00F12321" w:rsidRDefault="00F12321" w:rsidP="007E6AB3">
            <w:pPr>
              <w:ind w:left="10" w:hanging="10"/>
              <w:jc w:val="left"/>
              <w:rPr>
                <w:b/>
                <w:noProof/>
                <w:u w:val="single"/>
              </w:rPr>
            </w:pPr>
          </w:p>
        </w:tc>
      </w:tr>
    </w:tbl>
    <w:p w:rsidR="00EA45F9" w:rsidRPr="009B5734" w:rsidRDefault="00EA45F9" w:rsidP="00EA45F9">
      <w:pPr>
        <w:ind w:left="0" w:firstLine="0"/>
        <w:rPr>
          <w:noProof/>
        </w:rPr>
      </w:pPr>
    </w:p>
    <w:p w:rsidR="00EA45F9" w:rsidRDefault="00EA45F9" w:rsidP="00EA45F9">
      <w:pPr>
        <w:pStyle w:val="BodyTextEC"/>
        <w:rPr>
          <w:b/>
          <w:noProof/>
        </w:rPr>
      </w:pPr>
    </w:p>
    <w:p w:rsidR="00C310D8" w:rsidRDefault="00C310D8" w:rsidP="00C310D8">
      <w:pPr>
        <w:rPr>
          <w:noProof/>
        </w:rPr>
      </w:pPr>
    </w:p>
    <w:p w:rsidR="00C310D8" w:rsidRDefault="00C310D8" w:rsidP="00C310D8">
      <w:pPr>
        <w:rPr>
          <w:noProof/>
        </w:rPr>
      </w:pPr>
    </w:p>
    <w:p w:rsidR="00C310D8" w:rsidRDefault="00C310D8" w:rsidP="00C310D8">
      <w:pPr>
        <w:rPr>
          <w:noProof/>
        </w:rPr>
      </w:pPr>
    </w:p>
    <w:p w:rsidR="00C310D8" w:rsidRDefault="00C310D8" w:rsidP="00C310D8">
      <w:pPr>
        <w:rPr>
          <w:noProof/>
        </w:rPr>
      </w:pPr>
    </w:p>
    <w:p w:rsidR="00C310D8" w:rsidRDefault="00C310D8" w:rsidP="00C310D8">
      <w:pPr>
        <w:rPr>
          <w:noProof/>
        </w:rPr>
      </w:pPr>
    </w:p>
    <w:p w:rsidR="00C310D8" w:rsidRDefault="00C310D8" w:rsidP="00C310D8">
      <w:pPr>
        <w:rPr>
          <w:noProof/>
        </w:rPr>
      </w:pPr>
    </w:p>
    <w:p w:rsidR="00C310D8" w:rsidRDefault="00C310D8" w:rsidP="00C310D8">
      <w:pPr>
        <w:rPr>
          <w:noProof/>
        </w:rPr>
      </w:pPr>
    </w:p>
    <w:p w:rsidR="00C310D8" w:rsidRDefault="00C310D8" w:rsidP="00C310D8">
      <w:pPr>
        <w:rPr>
          <w:noProof/>
        </w:rPr>
      </w:pPr>
    </w:p>
    <w:p w:rsidR="00C310D8" w:rsidRPr="00C310D8" w:rsidRDefault="00C310D8" w:rsidP="00C310D8">
      <w:pPr>
        <w:rPr>
          <w:noProof/>
        </w:rPr>
      </w:pPr>
    </w:p>
    <w:p w:rsidR="00EA45F9" w:rsidRPr="009B5734" w:rsidRDefault="00EA45F9" w:rsidP="00EA45F9">
      <w:pPr>
        <w:pStyle w:val="BodyTextEC"/>
        <w:rPr>
          <w:rFonts w:ascii="Times New Roman" w:hAnsi="Times New Roman" w:cs="Times New Roman"/>
          <w:b/>
          <w:noProof/>
          <w:sz w:val="24"/>
          <w:szCs w:val="24"/>
        </w:rPr>
      </w:pPr>
      <w:r w:rsidRPr="009B5734">
        <w:rPr>
          <w:rFonts w:ascii="Times New Roman" w:hAnsi="Times New Roman" w:cs="Times New Roman"/>
          <w:b/>
          <w:noProof/>
          <w:sz w:val="24"/>
          <w:szCs w:val="24"/>
        </w:rPr>
        <w:t>Disaggregation of costs of preferred options:</w:t>
      </w:r>
    </w:p>
    <w:p w:rsidR="00EA45F9" w:rsidRPr="009B5734" w:rsidRDefault="00EA45F9" w:rsidP="00EA45F9">
      <w:pPr>
        <w:ind w:left="-624" w:right="-964"/>
        <w:rPr>
          <w:noProof/>
        </w:rPr>
      </w:pPr>
    </w:p>
    <w:tbl>
      <w:tblPr>
        <w:tblW w:w="10060" w:type="dxa"/>
        <w:tblLook w:val="04A0" w:firstRow="1" w:lastRow="0" w:firstColumn="1" w:lastColumn="0" w:noHBand="0" w:noVBand="1"/>
      </w:tblPr>
      <w:tblGrid>
        <w:gridCol w:w="1988"/>
        <w:gridCol w:w="2018"/>
        <w:gridCol w:w="2018"/>
        <w:gridCol w:w="2018"/>
        <w:gridCol w:w="2018"/>
      </w:tblGrid>
      <w:tr w:rsidR="00EA45F9" w:rsidRPr="009B5734" w:rsidTr="00C84A99">
        <w:trPr>
          <w:trHeight w:val="290"/>
        </w:trPr>
        <w:tc>
          <w:tcPr>
            <w:tcW w:w="1988" w:type="dxa"/>
            <w:tcBorders>
              <w:top w:val="nil"/>
              <w:left w:val="nil"/>
              <w:bottom w:val="nil"/>
              <w:right w:val="nil"/>
            </w:tcBorders>
            <w:shd w:val="clear" w:color="auto" w:fill="002395"/>
            <w:noWrap/>
            <w:vAlign w:val="bottom"/>
            <w:hideMark/>
          </w:tcPr>
          <w:p w:rsidR="00EA45F9" w:rsidRPr="009B5734" w:rsidRDefault="00EA45F9" w:rsidP="00981615">
            <w:pPr>
              <w:ind w:left="0" w:firstLine="0"/>
              <w:jc w:val="lef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 </w:t>
            </w:r>
          </w:p>
        </w:tc>
        <w:tc>
          <w:tcPr>
            <w:tcW w:w="4036" w:type="dxa"/>
            <w:gridSpan w:val="2"/>
            <w:tcBorders>
              <w:top w:val="nil"/>
              <w:left w:val="nil"/>
              <w:bottom w:val="single" w:sz="4" w:space="0" w:color="FFFFFF" w:themeColor="background1"/>
              <w:right w:val="single" w:sz="4" w:space="0" w:color="FFFFFF" w:themeColor="background1"/>
            </w:tcBorders>
            <w:shd w:val="clear" w:color="auto" w:fill="002395"/>
            <w:vAlign w:val="center"/>
            <w:hideMark/>
          </w:tcPr>
          <w:p w:rsidR="00EA45F9" w:rsidRPr="009B5734" w:rsidRDefault="00EA45F9" w:rsidP="00981615">
            <w:pPr>
              <w:ind w:left="0" w:firstLine="0"/>
              <w:jc w:val="center"/>
              <w:rPr>
                <w:rFonts w:ascii="Verdana" w:eastAsia="Times New Roman" w:hAnsi="Verdana" w:cs="Calibri"/>
                <w:noProof/>
                <w:color w:val="FFFFFF"/>
                <w:sz w:val="18"/>
                <w:szCs w:val="18"/>
                <w:lang w:eastAsia="en-GB"/>
              </w:rPr>
            </w:pPr>
            <w:r w:rsidRPr="009B5734">
              <w:rPr>
                <w:rFonts w:ascii="Verdana" w:eastAsia="Times New Roman" w:hAnsi="Verdana" w:cs="Calibri"/>
                <w:noProof/>
                <w:color w:val="FFFFFF"/>
                <w:sz w:val="18"/>
                <w:szCs w:val="18"/>
                <w:lang w:eastAsia="en-GB"/>
              </w:rPr>
              <w:t>Total (million)</w:t>
            </w:r>
          </w:p>
        </w:tc>
        <w:tc>
          <w:tcPr>
            <w:tcW w:w="4036" w:type="dxa"/>
            <w:gridSpan w:val="2"/>
            <w:tcBorders>
              <w:top w:val="nil"/>
              <w:left w:val="nil"/>
              <w:bottom w:val="single" w:sz="4" w:space="0" w:color="FFFFFF" w:themeColor="background1"/>
              <w:right w:val="nil"/>
            </w:tcBorders>
            <w:shd w:val="clear" w:color="auto" w:fill="002395"/>
            <w:vAlign w:val="center"/>
            <w:hideMark/>
          </w:tcPr>
          <w:p w:rsidR="00EA45F9" w:rsidRPr="009B5734" w:rsidRDefault="00EA45F9" w:rsidP="00981615">
            <w:pPr>
              <w:ind w:left="0" w:firstLine="0"/>
              <w:jc w:val="center"/>
              <w:rPr>
                <w:rFonts w:ascii="Verdana" w:eastAsia="Times New Roman" w:hAnsi="Verdana" w:cs="Calibri"/>
                <w:noProof/>
                <w:color w:val="FFFFFF"/>
                <w:sz w:val="18"/>
                <w:szCs w:val="18"/>
                <w:lang w:eastAsia="en-GB"/>
              </w:rPr>
            </w:pPr>
            <w:r w:rsidRPr="009B5734">
              <w:rPr>
                <w:rFonts w:ascii="Verdana" w:eastAsia="Times New Roman" w:hAnsi="Verdana" w:cs="Calibri"/>
                <w:noProof/>
                <w:color w:val="FFFFFF"/>
                <w:sz w:val="18"/>
                <w:szCs w:val="18"/>
                <w:lang w:eastAsia="en-GB"/>
              </w:rPr>
              <w:t>Per company (euros)</w:t>
            </w:r>
          </w:p>
        </w:tc>
      </w:tr>
      <w:tr w:rsidR="00EA45F9" w:rsidRPr="009B5734" w:rsidTr="00C84A99">
        <w:trPr>
          <w:trHeight w:val="290"/>
        </w:trPr>
        <w:tc>
          <w:tcPr>
            <w:tcW w:w="1988" w:type="dxa"/>
            <w:tcBorders>
              <w:top w:val="nil"/>
              <w:left w:val="nil"/>
              <w:bottom w:val="nil"/>
              <w:right w:val="nil"/>
            </w:tcBorders>
            <w:shd w:val="clear" w:color="auto" w:fill="002395"/>
            <w:noWrap/>
            <w:vAlign w:val="bottom"/>
            <w:hideMark/>
          </w:tcPr>
          <w:p w:rsidR="00EA45F9" w:rsidRPr="009B5734" w:rsidRDefault="00EA45F9" w:rsidP="00981615">
            <w:pPr>
              <w:ind w:left="0" w:firstLine="0"/>
              <w:jc w:val="lef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 </w:t>
            </w:r>
          </w:p>
        </w:tc>
        <w:tc>
          <w:tcPr>
            <w:tcW w:w="2018" w:type="dxa"/>
            <w:tcBorders>
              <w:top w:val="nil"/>
              <w:left w:val="nil"/>
              <w:bottom w:val="nil"/>
              <w:right w:val="nil"/>
            </w:tcBorders>
            <w:shd w:val="clear" w:color="auto" w:fill="002395"/>
            <w:vAlign w:val="center"/>
            <w:hideMark/>
          </w:tcPr>
          <w:p w:rsidR="00EA45F9" w:rsidRPr="009B5734" w:rsidRDefault="00EA45F9" w:rsidP="00981615">
            <w:pPr>
              <w:ind w:left="0" w:firstLine="0"/>
              <w:jc w:val="center"/>
              <w:rPr>
                <w:rFonts w:ascii="Verdana" w:eastAsia="Times New Roman" w:hAnsi="Verdana" w:cs="Calibri"/>
                <w:noProof/>
                <w:color w:val="FFFFFF"/>
                <w:sz w:val="18"/>
                <w:szCs w:val="18"/>
                <w:lang w:eastAsia="en-GB"/>
              </w:rPr>
            </w:pPr>
            <w:r w:rsidRPr="009B5734">
              <w:rPr>
                <w:rFonts w:ascii="Verdana" w:eastAsia="Times New Roman" w:hAnsi="Verdana" w:cs="Calibri"/>
                <w:noProof/>
                <w:color w:val="FFFFFF"/>
                <w:sz w:val="18"/>
                <w:szCs w:val="18"/>
                <w:lang w:eastAsia="en-GB"/>
              </w:rPr>
              <w:t>One-off</w:t>
            </w:r>
          </w:p>
        </w:tc>
        <w:tc>
          <w:tcPr>
            <w:tcW w:w="2018" w:type="dxa"/>
            <w:tcBorders>
              <w:top w:val="nil"/>
              <w:left w:val="nil"/>
              <w:bottom w:val="nil"/>
              <w:right w:val="nil"/>
            </w:tcBorders>
            <w:shd w:val="clear" w:color="auto" w:fill="002395"/>
            <w:vAlign w:val="center"/>
            <w:hideMark/>
          </w:tcPr>
          <w:p w:rsidR="00EA45F9" w:rsidRPr="009B5734" w:rsidRDefault="00EA45F9" w:rsidP="00981615">
            <w:pPr>
              <w:ind w:left="0" w:firstLine="0"/>
              <w:jc w:val="center"/>
              <w:rPr>
                <w:rFonts w:ascii="Verdana" w:eastAsia="Times New Roman" w:hAnsi="Verdana" w:cs="Calibri"/>
                <w:noProof/>
                <w:color w:val="FFFFFF"/>
                <w:sz w:val="18"/>
                <w:szCs w:val="18"/>
                <w:lang w:eastAsia="en-GB"/>
              </w:rPr>
            </w:pPr>
            <w:r w:rsidRPr="009B5734">
              <w:rPr>
                <w:rFonts w:ascii="Verdana" w:eastAsia="Times New Roman" w:hAnsi="Verdana" w:cs="Calibri"/>
                <w:noProof/>
                <w:color w:val="FFFFFF"/>
                <w:sz w:val="18"/>
                <w:szCs w:val="18"/>
                <w:lang w:eastAsia="en-GB"/>
              </w:rPr>
              <w:t>Recurrent (annual)</w:t>
            </w:r>
          </w:p>
        </w:tc>
        <w:tc>
          <w:tcPr>
            <w:tcW w:w="2018" w:type="dxa"/>
            <w:tcBorders>
              <w:top w:val="nil"/>
              <w:left w:val="single" w:sz="4" w:space="0" w:color="FFFFFF" w:themeColor="background1"/>
              <w:bottom w:val="nil"/>
              <w:right w:val="nil"/>
            </w:tcBorders>
            <w:shd w:val="clear" w:color="auto" w:fill="002395"/>
            <w:vAlign w:val="center"/>
            <w:hideMark/>
          </w:tcPr>
          <w:p w:rsidR="00EA45F9" w:rsidRPr="009B5734" w:rsidRDefault="00EA45F9" w:rsidP="00981615">
            <w:pPr>
              <w:ind w:left="0" w:firstLine="0"/>
              <w:jc w:val="center"/>
              <w:rPr>
                <w:rFonts w:ascii="Verdana" w:eastAsia="Times New Roman" w:hAnsi="Verdana" w:cs="Calibri"/>
                <w:noProof/>
                <w:color w:val="FFFFFF"/>
                <w:sz w:val="18"/>
                <w:szCs w:val="18"/>
                <w:lang w:eastAsia="en-GB"/>
              </w:rPr>
            </w:pPr>
            <w:r w:rsidRPr="009B5734">
              <w:rPr>
                <w:rFonts w:ascii="Verdana" w:eastAsia="Times New Roman" w:hAnsi="Verdana" w:cs="Calibri"/>
                <w:noProof/>
                <w:color w:val="FFFFFF"/>
                <w:sz w:val="18"/>
                <w:szCs w:val="18"/>
                <w:lang w:eastAsia="en-GB"/>
              </w:rPr>
              <w:t>One-off</w:t>
            </w:r>
          </w:p>
        </w:tc>
        <w:tc>
          <w:tcPr>
            <w:tcW w:w="2018" w:type="dxa"/>
            <w:tcBorders>
              <w:top w:val="nil"/>
              <w:left w:val="nil"/>
              <w:bottom w:val="nil"/>
              <w:right w:val="nil"/>
            </w:tcBorders>
            <w:shd w:val="clear" w:color="auto" w:fill="002395"/>
            <w:vAlign w:val="center"/>
            <w:hideMark/>
          </w:tcPr>
          <w:p w:rsidR="00EA45F9" w:rsidRPr="009B5734" w:rsidRDefault="00EA45F9" w:rsidP="00981615">
            <w:pPr>
              <w:ind w:left="0" w:firstLine="0"/>
              <w:jc w:val="center"/>
              <w:rPr>
                <w:rFonts w:ascii="Verdana" w:eastAsia="Times New Roman" w:hAnsi="Verdana" w:cs="Calibri"/>
                <w:noProof/>
                <w:color w:val="FFFFFF"/>
                <w:sz w:val="18"/>
                <w:szCs w:val="18"/>
                <w:lang w:eastAsia="en-GB"/>
              </w:rPr>
            </w:pPr>
            <w:r w:rsidRPr="009B5734">
              <w:rPr>
                <w:rFonts w:ascii="Verdana" w:eastAsia="Times New Roman" w:hAnsi="Verdana" w:cs="Calibri"/>
                <w:noProof/>
                <w:color w:val="FFFFFF"/>
                <w:sz w:val="18"/>
                <w:szCs w:val="18"/>
                <w:lang w:eastAsia="en-GB"/>
              </w:rPr>
              <w:t>Recurrent (annual)</w:t>
            </w:r>
          </w:p>
        </w:tc>
      </w:tr>
      <w:tr w:rsidR="00740967" w:rsidRPr="009B5734" w:rsidTr="00C84A99">
        <w:trPr>
          <w:trHeight w:val="290"/>
        </w:trPr>
        <w:tc>
          <w:tcPr>
            <w:tcW w:w="1988" w:type="dxa"/>
            <w:tcBorders>
              <w:top w:val="nil"/>
              <w:left w:val="nil"/>
              <w:bottom w:val="single" w:sz="4" w:space="0" w:color="auto"/>
              <w:right w:val="nil"/>
            </w:tcBorders>
            <w:shd w:val="clear" w:color="auto" w:fill="F2F2F2" w:themeFill="background1" w:themeFillShade="F2"/>
            <w:noWrap/>
            <w:vAlign w:val="center"/>
            <w:hideMark/>
          </w:tcPr>
          <w:p w:rsidR="00740967" w:rsidRPr="009B5734" w:rsidRDefault="00740967" w:rsidP="00740967">
            <w:pPr>
              <w:ind w:left="0" w:firstLine="0"/>
              <w:jc w:val="left"/>
              <w:rPr>
                <w:rFonts w:ascii="Verdana" w:eastAsia="Times New Roman" w:hAnsi="Verdana" w:cs="Calibri"/>
                <w:noProof/>
                <w:color w:val="002395"/>
                <w:sz w:val="18"/>
                <w:szCs w:val="18"/>
                <w:lang w:eastAsia="en-GB"/>
              </w:rPr>
            </w:pPr>
            <w:r w:rsidRPr="009B5734">
              <w:rPr>
                <w:rFonts w:ascii="Verdana" w:eastAsia="Times New Roman" w:hAnsi="Verdana" w:cs="Calibri"/>
                <w:noProof/>
                <w:color w:val="002395"/>
                <w:sz w:val="18"/>
                <w:szCs w:val="18"/>
                <w:lang w:eastAsia="en-GB"/>
              </w:rPr>
              <w:t>SME</w:t>
            </w:r>
          </w:p>
        </w:tc>
        <w:tc>
          <w:tcPr>
            <w:tcW w:w="2018" w:type="dxa"/>
            <w:tcBorders>
              <w:top w:val="nil"/>
              <w:left w:val="nil"/>
              <w:bottom w:val="single" w:sz="4" w:space="0" w:color="auto"/>
              <w:right w:val="nil"/>
            </w:tcBorders>
            <w:shd w:val="clear" w:color="auto" w:fill="F2F2F2" w:themeFill="background1" w:themeFillShade="F2"/>
            <w:noWrap/>
            <w:vAlign w:val="center"/>
          </w:tcPr>
          <w:p w:rsidR="00740967" w:rsidRPr="009B5734" w:rsidRDefault="00740967" w:rsidP="00740967">
            <w:pPr>
              <w:ind w:left="0" w:firstLine="0"/>
              <w:jc w:val="center"/>
              <w:rPr>
                <w:rFonts w:ascii="Verdana" w:eastAsia="Times New Roman" w:hAnsi="Verdana" w:cs="Calibri"/>
                <w:noProof/>
                <w:color w:val="002395"/>
                <w:sz w:val="18"/>
                <w:szCs w:val="18"/>
                <w:lang w:eastAsia="en-GB"/>
              </w:rPr>
            </w:pPr>
            <w:r w:rsidRPr="009B5734">
              <w:rPr>
                <w:rFonts w:ascii="Verdana" w:hAnsi="Verdana" w:cs="Calibri"/>
                <w:noProof/>
                <w:color w:val="002395"/>
                <w:sz w:val="18"/>
                <w:szCs w:val="18"/>
              </w:rPr>
              <w:t xml:space="preserve"> 3684.5|3763.5 </w:t>
            </w:r>
          </w:p>
        </w:tc>
        <w:tc>
          <w:tcPr>
            <w:tcW w:w="2018" w:type="dxa"/>
            <w:tcBorders>
              <w:top w:val="nil"/>
              <w:left w:val="nil"/>
              <w:bottom w:val="single" w:sz="4" w:space="0" w:color="auto"/>
              <w:right w:val="nil"/>
            </w:tcBorders>
            <w:shd w:val="clear" w:color="auto" w:fill="F2F2F2" w:themeFill="background1" w:themeFillShade="F2"/>
            <w:noWrap/>
            <w:vAlign w:val="center"/>
          </w:tcPr>
          <w:p w:rsidR="00740967" w:rsidRPr="009B5734" w:rsidRDefault="00740967" w:rsidP="00740967">
            <w:pPr>
              <w:ind w:left="0" w:firstLine="0"/>
              <w:jc w:val="center"/>
              <w:rPr>
                <w:rFonts w:ascii="Verdana" w:eastAsia="Times New Roman" w:hAnsi="Verdana" w:cs="Calibri"/>
                <w:noProof/>
                <w:color w:val="002395"/>
                <w:sz w:val="18"/>
                <w:szCs w:val="18"/>
                <w:lang w:eastAsia="en-GB"/>
              </w:rPr>
            </w:pPr>
            <w:r w:rsidRPr="009B5734">
              <w:rPr>
                <w:rFonts w:ascii="Verdana" w:hAnsi="Verdana" w:cs="Calibri"/>
                <w:noProof/>
                <w:color w:val="002395"/>
                <w:sz w:val="18"/>
                <w:szCs w:val="18"/>
              </w:rPr>
              <w:t xml:space="preserve"> 364|433 </w:t>
            </w:r>
          </w:p>
        </w:tc>
        <w:tc>
          <w:tcPr>
            <w:tcW w:w="2018" w:type="dxa"/>
            <w:tcBorders>
              <w:top w:val="nil"/>
              <w:left w:val="nil"/>
              <w:bottom w:val="single" w:sz="4" w:space="0" w:color="auto"/>
              <w:right w:val="nil"/>
            </w:tcBorders>
            <w:shd w:val="clear" w:color="auto" w:fill="F2F2F2" w:themeFill="background1" w:themeFillShade="F2"/>
            <w:noWrap/>
            <w:vAlign w:val="center"/>
          </w:tcPr>
          <w:p w:rsidR="00740967" w:rsidRPr="009B5734" w:rsidRDefault="00740967" w:rsidP="00740967">
            <w:pPr>
              <w:ind w:left="0" w:firstLine="0"/>
              <w:jc w:val="center"/>
              <w:rPr>
                <w:rFonts w:ascii="Verdana" w:eastAsia="Times New Roman" w:hAnsi="Verdana" w:cs="Calibri"/>
                <w:noProof/>
                <w:color w:val="002395"/>
                <w:sz w:val="18"/>
                <w:szCs w:val="18"/>
                <w:lang w:eastAsia="en-GB"/>
              </w:rPr>
            </w:pPr>
            <w:r w:rsidRPr="009B5734">
              <w:rPr>
                <w:rFonts w:ascii="Verdana" w:hAnsi="Verdana" w:cs="Calibri"/>
                <w:noProof/>
                <w:color w:val="002395"/>
                <w:sz w:val="18"/>
                <w:szCs w:val="18"/>
              </w:rPr>
              <w:t xml:space="preserve"> 525|536 </w:t>
            </w:r>
          </w:p>
        </w:tc>
        <w:tc>
          <w:tcPr>
            <w:tcW w:w="2018" w:type="dxa"/>
            <w:tcBorders>
              <w:top w:val="nil"/>
              <w:left w:val="nil"/>
              <w:bottom w:val="single" w:sz="4" w:space="0" w:color="auto"/>
              <w:right w:val="nil"/>
            </w:tcBorders>
            <w:shd w:val="clear" w:color="auto" w:fill="F2F2F2" w:themeFill="background1" w:themeFillShade="F2"/>
            <w:noWrap/>
            <w:vAlign w:val="center"/>
          </w:tcPr>
          <w:p w:rsidR="00740967" w:rsidRPr="009B5734" w:rsidRDefault="00740967" w:rsidP="00740967">
            <w:pPr>
              <w:ind w:left="0" w:firstLine="0"/>
              <w:jc w:val="center"/>
              <w:rPr>
                <w:rFonts w:ascii="Verdana" w:eastAsia="Times New Roman" w:hAnsi="Verdana" w:cs="Calibri"/>
                <w:noProof/>
                <w:color w:val="002395"/>
                <w:sz w:val="18"/>
                <w:szCs w:val="18"/>
                <w:lang w:eastAsia="en-GB"/>
              </w:rPr>
            </w:pPr>
            <w:r w:rsidRPr="009B5734">
              <w:rPr>
                <w:rFonts w:ascii="Verdana" w:hAnsi="Verdana" w:cs="Calibri"/>
                <w:noProof/>
                <w:color w:val="002395"/>
                <w:sz w:val="18"/>
                <w:szCs w:val="18"/>
              </w:rPr>
              <w:t xml:space="preserve"> 52|62 </w:t>
            </w:r>
          </w:p>
        </w:tc>
      </w:tr>
      <w:tr w:rsidR="00740967" w:rsidRPr="009B5734" w:rsidTr="00C84A99">
        <w:trPr>
          <w:trHeight w:val="290"/>
        </w:trPr>
        <w:tc>
          <w:tcPr>
            <w:tcW w:w="1988" w:type="dxa"/>
            <w:tcBorders>
              <w:top w:val="nil"/>
              <w:left w:val="nil"/>
              <w:bottom w:val="single" w:sz="4" w:space="0" w:color="auto"/>
              <w:right w:val="nil"/>
            </w:tcBorders>
            <w:shd w:val="clear" w:color="auto" w:fill="auto"/>
            <w:noWrap/>
            <w:vAlign w:val="center"/>
            <w:hideMark/>
          </w:tcPr>
          <w:p w:rsidR="00740967" w:rsidRPr="009B5734" w:rsidRDefault="00740967" w:rsidP="00740967">
            <w:pPr>
              <w:ind w:left="0" w:firstLineChars="100" w:firstLine="180"/>
              <w:jc w:val="left"/>
              <w:rPr>
                <w:rFonts w:ascii="Verdana" w:eastAsia="Times New Roman" w:hAnsi="Verdana" w:cs="Calibri"/>
                <w:noProof/>
                <w:color w:val="000000"/>
                <w:sz w:val="18"/>
                <w:szCs w:val="18"/>
                <w:lang w:eastAsia="en-GB"/>
              </w:rPr>
            </w:pPr>
            <w:r w:rsidRPr="009B5734">
              <w:rPr>
                <w:rFonts w:ascii="Verdana" w:eastAsia="Times New Roman" w:hAnsi="Verdana" w:cs="Calibri"/>
                <w:noProof/>
                <w:color w:val="000000"/>
                <w:sz w:val="18"/>
                <w:szCs w:val="18"/>
                <w:lang w:eastAsia="en-GB"/>
              </w:rPr>
              <w:t>Manufacturers</w:t>
            </w:r>
          </w:p>
        </w:tc>
        <w:tc>
          <w:tcPr>
            <w:tcW w:w="2018" w:type="dxa"/>
            <w:tcBorders>
              <w:top w:val="nil"/>
              <w:left w:val="nil"/>
              <w:bottom w:val="single" w:sz="4" w:space="0" w:color="auto"/>
              <w:right w:val="nil"/>
            </w:tcBorders>
            <w:shd w:val="clear" w:color="auto" w:fill="auto"/>
            <w:noWrap/>
            <w:vAlign w:val="center"/>
          </w:tcPr>
          <w:p w:rsidR="00740967" w:rsidRPr="009B5734" w:rsidRDefault="00740967" w:rsidP="00740967">
            <w:pPr>
              <w:ind w:left="0" w:firstLine="0"/>
              <w:jc w:val="center"/>
              <w:rPr>
                <w:rFonts w:ascii="Verdana" w:eastAsia="Times New Roman" w:hAnsi="Verdana" w:cs="Calibri"/>
                <w:noProof/>
                <w:color w:val="000000"/>
                <w:sz w:val="18"/>
                <w:szCs w:val="18"/>
                <w:lang w:eastAsia="en-GB"/>
              </w:rPr>
            </w:pPr>
            <w:r w:rsidRPr="009B5734">
              <w:rPr>
                <w:rFonts w:ascii="Verdana" w:hAnsi="Verdana" w:cs="Calibri"/>
                <w:noProof/>
                <w:color w:val="000000"/>
                <w:sz w:val="18"/>
                <w:szCs w:val="18"/>
              </w:rPr>
              <w:t xml:space="preserve"> 732.6|744.6 </w:t>
            </w:r>
          </w:p>
        </w:tc>
        <w:tc>
          <w:tcPr>
            <w:tcW w:w="2018" w:type="dxa"/>
            <w:tcBorders>
              <w:top w:val="nil"/>
              <w:left w:val="nil"/>
              <w:bottom w:val="single" w:sz="4" w:space="0" w:color="auto"/>
              <w:right w:val="nil"/>
            </w:tcBorders>
            <w:shd w:val="clear" w:color="auto" w:fill="auto"/>
            <w:noWrap/>
            <w:vAlign w:val="center"/>
          </w:tcPr>
          <w:p w:rsidR="00740967" w:rsidRPr="009B5734" w:rsidRDefault="00740967" w:rsidP="00740967">
            <w:pPr>
              <w:ind w:left="0" w:firstLine="0"/>
              <w:jc w:val="center"/>
              <w:rPr>
                <w:rFonts w:ascii="Verdana" w:eastAsia="Times New Roman" w:hAnsi="Verdana" w:cs="Calibri"/>
                <w:noProof/>
                <w:color w:val="000000"/>
                <w:sz w:val="18"/>
                <w:szCs w:val="18"/>
                <w:lang w:eastAsia="en-GB"/>
              </w:rPr>
            </w:pPr>
            <w:r w:rsidRPr="009B5734">
              <w:rPr>
                <w:rFonts w:ascii="Verdana" w:hAnsi="Verdana" w:cs="Calibri"/>
                <w:noProof/>
                <w:color w:val="000000"/>
                <w:sz w:val="18"/>
                <w:szCs w:val="18"/>
              </w:rPr>
              <w:t xml:space="preserve"> 99|117 </w:t>
            </w:r>
          </w:p>
        </w:tc>
        <w:tc>
          <w:tcPr>
            <w:tcW w:w="2018" w:type="dxa"/>
            <w:tcBorders>
              <w:top w:val="nil"/>
              <w:left w:val="nil"/>
              <w:bottom w:val="single" w:sz="4" w:space="0" w:color="auto"/>
              <w:right w:val="nil"/>
            </w:tcBorders>
            <w:shd w:val="clear" w:color="auto" w:fill="auto"/>
            <w:noWrap/>
            <w:vAlign w:val="center"/>
          </w:tcPr>
          <w:p w:rsidR="00740967" w:rsidRPr="009B5734" w:rsidRDefault="00740967" w:rsidP="00740967">
            <w:pPr>
              <w:ind w:left="0" w:firstLine="0"/>
              <w:jc w:val="center"/>
              <w:rPr>
                <w:rFonts w:ascii="Verdana" w:eastAsia="Times New Roman" w:hAnsi="Verdana" w:cs="Calibri"/>
                <w:noProof/>
                <w:color w:val="000000"/>
                <w:sz w:val="18"/>
                <w:szCs w:val="18"/>
                <w:lang w:eastAsia="en-GB"/>
              </w:rPr>
            </w:pPr>
            <w:r w:rsidRPr="009B5734">
              <w:rPr>
                <w:rFonts w:ascii="Verdana" w:hAnsi="Verdana" w:cs="Calibri"/>
                <w:noProof/>
                <w:color w:val="000000"/>
                <w:sz w:val="18"/>
                <w:szCs w:val="18"/>
              </w:rPr>
              <w:t xml:space="preserve"> 752|764 </w:t>
            </w:r>
          </w:p>
        </w:tc>
        <w:tc>
          <w:tcPr>
            <w:tcW w:w="2018" w:type="dxa"/>
            <w:tcBorders>
              <w:top w:val="nil"/>
              <w:left w:val="nil"/>
              <w:bottom w:val="single" w:sz="4" w:space="0" w:color="auto"/>
              <w:right w:val="nil"/>
            </w:tcBorders>
            <w:shd w:val="clear" w:color="auto" w:fill="auto"/>
            <w:noWrap/>
            <w:vAlign w:val="center"/>
          </w:tcPr>
          <w:p w:rsidR="00740967" w:rsidRPr="009B5734" w:rsidRDefault="00740967" w:rsidP="00740967">
            <w:pPr>
              <w:ind w:left="0" w:firstLine="0"/>
              <w:jc w:val="center"/>
              <w:rPr>
                <w:rFonts w:ascii="Verdana" w:eastAsia="Times New Roman" w:hAnsi="Verdana" w:cs="Calibri"/>
                <w:noProof/>
                <w:color w:val="000000"/>
                <w:sz w:val="18"/>
                <w:szCs w:val="18"/>
                <w:lang w:eastAsia="en-GB"/>
              </w:rPr>
            </w:pPr>
            <w:r w:rsidRPr="009B5734">
              <w:rPr>
                <w:rFonts w:ascii="Verdana" w:hAnsi="Verdana" w:cs="Calibri"/>
                <w:noProof/>
                <w:color w:val="000000"/>
                <w:sz w:val="18"/>
                <w:szCs w:val="18"/>
              </w:rPr>
              <w:t xml:space="preserve"> 102|120 </w:t>
            </w:r>
          </w:p>
        </w:tc>
      </w:tr>
      <w:tr w:rsidR="00740967" w:rsidRPr="009B5734" w:rsidTr="00C84A99">
        <w:trPr>
          <w:trHeight w:val="290"/>
        </w:trPr>
        <w:tc>
          <w:tcPr>
            <w:tcW w:w="1988" w:type="dxa"/>
            <w:tcBorders>
              <w:top w:val="nil"/>
              <w:left w:val="nil"/>
              <w:bottom w:val="single" w:sz="4" w:space="0" w:color="auto"/>
              <w:right w:val="nil"/>
            </w:tcBorders>
            <w:shd w:val="clear" w:color="auto" w:fill="auto"/>
            <w:noWrap/>
            <w:vAlign w:val="center"/>
            <w:hideMark/>
          </w:tcPr>
          <w:p w:rsidR="00740967" w:rsidRPr="009B5734" w:rsidRDefault="00740967" w:rsidP="00740967">
            <w:pPr>
              <w:ind w:left="0" w:firstLineChars="100" w:firstLine="180"/>
              <w:jc w:val="left"/>
              <w:rPr>
                <w:rFonts w:ascii="Verdana" w:eastAsia="Times New Roman" w:hAnsi="Verdana" w:cs="Calibri"/>
                <w:noProof/>
                <w:color w:val="000000"/>
                <w:sz w:val="18"/>
                <w:szCs w:val="18"/>
                <w:lang w:eastAsia="en-GB"/>
              </w:rPr>
            </w:pPr>
            <w:r w:rsidRPr="009B5734">
              <w:rPr>
                <w:rFonts w:ascii="Verdana" w:eastAsia="Times New Roman" w:hAnsi="Verdana" w:cs="Calibri"/>
                <w:noProof/>
                <w:color w:val="000000"/>
                <w:sz w:val="18"/>
                <w:szCs w:val="18"/>
                <w:lang w:eastAsia="en-GB"/>
              </w:rPr>
              <w:t>Service Providers</w:t>
            </w:r>
          </w:p>
        </w:tc>
        <w:tc>
          <w:tcPr>
            <w:tcW w:w="2018" w:type="dxa"/>
            <w:tcBorders>
              <w:top w:val="nil"/>
              <w:left w:val="nil"/>
              <w:bottom w:val="single" w:sz="4" w:space="0" w:color="auto"/>
              <w:right w:val="nil"/>
            </w:tcBorders>
            <w:shd w:val="clear" w:color="auto" w:fill="auto"/>
            <w:noWrap/>
            <w:vAlign w:val="center"/>
          </w:tcPr>
          <w:p w:rsidR="00740967" w:rsidRPr="009B5734" w:rsidRDefault="00740967" w:rsidP="00740967">
            <w:pPr>
              <w:ind w:left="0" w:firstLine="0"/>
              <w:jc w:val="center"/>
              <w:rPr>
                <w:rFonts w:ascii="Verdana" w:eastAsia="Times New Roman" w:hAnsi="Verdana" w:cs="Calibri"/>
                <w:noProof/>
                <w:color w:val="000000"/>
                <w:sz w:val="18"/>
                <w:szCs w:val="18"/>
                <w:lang w:eastAsia="en-GB"/>
              </w:rPr>
            </w:pPr>
            <w:r w:rsidRPr="009B5734">
              <w:rPr>
                <w:rFonts w:ascii="Verdana" w:hAnsi="Verdana" w:cs="Calibri"/>
                <w:noProof/>
                <w:color w:val="000000"/>
                <w:sz w:val="18"/>
                <w:szCs w:val="18"/>
              </w:rPr>
              <w:t xml:space="preserve"> 1278|1298.6 </w:t>
            </w:r>
          </w:p>
        </w:tc>
        <w:tc>
          <w:tcPr>
            <w:tcW w:w="2018" w:type="dxa"/>
            <w:tcBorders>
              <w:top w:val="nil"/>
              <w:left w:val="nil"/>
              <w:bottom w:val="single" w:sz="4" w:space="0" w:color="auto"/>
              <w:right w:val="nil"/>
            </w:tcBorders>
            <w:shd w:val="clear" w:color="auto" w:fill="auto"/>
            <w:noWrap/>
            <w:vAlign w:val="center"/>
          </w:tcPr>
          <w:p w:rsidR="00740967" w:rsidRPr="009B5734" w:rsidRDefault="00740967" w:rsidP="00740967">
            <w:pPr>
              <w:ind w:left="0" w:firstLine="0"/>
              <w:jc w:val="center"/>
              <w:rPr>
                <w:rFonts w:ascii="Verdana" w:eastAsia="Times New Roman" w:hAnsi="Verdana" w:cs="Calibri"/>
                <w:noProof/>
                <w:color w:val="000000"/>
                <w:sz w:val="18"/>
                <w:szCs w:val="18"/>
                <w:lang w:eastAsia="en-GB"/>
              </w:rPr>
            </w:pPr>
            <w:r w:rsidRPr="009B5734">
              <w:rPr>
                <w:rFonts w:ascii="Verdana" w:hAnsi="Verdana" w:cs="Calibri"/>
                <w:noProof/>
                <w:color w:val="000000"/>
                <w:sz w:val="18"/>
                <w:szCs w:val="18"/>
              </w:rPr>
              <w:t xml:space="preserve"> 166|193 </w:t>
            </w:r>
          </w:p>
        </w:tc>
        <w:tc>
          <w:tcPr>
            <w:tcW w:w="2018" w:type="dxa"/>
            <w:tcBorders>
              <w:top w:val="nil"/>
              <w:left w:val="nil"/>
              <w:bottom w:val="single" w:sz="4" w:space="0" w:color="auto"/>
              <w:right w:val="nil"/>
            </w:tcBorders>
            <w:shd w:val="clear" w:color="auto" w:fill="auto"/>
            <w:noWrap/>
            <w:vAlign w:val="center"/>
          </w:tcPr>
          <w:p w:rsidR="00740967" w:rsidRPr="009B5734" w:rsidRDefault="00740967" w:rsidP="00740967">
            <w:pPr>
              <w:ind w:left="0" w:firstLine="0"/>
              <w:jc w:val="center"/>
              <w:rPr>
                <w:rFonts w:ascii="Verdana" w:eastAsia="Times New Roman" w:hAnsi="Verdana" w:cs="Calibri"/>
                <w:noProof/>
                <w:color w:val="000000"/>
                <w:sz w:val="18"/>
                <w:szCs w:val="18"/>
                <w:lang w:eastAsia="en-GB"/>
              </w:rPr>
            </w:pPr>
            <w:r w:rsidRPr="009B5734">
              <w:rPr>
                <w:rFonts w:ascii="Verdana" w:hAnsi="Verdana" w:cs="Calibri"/>
                <w:noProof/>
                <w:color w:val="000000"/>
                <w:sz w:val="18"/>
                <w:szCs w:val="18"/>
              </w:rPr>
              <w:t xml:space="preserve"> 740|752 </w:t>
            </w:r>
          </w:p>
        </w:tc>
        <w:tc>
          <w:tcPr>
            <w:tcW w:w="2018" w:type="dxa"/>
            <w:tcBorders>
              <w:top w:val="nil"/>
              <w:left w:val="nil"/>
              <w:bottom w:val="single" w:sz="4" w:space="0" w:color="auto"/>
              <w:right w:val="nil"/>
            </w:tcBorders>
            <w:shd w:val="clear" w:color="auto" w:fill="auto"/>
            <w:noWrap/>
            <w:vAlign w:val="center"/>
          </w:tcPr>
          <w:p w:rsidR="00740967" w:rsidRPr="009B5734" w:rsidRDefault="00740967" w:rsidP="00740967">
            <w:pPr>
              <w:ind w:left="0" w:firstLine="0"/>
              <w:jc w:val="center"/>
              <w:rPr>
                <w:rFonts w:ascii="Verdana" w:eastAsia="Times New Roman" w:hAnsi="Verdana" w:cs="Calibri"/>
                <w:noProof/>
                <w:color w:val="000000"/>
                <w:sz w:val="18"/>
                <w:szCs w:val="18"/>
                <w:lang w:eastAsia="en-GB"/>
              </w:rPr>
            </w:pPr>
            <w:r w:rsidRPr="009B5734">
              <w:rPr>
                <w:rFonts w:ascii="Verdana" w:hAnsi="Verdana" w:cs="Calibri"/>
                <w:noProof/>
                <w:color w:val="000000"/>
                <w:sz w:val="18"/>
                <w:szCs w:val="18"/>
              </w:rPr>
              <w:t xml:space="preserve"> 96|112 </w:t>
            </w:r>
          </w:p>
        </w:tc>
      </w:tr>
      <w:tr w:rsidR="00740967" w:rsidRPr="009B5734" w:rsidTr="00C84A99">
        <w:trPr>
          <w:trHeight w:val="300"/>
        </w:trPr>
        <w:tc>
          <w:tcPr>
            <w:tcW w:w="1988" w:type="dxa"/>
            <w:tcBorders>
              <w:top w:val="nil"/>
              <w:left w:val="nil"/>
              <w:bottom w:val="single" w:sz="8" w:space="0" w:color="auto"/>
              <w:right w:val="nil"/>
            </w:tcBorders>
            <w:shd w:val="clear" w:color="auto" w:fill="auto"/>
            <w:noWrap/>
            <w:vAlign w:val="center"/>
            <w:hideMark/>
          </w:tcPr>
          <w:p w:rsidR="00740967" w:rsidRPr="009B5734" w:rsidRDefault="00740967" w:rsidP="00740967">
            <w:pPr>
              <w:ind w:left="0" w:firstLineChars="100" w:firstLine="180"/>
              <w:jc w:val="left"/>
              <w:rPr>
                <w:rFonts w:ascii="Verdana" w:eastAsia="Times New Roman" w:hAnsi="Verdana" w:cs="Calibri"/>
                <w:noProof/>
                <w:color w:val="000000"/>
                <w:sz w:val="18"/>
                <w:szCs w:val="18"/>
                <w:lang w:eastAsia="en-GB"/>
              </w:rPr>
            </w:pPr>
            <w:r w:rsidRPr="009B5734">
              <w:rPr>
                <w:rFonts w:ascii="Verdana" w:eastAsia="Times New Roman" w:hAnsi="Verdana" w:cs="Calibri"/>
                <w:noProof/>
                <w:color w:val="000000"/>
                <w:sz w:val="18"/>
                <w:szCs w:val="18"/>
                <w:lang w:eastAsia="en-GB"/>
              </w:rPr>
              <w:t>Retailers</w:t>
            </w:r>
          </w:p>
        </w:tc>
        <w:tc>
          <w:tcPr>
            <w:tcW w:w="2018" w:type="dxa"/>
            <w:tcBorders>
              <w:top w:val="nil"/>
              <w:left w:val="nil"/>
              <w:bottom w:val="single" w:sz="8" w:space="0" w:color="auto"/>
              <w:right w:val="nil"/>
            </w:tcBorders>
            <w:shd w:val="clear" w:color="auto" w:fill="auto"/>
            <w:noWrap/>
            <w:vAlign w:val="center"/>
          </w:tcPr>
          <w:p w:rsidR="00740967" w:rsidRPr="009B5734" w:rsidRDefault="00740967" w:rsidP="00740967">
            <w:pPr>
              <w:ind w:left="0" w:firstLine="0"/>
              <w:jc w:val="center"/>
              <w:rPr>
                <w:rFonts w:ascii="Verdana" w:eastAsia="Times New Roman" w:hAnsi="Verdana" w:cs="Calibri"/>
                <w:noProof/>
                <w:color w:val="000000"/>
                <w:sz w:val="18"/>
                <w:szCs w:val="18"/>
                <w:lang w:eastAsia="en-GB"/>
              </w:rPr>
            </w:pPr>
            <w:r w:rsidRPr="009B5734">
              <w:rPr>
                <w:rFonts w:ascii="Verdana" w:hAnsi="Verdana" w:cs="Calibri"/>
                <w:noProof/>
                <w:color w:val="000000"/>
                <w:sz w:val="18"/>
                <w:szCs w:val="18"/>
              </w:rPr>
              <w:t xml:space="preserve"> 1674|1720.3 </w:t>
            </w:r>
          </w:p>
        </w:tc>
        <w:tc>
          <w:tcPr>
            <w:tcW w:w="2018" w:type="dxa"/>
            <w:tcBorders>
              <w:top w:val="nil"/>
              <w:left w:val="nil"/>
              <w:bottom w:val="single" w:sz="8" w:space="0" w:color="auto"/>
              <w:right w:val="nil"/>
            </w:tcBorders>
            <w:shd w:val="clear" w:color="auto" w:fill="auto"/>
            <w:noWrap/>
            <w:vAlign w:val="center"/>
          </w:tcPr>
          <w:p w:rsidR="00740967" w:rsidRPr="009B5734" w:rsidRDefault="00740967" w:rsidP="00740967">
            <w:pPr>
              <w:ind w:left="0" w:firstLine="0"/>
              <w:jc w:val="center"/>
              <w:rPr>
                <w:rFonts w:ascii="Verdana" w:eastAsia="Times New Roman" w:hAnsi="Verdana" w:cs="Calibri"/>
                <w:noProof/>
                <w:color w:val="000000"/>
                <w:sz w:val="18"/>
                <w:szCs w:val="18"/>
                <w:lang w:eastAsia="en-GB"/>
              </w:rPr>
            </w:pPr>
            <w:r w:rsidRPr="009B5734">
              <w:rPr>
                <w:rFonts w:ascii="Verdana" w:hAnsi="Verdana" w:cs="Calibri"/>
                <w:noProof/>
                <w:color w:val="000000"/>
                <w:sz w:val="18"/>
                <w:szCs w:val="18"/>
              </w:rPr>
              <w:t xml:space="preserve"> 99|123 </w:t>
            </w:r>
          </w:p>
        </w:tc>
        <w:tc>
          <w:tcPr>
            <w:tcW w:w="2018" w:type="dxa"/>
            <w:tcBorders>
              <w:top w:val="nil"/>
              <w:left w:val="nil"/>
              <w:bottom w:val="single" w:sz="8" w:space="0" w:color="auto"/>
              <w:right w:val="nil"/>
            </w:tcBorders>
            <w:shd w:val="clear" w:color="auto" w:fill="auto"/>
            <w:noWrap/>
            <w:vAlign w:val="center"/>
          </w:tcPr>
          <w:p w:rsidR="00740967" w:rsidRPr="009B5734" w:rsidRDefault="00740967" w:rsidP="00740967">
            <w:pPr>
              <w:ind w:left="0" w:firstLine="0"/>
              <w:jc w:val="center"/>
              <w:rPr>
                <w:rFonts w:ascii="Verdana" w:eastAsia="Times New Roman" w:hAnsi="Verdana" w:cs="Calibri"/>
                <w:noProof/>
                <w:color w:val="000000"/>
                <w:sz w:val="18"/>
                <w:szCs w:val="18"/>
                <w:lang w:eastAsia="en-GB"/>
              </w:rPr>
            </w:pPr>
            <w:r w:rsidRPr="009B5734">
              <w:rPr>
                <w:rFonts w:ascii="Verdana" w:hAnsi="Verdana" w:cs="Calibri"/>
                <w:noProof/>
                <w:color w:val="000000"/>
                <w:sz w:val="18"/>
                <w:szCs w:val="18"/>
              </w:rPr>
              <w:t xml:space="preserve"> 388|398 </w:t>
            </w:r>
          </w:p>
        </w:tc>
        <w:tc>
          <w:tcPr>
            <w:tcW w:w="2018" w:type="dxa"/>
            <w:tcBorders>
              <w:top w:val="nil"/>
              <w:left w:val="nil"/>
              <w:bottom w:val="single" w:sz="8" w:space="0" w:color="auto"/>
              <w:right w:val="nil"/>
            </w:tcBorders>
            <w:shd w:val="clear" w:color="auto" w:fill="auto"/>
            <w:noWrap/>
            <w:vAlign w:val="center"/>
          </w:tcPr>
          <w:p w:rsidR="00740967" w:rsidRPr="009B5734" w:rsidRDefault="00740967" w:rsidP="00740967">
            <w:pPr>
              <w:ind w:left="0" w:firstLine="0"/>
              <w:jc w:val="center"/>
              <w:rPr>
                <w:rFonts w:ascii="Verdana" w:eastAsia="Times New Roman" w:hAnsi="Verdana" w:cs="Calibri"/>
                <w:noProof/>
                <w:color w:val="000000"/>
                <w:sz w:val="18"/>
                <w:szCs w:val="18"/>
                <w:lang w:eastAsia="en-GB"/>
              </w:rPr>
            </w:pPr>
            <w:r w:rsidRPr="009B5734">
              <w:rPr>
                <w:rFonts w:ascii="Verdana" w:hAnsi="Verdana" w:cs="Calibri"/>
                <w:noProof/>
                <w:color w:val="000000"/>
                <w:sz w:val="18"/>
                <w:szCs w:val="18"/>
              </w:rPr>
              <w:t xml:space="preserve"> 23|28 </w:t>
            </w:r>
          </w:p>
        </w:tc>
      </w:tr>
      <w:tr w:rsidR="00740967" w:rsidRPr="009B5734" w:rsidTr="00C84A99">
        <w:trPr>
          <w:trHeight w:val="290"/>
        </w:trPr>
        <w:tc>
          <w:tcPr>
            <w:tcW w:w="1988" w:type="dxa"/>
            <w:tcBorders>
              <w:top w:val="nil"/>
              <w:left w:val="nil"/>
              <w:bottom w:val="single" w:sz="4" w:space="0" w:color="auto"/>
              <w:right w:val="nil"/>
            </w:tcBorders>
            <w:shd w:val="clear" w:color="auto" w:fill="F2F2F2" w:themeFill="background1" w:themeFillShade="F2"/>
            <w:noWrap/>
            <w:vAlign w:val="center"/>
            <w:hideMark/>
          </w:tcPr>
          <w:p w:rsidR="00740967" w:rsidRPr="009B5734" w:rsidRDefault="00740967" w:rsidP="00740967">
            <w:pPr>
              <w:ind w:left="0" w:firstLine="0"/>
              <w:jc w:val="left"/>
              <w:rPr>
                <w:rFonts w:ascii="Verdana" w:eastAsia="Times New Roman" w:hAnsi="Verdana" w:cs="Calibri"/>
                <w:noProof/>
                <w:color w:val="002395"/>
                <w:sz w:val="18"/>
                <w:szCs w:val="18"/>
                <w:lang w:eastAsia="en-GB"/>
              </w:rPr>
            </w:pPr>
            <w:r w:rsidRPr="009B5734">
              <w:rPr>
                <w:rFonts w:ascii="Verdana" w:eastAsia="Times New Roman" w:hAnsi="Verdana" w:cs="Calibri"/>
                <w:noProof/>
                <w:color w:val="002395"/>
                <w:sz w:val="18"/>
                <w:szCs w:val="18"/>
                <w:lang w:eastAsia="en-GB"/>
              </w:rPr>
              <w:t>Large Enterprises</w:t>
            </w:r>
          </w:p>
        </w:tc>
        <w:tc>
          <w:tcPr>
            <w:tcW w:w="2018" w:type="dxa"/>
            <w:tcBorders>
              <w:top w:val="nil"/>
              <w:left w:val="nil"/>
              <w:bottom w:val="single" w:sz="4" w:space="0" w:color="auto"/>
              <w:right w:val="nil"/>
            </w:tcBorders>
            <w:shd w:val="clear" w:color="auto" w:fill="F2F2F2" w:themeFill="background1" w:themeFillShade="F2"/>
            <w:noWrap/>
            <w:vAlign w:val="center"/>
          </w:tcPr>
          <w:p w:rsidR="00740967" w:rsidRPr="009B5734" w:rsidRDefault="00740967" w:rsidP="00740967">
            <w:pPr>
              <w:ind w:left="0" w:firstLine="0"/>
              <w:jc w:val="center"/>
              <w:rPr>
                <w:rFonts w:ascii="Verdana" w:eastAsia="Times New Roman" w:hAnsi="Verdana" w:cs="Calibri"/>
                <w:noProof/>
                <w:color w:val="002395"/>
                <w:sz w:val="18"/>
                <w:szCs w:val="18"/>
                <w:lang w:eastAsia="en-GB"/>
              </w:rPr>
            </w:pPr>
            <w:r w:rsidRPr="009B5734">
              <w:rPr>
                <w:rFonts w:ascii="Verdana" w:hAnsi="Verdana" w:cs="Calibri"/>
                <w:noProof/>
                <w:color w:val="002395"/>
                <w:sz w:val="18"/>
                <w:szCs w:val="18"/>
              </w:rPr>
              <w:t xml:space="preserve"> 225.5|231.5 </w:t>
            </w:r>
          </w:p>
        </w:tc>
        <w:tc>
          <w:tcPr>
            <w:tcW w:w="2018" w:type="dxa"/>
            <w:tcBorders>
              <w:top w:val="nil"/>
              <w:left w:val="nil"/>
              <w:bottom w:val="single" w:sz="4" w:space="0" w:color="auto"/>
              <w:right w:val="nil"/>
            </w:tcBorders>
            <w:shd w:val="clear" w:color="auto" w:fill="F2F2F2" w:themeFill="background1" w:themeFillShade="F2"/>
            <w:noWrap/>
            <w:vAlign w:val="center"/>
          </w:tcPr>
          <w:p w:rsidR="00740967" w:rsidRPr="009B5734" w:rsidRDefault="00740967" w:rsidP="00740967">
            <w:pPr>
              <w:ind w:left="0" w:firstLine="0"/>
              <w:jc w:val="center"/>
              <w:rPr>
                <w:rFonts w:ascii="Verdana" w:eastAsia="Times New Roman" w:hAnsi="Verdana" w:cs="Calibri"/>
                <w:noProof/>
                <w:color w:val="002395"/>
                <w:sz w:val="18"/>
                <w:szCs w:val="18"/>
                <w:lang w:eastAsia="en-GB"/>
              </w:rPr>
            </w:pPr>
            <w:r w:rsidRPr="009B5734">
              <w:rPr>
                <w:rFonts w:ascii="Verdana" w:hAnsi="Verdana" w:cs="Calibri"/>
                <w:noProof/>
                <w:color w:val="002395"/>
                <w:sz w:val="18"/>
                <w:szCs w:val="18"/>
              </w:rPr>
              <w:t xml:space="preserve"> 83|118 </w:t>
            </w:r>
          </w:p>
        </w:tc>
        <w:tc>
          <w:tcPr>
            <w:tcW w:w="2018" w:type="dxa"/>
            <w:tcBorders>
              <w:top w:val="nil"/>
              <w:left w:val="nil"/>
              <w:bottom w:val="single" w:sz="4" w:space="0" w:color="auto"/>
              <w:right w:val="nil"/>
            </w:tcBorders>
            <w:shd w:val="clear" w:color="auto" w:fill="F2F2F2" w:themeFill="background1" w:themeFillShade="F2"/>
            <w:noWrap/>
            <w:vAlign w:val="center"/>
          </w:tcPr>
          <w:p w:rsidR="00740967" w:rsidRPr="009B5734" w:rsidRDefault="00740967" w:rsidP="00740967">
            <w:pPr>
              <w:ind w:left="0" w:firstLine="0"/>
              <w:jc w:val="center"/>
              <w:rPr>
                <w:rFonts w:ascii="Verdana" w:eastAsia="Times New Roman" w:hAnsi="Verdana" w:cs="Calibri"/>
                <w:noProof/>
                <w:color w:val="002395"/>
                <w:sz w:val="18"/>
                <w:szCs w:val="18"/>
                <w:lang w:eastAsia="en-GB"/>
              </w:rPr>
            </w:pPr>
            <w:r w:rsidRPr="009B5734">
              <w:rPr>
                <w:rFonts w:ascii="Verdana" w:hAnsi="Verdana" w:cs="Calibri"/>
                <w:noProof/>
                <w:color w:val="002395"/>
                <w:sz w:val="18"/>
                <w:szCs w:val="18"/>
              </w:rPr>
              <w:t xml:space="preserve"> 13301|13656 </w:t>
            </w:r>
          </w:p>
        </w:tc>
        <w:tc>
          <w:tcPr>
            <w:tcW w:w="2018" w:type="dxa"/>
            <w:tcBorders>
              <w:top w:val="nil"/>
              <w:left w:val="nil"/>
              <w:bottom w:val="single" w:sz="4" w:space="0" w:color="auto"/>
              <w:right w:val="nil"/>
            </w:tcBorders>
            <w:shd w:val="clear" w:color="auto" w:fill="F2F2F2" w:themeFill="background1" w:themeFillShade="F2"/>
            <w:noWrap/>
            <w:vAlign w:val="center"/>
          </w:tcPr>
          <w:p w:rsidR="00740967" w:rsidRPr="009B5734" w:rsidRDefault="00740967" w:rsidP="00740967">
            <w:pPr>
              <w:ind w:left="0" w:firstLine="0"/>
              <w:jc w:val="center"/>
              <w:rPr>
                <w:rFonts w:ascii="Verdana" w:eastAsia="Times New Roman" w:hAnsi="Verdana" w:cs="Calibri"/>
                <w:noProof/>
                <w:color w:val="002395"/>
                <w:sz w:val="18"/>
                <w:szCs w:val="18"/>
                <w:lang w:eastAsia="en-GB"/>
              </w:rPr>
            </w:pPr>
            <w:r w:rsidRPr="009B5734">
              <w:rPr>
                <w:rFonts w:ascii="Verdana" w:hAnsi="Verdana" w:cs="Calibri"/>
                <w:noProof/>
                <w:color w:val="002395"/>
                <w:sz w:val="18"/>
                <w:szCs w:val="18"/>
              </w:rPr>
              <w:t xml:space="preserve"> 4919|6965 </w:t>
            </w:r>
          </w:p>
        </w:tc>
      </w:tr>
      <w:tr w:rsidR="00740967" w:rsidRPr="009B5734" w:rsidTr="00C84A99">
        <w:trPr>
          <w:trHeight w:val="290"/>
        </w:trPr>
        <w:tc>
          <w:tcPr>
            <w:tcW w:w="1988" w:type="dxa"/>
            <w:tcBorders>
              <w:top w:val="nil"/>
              <w:left w:val="nil"/>
              <w:bottom w:val="single" w:sz="4" w:space="0" w:color="auto"/>
              <w:right w:val="nil"/>
            </w:tcBorders>
            <w:shd w:val="clear" w:color="auto" w:fill="auto"/>
            <w:noWrap/>
            <w:vAlign w:val="center"/>
            <w:hideMark/>
          </w:tcPr>
          <w:p w:rsidR="00740967" w:rsidRPr="009B5734" w:rsidRDefault="00740967" w:rsidP="00740967">
            <w:pPr>
              <w:ind w:left="0" w:firstLineChars="100" w:firstLine="180"/>
              <w:jc w:val="left"/>
              <w:rPr>
                <w:rFonts w:ascii="Verdana" w:eastAsia="Times New Roman" w:hAnsi="Verdana" w:cs="Calibri"/>
                <w:noProof/>
                <w:color w:val="000000"/>
                <w:sz w:val="18"/>
                <w:szCs w:val="18"/>
                <w:lang w:eastAsia="en-GB"/>
              </w:rPr>
            </w:pPr>
            <w:r w:rsidRPr="009B5734">
              <w:rPr>
                <w:rFonts w:ascii="Verdana" w:eastAsia="Times New Roman" w:hAnsi="Verdana" w:cs="Calibri"/>
                <w:noProof/>
                <w:color w:val="000000"/>
                <w:sz w:val="18"/>
                <w:szCs w:val="18"/>
                <w:lang w:eastAsia="en-GB"/>
              </w:rPr>
              <w:t>Manufacturers</w:t>
            </w:r>
          </w:p>
        </w:tc>
        <w:tc>
          <w:tcPr>
            <w:tcW w:w="2018" w:type="dxa"/>
            <w:tcBorders>
              <w:top w:val="nil"/>
              <w:left w:val="nil"/>
              <w:bottom w:val="single" w:sz="4" w:space="0" w:color="auto"/>
              <w:right w:val="nil"/>
            </w:tcBorders>
            <w:shd w:val="clear" w:color="auto" w:fill="auto"/>
            <w:noWrap/>
            <w:vAlign w:val="center"/>
          </w:tcPr>
          <w:p w:rsidR="00740967" w:rsidRPr="009B5734" w:rsidRDefault="00740967" w:rsidP="00740967">
            <w:pPr>
              <w:ind w:left="0" w:firstLine="0"/>
              <w:jc w:val="center"/>
              <w:rPr>
                <w:rFonts w:ascii="Verdana" w:eastAsia="Times New Roman" w:hAnsi="Verdana" w:cs="Calibri"/>
                <w:noProof/>
                <w:color w:val="000000"/>
                <w:sz w:val="18"/>
                <w:szCs w:val="18"/>
                <w:lang w:eastAsia="en-GB"/>
              </w:rPr>
            </w:pPr>
            <w:r w:rsidRPr="009B5734">
              <w:rPr>
                <w:rFonts w:ascii="Verdana" w:hAnsi="Verdana" w:cs="Calibri"/>
                <w:noProof/>
                <w:color w:val="000000"/>
                <w:sz w:val="18"/>
                <w:szCs w:val="18"/>
              </w:rPr>
              <w:t xml:space="preserve"> 215.8|221.6 </w:t>
            </w:r>
          </w:p>
        </w:tc>
        <w:tc>
          <w:tcPr>
            <w:tcW w:w="2018" w:type="dxa"/>
            <w:tcBorders>
              <w:top w:val="nil"/>
              <w:left w:val="nil"/>
              <w:bottom w:val="single" w:sz="4" w:space="0" w:color="auto"/>
              <w:right w:val="nil"/>
            </w:tcBorders>
            <w:shd w:val="clear" w:color="auto" w:fill="auto"/>
            <w:noWrap/>
            <w:vAlign w:val="center"/>
          </w:tcPr>
          <w:p w:rsidR="00740967" w:rsidRPr="009B5734" w:rsidRDefault="00740967" w:rsidP="00740967">
            <w:pPr>
              <w:ind w:left="0" w:firstLine="0"/>
              <w:jc w:val="center"/>
              <w:rPr>
                <w:rFonts w:ascii="Verdana" w:eastAsia="Times New Roman" w:hAnsi="Verdana" w:cs="Calibri"/>
                <w:noProof/>
                <w:color w:val="000000"/>
                <w:sz w:val="18"/>
                <w:szCs w:val="18"/>
                <w:lang w:eastAsia="en-GB"/>
              </w:rPr>
            </w:pPr>
            <w:r w:rsidRPr="009B5734">
              <w:rPr>
                <w:rFonts w:ascii="Verdana" w:hAnsi="Verdana" w:cs="Calibri"/>
                <w:noProof/>
                <w:color w:val="000000"/>
                <w:sz w:val="18"/>
                <w:szCs w:val="18"/>
              </w:rPr>
              <w:t xml:space="preserve"> 83|117 </w:t>
            </w:r>
          </w:p>
        </w:tc>
        <w:tc>
          <w:tcPr>
            <w:tcW w:w="2018" w:type="dxa"/>
            <w:tcBorders>
              <w:top w:val="nil"/>
              <w:left w:val="nil"/>
              <w:bottom w:val="single" w:sz="4" w:space="0" w:color="auto"/>
              <w:right w:val="nil"/>
            </w:tcBorders>
            <w:shd w:val="clear" w:color="auto" w:fill="auto"/>
            <w:noWrap/>
            <w:vAlign w:val="center"/>
          </w:tcPr>
          <w:p w:rsidR="00740967" w:rsidRPr="009B5734" w:rsidRDefault="00740967" w:rsidP="00740967">
            <w:pPr>
              <w:ind w:left="0" w:firstLine="0"/>
              <w:jc w:val="center"/>
              <w:rPr>
                <w:rFonts w:ascii="Verdana" w:eastAsia="Times New Roman" w:hAnsi="Verdana" w:cs="Calibri"/>
                <w:noProof/>
                <w:color w:val="000000"/>
                <w:sz w:val="18"/>
                <w:szCs w:val="18"/>
                <w:lang w:eastAsia="en-GB"/>
              </w:rPr>
            </w:pPr>
            <w:r w:rsidRPr="009B5734">
              <w:rPr>
                <w:rFonts w:ascii="Verdana" w:hAnsi="Verdana" w:cs="Calibri"/>
                <w:noProof/>
                <w:color w:val="000000"/>
                <w:sz w:val="18"/>
                <w:szCs w:val="18"/>
              </w:rPr>
              <w:t xml:space="preserve"> 27701|28445 </w:t>
            </w:r>
          </w:p>
        </w:tc>
        <w:tc>
          <w:tcPr>
            <w:tcW w:w="2018" w:type="dxa"/>
            <w:tcBorders>
              <w:top w:val="nil"/>
              <w:left w:val="nil"/>
              <w:bottom w:val="single" w:sz="4" w:space="0" w:color="auto"/>
              <w:right w:val="nil"/>
            </w:tcBorders>
            <w:shd w:val="clear" w:color="auto" w:fill="auto"/>
            <w:noWrap/>
            <w:vAlign w:val="center"/>
          </w:tcPr>
          <w:p w:rsidR="00740967" w:rsidRPr="009B5734" w:rsidRDefault="00740967" w:rsidP="00740967">
            <w:pPr>
              <w:ind w:left="0" w:firstLine="0"/>
              <w:jc w:val="center"/>
              <w:rPr>
                <w:rFonts w:ascii="Verdana" w:eastAsia="Times New Roman" w:hAnsi="Verdana" w:cs="Calibri"/>
                <w:noProof/>
                <w:color w:val="000000"/>
                <w:sz w:val="18"/>
                <w:szCs w:val="18"/>
                <w:lang w:eastAsia="en-GB"/>
              </w:rPr>
            </w:pPr>
            <w:r w:rsidRPr="009B5734">
              <w:rPr>
                <w:rFonts w:ascii="Verdana" w:hAnsi="Verdana" w:cs="Calibri"/>
                <w:noProof/>
                <w:color w:val="000000"/>
                <w:sz w:val="18"/>
                <w:szCs w:val="18"/>
              </w:rPr>
              <w:t xml:space="preserve"> 10628|15065 </w:t>
            </w:r>
          </w:p>
        </w:tc>
      </w:tr>
      <w:tr w:rsidR="00740967" w:rsidRPr="009B5734" w:rsidTr="00C84A99">
        <w:trPr>
          <w:trHeight w:val="290"/>
        </w:trPr>
        <w:tc>
          <w:tcPr>
            <w:tcW w:w="1988" w:type="dxa"/>
            <w:tcBorders>
              <w:top w:val="nil"/>
              <w:left w:val="nil"/>
              <w:bottom w:val="single" w:sz="4" w:space="0" w:color="auto"/>
              <w:right w:val="nil"/>
            </w:tcBorders>
            <w:shd w:val="clear" w:color="auto" w:fill="auto"/>
            <w:noWrap/>
            <w:vAlign w:val="center"/>
            <w:hideMark/>
          </w:tcPr>
          <w:p w:rsidR="00740967" w:rsidRPr="009B5734" w:rsidRDefault="00740967" w:rsidP="00740967">
            <w:pPr>
              <w:ind w:left="0" w:firstLineChars="100" w:firstLine="180"/>
              <w:jc w:val="left"/>
              <w:rPr>
                <w:rFonts w:ascii="Verdana" w:eastAsia="Times New Roman" w:hAnsi="Verdana" w:cs="Calibri"/>
                <w:noProof/>
                <w:color w:val="000000"/>
                <w:sz w:val="18"/>
                <w:szCs w:val="18"/>
                <w:lang w:eastAsia="en-GB"/>
              </w:rPr>
            </w:pPr>
            <w:r w:rsidRPr="009B5734">
              <w:rPr>
                <w:rFonts w:ascii="Verdana" w:eastAsia="Times New Roman" w:hAnsi="Verdana" w:cs="Calibri"/>
                <w:noProof/>
                <w:color w:val="000000"/>
                <w:sz w:val="18"/>
                <w:szCs w:val="18"/>
                <w:lang w:eastAsia="en-GB"/>
              </w:rPr>
              <w:t>Service Providers</w:t>
            </w:r>
          </w:p>
        </w:tc>
        <w:tc>
          <w:tcPr>
            <w:tcW w:w="2018" w:type="dxa"/>
            <w:tcBorders>
              <w:top w:val="nil"/>
              <w:left w:val="nil"/>
              <w:bottom w:val="single" w:sz="4" w:space="0" w:color="auto"/>
              <w:right w:val="nil"/>
            </w:tcBorders>
            <w:shd w:val="clear" w:color="auto" w:fill="auto"/>
            <w:noWrap/>
            <w:vAlign w:val="center"/>
          </w:tcPr>
          <w:p w:rsidR="00740967" w:rsidRPr="009B5734" w:rsidRDefault="00740967" w:rsidP="00740967">
            <w:pPr>
              <w:ind w:left="0" w:firstLine="0"/>
              <w:jc w:val="center"/>
              <w:rPr>
                <w:rFonts w:ascii="Verdana" w:eastAsia="Times New Roman" w:hAnsi="Verdana" w:cs="Calibri"/>
                <w:noProof/>
                <w:color w:val="000000"/>
                <w:sz w:val="18"/>
                <w:szCs w:val="18"/>
                <w:lang w:eastAsia="en-GB"/>
              </w:rPr>
            </w:pPr>
            <w:r w:rsidRPr="009B5734">
              <w:rPr>
                <w:rFonts w:ascii="Verdana" w:hAnsi="Verdana" w:cs="Calibri"/>
                <w:noProof/>
                <w:color w:val="000000"/>
                <w:sz w:val="18"/>
                <w:szCs w:val="18"/>
              </w:rPr>
              <w:t xml:space="preserve"> 5.9|6 </w:t>
            </w:r>
          </w:p>
        </w:tc>
        <w:tc>
          <w:tcPr>
            <w:tcW w:w="2018" w:type="dxa"/>
            <w:tcBorders>
              <w:top w:val="nil"/>
              <w:left w:val="nil"/>
              <w:bottom w:val="single" w:sz="4" w:space="0" w:color="auto"/>
              <w:right w:val="nil"/>
            </w:tcBorders>
            <w:shd w:val="clear" w:color="auto" w:fill="auto"/>
            <w:noWrap/>
            <w:vAlign w:val="center"/>
          </w:tcPr>
          <w:p w:rsidR="00740967" w:rsidRPr="009B5734" w:rsidRDefault="00740967" w:rsidP="00740967">
            <w:pPr>
              <w:ind w:left="0" w:firstLine="0"/>
              <w:jc w:val="center"/>
              <w:rPr>
                <w:rFonts w:ascii="Verdana" w:eastAsia="Times New Roman" w:hAnsi="Verdana" w:cs="Calibri"/>
                <w:noProof/>
                <w:color w:val="000000"/>
                <w:sz w:val="18"/>
                <w:szCs w:val="18"/>
                <w:lang w:eastAsia="en-GB"/>
              </w:rPr>
            </w:pPr>
            <w:r w:rsidRPr="009B5734">
              <w:rPr>
                <w:rFonts w:ascii="Verdana" w:hAnsi="Verdana" w:cs="Calibri"/>
                <w:noProof/>
                <w:color w:val="000000"/>
                <w:sz w:val="18"/>
                <w:szCs w:val="18"/>
              </w:rPr>
              <w:t xml:space="preserve"> 0.4|0.4 </w:t>
            </w:r>
          </w:p>
        </w:tc>
        <w:tc>
          <w:tcPr>
            <w:tcW w:w="2018" w:type="dxa"/>
            <w:tcBorders>
              <w:top w:val="nil"/>
              <w:left w:val="nil"/>
              <w:bottom w:val="single" w:sz="4" w:space="0" w:color="auto"/>
              <w:right w:val="nil"/>
            </w:tcBorders>
            <w:shd w:val="clear" w:color="auto" w:fill="auto"/>
            <w:noWrap/>
            <w:vAlign w:val="center"/>
          </w:tcPr>
          <w:p w:rsidR="00740967" w:rsidRPr="009B5734" w:rsidRDefault="00740967" w:rsidP="00740967">
            <w:pPr>
              <w:ind w:left="0" w:firstLine="0"/>
              <w:jc w:val="center"/>
              <w:rPr>
                <w:rFonts w:ascii="Verdana" w:eastAsia="Times New Roman" w:hAnsi="Verdana" w:cs="Calibri"/>
                <w:noProof/>
                <w:color w:val="000000"/>
                <w:sz w:val="18"/>
                <w:szCs w:val="18"/>
                <w:lang w:eastAsia="en-GB"/>
              </w:rPr>
            </w:pPr>
            <w:r w:rsidRPr="009B5734">
              <w:rPr>
                <w:rFonts w:ascii="Verdana" w:hAnsi="Verdana" w:cs="Calibri"/>
                <w:noProof/>
                <w:color w:val="000000"/>
                <w:sz w:val="18"/>
                <w:szCs w:val="18"/>
              </w:rPr>
              <w:t xml:space="preserve"> 1465|1493 </w:t>
            </w:r>
          </w:p>
        </w:tc>
        <w:tc>
          <w:tcPr>
            <w:tcW w:w="2018" w:type="dxa"/>
            <w:tcBorders>
              <w:top w:val="nil"/>
              <w:left w:val="nil"/>
              <w:bottom w:val="single" w:sz="4" w:space="0" w:color="auto"/>
              <w:right w:val="nil"/>
            </w:tcBorders>
            <w:shd w:val="clear" w:color="auto" w:fill="auto"/>
            <w:noWrap/>
            <w:vAlign w:val="center"/>
          </w:tcPr>
          <w:p w:rsidR="00740967" w:rsidRPr="009B5734" w:rsidRDefault="00740967" w:rsidP="00740967">
            <w:pPr>
              <w:ind w:left="0" w:firstLine="0"/>
              <w:jc w:val="center"/>
              <w:rPr>
                <w:rFonts w:ascii="Verdana" w:eastAsia="Times New Roman" w:hAnsi="Verdana" w:cs="Calibri"/>
                <w:noProof/>
                <w:color w:val="000000"/>
                <w:sz w:val="18"/>
                <w:szCs w:val="18"/>
                <w:lang w:eastAsia="en-GB"/>
              </w:rPr>
            </w:pPr>
            <w:r w:rsidRPr="009B5734">
              <w:rPr>
                <w:rFonts w:ascii="Verdana" w:hAnsi="Verdana" w:cs="Calibri"/>
                <w:noProof/>
                <w:color w:val="000000"/>
                <w:sz w:val="18"/>
                <w:szCs w:val="18"/>
              </w:rPr>
              <w:t xml:space="preserve"> 93.7|110.1 </w:t>
            </w:r>
          </w:p>
        </w:tc>
      </w:tr>
      <w:tr w:rsidR="00740967" w:rsidRPr="009B5734" w:rsidTr="00C84A99">
        <w:trPr>
          <w:trHeight w:val="300"/>
        </w:trPr>
        <w:tc>
          <w:tcPr>
            <w:tcW w:w="1988" w:type="dxa"/>
            <w:tcBorders>
              <w:top w:val="nil"/>
              <w:left w:val="nil"/>
              <w:bottom w:val="single" w:sz="8" w:space="0" w:color="auto"/>
              <w:right w:val="nil"/>
            </w:tcBorders>
            <w:shd w:val="clear" w:color="auto" w:fill="auto"/>
            <w:noWrap/>
            <w:vAlign w:val="center"/>
            <w:hideMark/>
          </w:tcPr>
          <w:p w:rsidR="00740967" w:rsidRPr="009B5734" w:rsidRDefault="00740967" w:rsidP="00740967">
            <w:pPr>
              <w:ind w:left="0" w:firstLineChars="100" w:firstLine="180"/>
              <w:jc w:val="left"/>
              <w:rPr>
                <w:rFonts w:ascii="Verdana" w:eastAsia="Times New Roman" w:hAnsi="Verdana" w:cs="Calibri"/>
                <w:noProof/>
                <w:color w:val="000000"/>
                <w:sz w:val="18"/>
                <w:szCs w:val="18"/>
                <w:lang w:eastAsia="en-GB"/>
              </w:rPr>
            </w:pPr>
            <w:r w:rsidRPr="009B5734">
              <w:rPr>
                <w:rFonts w:ascii="Verdana" w:eastAsia="Times New Roman" w:hAnsi="Verdana" w:cs="Calibri"/>
                <w:noProof/>
                <w:color w:val="000000"/>
                <w:sz w:val="18"/>
                <w:szCs w:val="18"/>
                <w:lang w:eastAsia="en-GB"/>
              </w:rPr>
              <w:t>Retailers</w:t>
            </w:r>
          </w:p>
        </w:tc>
        <w:tc>
          <w:tcPr>
            <w:tcW w:w="2018" w:type="dxa"/>
            <w:tcBorders>
              <w:top w:val="nil"/>
              <w:left w:val="nil"/>
              <w:bottom w:val="single" w:sz="8" w:space="0" w:color="auto"/>
              <w:right w:val="nil"/>
            </w:tcBorders>
            <w:shd w:val="clear" w:color="auto" w:fill="auto"/>
            <w:noWrap/>
            <w:vAlign w:val="center"/>
          </w:tcPr>
          <w:p w:rsidR="00740967" w:rsidRPr="009B5734" w:rsidRDefault="00740967" w:rsidP="00740967">
            <w:pPr>
              <w:ind w:left="0" w:firstLine="0"/>
              <w:jc w:val="center"/>
              <w:rPr>
                <w:rFonts w:ascii="Verdana" w:eastAsia="Times New Roman" w:hAnsi="Verdana" w:cs="Calibri"/>
                <w:noProof/>
                <w:color w:val="000000"/>
                <w:sz w:val="18"/>
                <w:szCs w:val="18"/>
                <w:lang w:eastAsia="en-GB"/>
              </w:rPr>
            </w:pPr>
            <w:r w:rsidRPr="009B5734">
              <w:rPr>
                <w:rFonts w:ascii="Verdana" w:hAnsi="Verdana" w:cs="Calibri"/>
                <w:noProof/>
                <w:color w:val="000000"/>
                <w:sz w:val="18"/>
                <w:szCs w:val="18"/>
              </w:rPr>
              <w:t xml:space="preserve"> 3.8|3.9 </w:t>
            </w:r>
          </w:p>
        </w:tc>
        <w:tc>
          <w:tcPr>
            <w:tcW w:w="2018" w:type="dxa"/>
            <w:tcBorders>
              <w:top w:val="nil"/>
              <w:left w:val="nil"/>
              <w:bottom w:val="single" w:sz="8" w:space="0" w:color="auto"/>
              <w:right w:val="nil"/>
            </w:tcBorders>
            <w:shd w:val="clear" w:color="auto" w:fill="auto"/>
            <w:noWrap/>
            <w:vAlign w:val="center"/>
          </w:tcPr>
          <w:p w:rsidR="00740967" w:rsidRPr="009B5734" w:rsidRDefault="00740967" w:rsidP="00740967">
            <w:pPr>
              <w:ind w:left="0" w:firstLine="0"/>
              <w:jc w:val="center"/>
              <w:rPr>
                <w:rFonts w:ascii="Verdana" w:eastAsia="Times New Roman" w:hAnsi="Verdana" w:cs="Calibri"/>
                <w:noProof/>
                <w:color w:val="000000"/>
                <w:sz w:val="18"/>
                <w:szCs w:val="18"/>
                <w:lang w:eastAsia="en-GB"/>
              </w:rPr>
            </w:pPr>
            <w:r w:rsidRPr="009B5734">
              <w:rPr>
                <w:rFonts w:ascii="Verdana" w:hAnsi="Verdana" w:cs="Calibri"/>
                <w:noProof/>
                <w:color w:val="000000"/>
                <w:sz w:val="18"/>
                <w:szCs w:val="18"/>
              </w:rPr>
              <w:t xml:space="preserve"> 0.2|0.2 </w:t>
            </w:r>
          </w:p>
        </w:tc>
        <w:tc>
          <w:tcPr>
            <w:tcW w:w="2018" w:type="dxa"/>
            <w:tcBorders>
              <w:top w:val="nil"/>
              <w:left w:val="nil"/>
              <w:bottom w:val="single" w:sz="8" w:space="0" w:color="auto"/>
              <w:right w:val="nil"/>
            </w:tcBorders>
            <w:shd w:val="clear" w:color="auto" w:fill="auto"/>
            <w:noWrap/>
            <w:vAlign w:val="center"/>
          </w:tcPr>
          <w:p w:rsidR="00740967" w:rsidRPr="009B5734" w:rsidRDefault="00740967" w:rsidP="00740967">
            <w:pPr>
              <w:ind w:left="0" w:firstLine="0"/>
              <w:jc w:val="center"/>
              <w:rPr>
                <w:rFonts w:ascii="Verdana" w:eastAsia="Times New Roman" w:hAnsi="Verdana" w:cs="Calibri"/>
                <w:noProof/>
                <w:color w:val="000000"/>
                <w:sz w:val="18"/>
                <w:szCs w:val="18"/>
                <w:lang w:eastAsia="en-GB"/>
              </w:rPr>
            </w:pPr>
            <w:r w:rsidRPr="009B5734">
              <w:rPr>
                <w:rFonts w:ascii="Verdana" w:hAnsi="Verdana" w:cs="Calibri"/>
                <w:noProof/>
                <w:color w:val="000000"/>
                <w:sz w:val="18"/>
                <w:szCs w:val="18"/>
              </w:rPr>
              <w:t xml:space="preserve"> 729|749 </w:t>
            </w:r>
          </w:p>
        </w:tc>
        <w:tc>
          <w:tcPr>
            <w:tcW w:w="2018" w:type="dxa"/>
            <w:tcBorders>
              <w:top w:val="nil"/>
              <w:left w:val="nil"/>
              <w:bottom w:val="single" w:sz="8" w:space="0" w:color="auto"/>
              <w:right w:val="nil"/>
            </w:tcBorders>
            <w:shd w:val="clear" w:color="auto" w:fill="auto"/>
            <w:noWrap/>
            <w:vAlign w:val="center"/>
          </w:tcPr>
          <w:p w:rsidR="00740967" w:rsidRPr="009B5734" w:rsidRDefault="00740967" w:rsidP="00740967">
            <w:pPr>
              <w:ind w:left="0" w:firstLine="0"/>
              <w:jc w:val="center"/>
              <w:rPr>
                <w:rFonts w:ascii="Verdana" w:eastAsia="Times New Roman" w:hAnsi="Verdana" w:cs="Calibri"/>
                <w:noProof/>
                <w:color w:val="000000"/>
                <w:sz w:val="18"/>
                <w:szCs w:val="18"/>
                <w:lang w:eastAsia="en-GB"/>
              </w:rPr>
            </w:pPr>
            <w:r w:rsidRPr="009B5734">
              <w:rPr>
                <w:rFonts w:ascii="Verdana" w:hAnsi="Verdana" w:cs="Calibri"/>
                <w:noProof/>
                <w:color w:val="000000"/>
                <w:sz w:val="18"/>
                <w:szCs w:val="18"/>
              </w:rPr>
              <w:t xml:space="preserve"> 38.3|47.8 </w:t>
            </w:r>
          </w:p>
        </w:tc>
      </w:tr>
      <w:tr w:rsidR="00740967" w:rsidRPr="009B5734" w:rsidTr="00C84A99">
        <w:trPr>
          <w:trHeight w:val="300"/>
        </w:trPr>
        <w:tc>
          <w:tcPr>
            <w:tcW w:w="1988" w:type="dxa"/>
            <w:tcBorders>
              <w:top w:val="nil"/>
              <w:left w:val="nil"/>
              <w:bottom w:val="single" w:sz="8" w:space="0" w:color="auto"/>
              <w:right w:val="nil"/>
            </w:tcBorders>
            <w:shd w:val="clear" w:color="auto" w:fill="auto"/>
            <w:noWrap/>
            <w:vAlign w:val="center"/>
            <w:hideMark/>
          </w:tcPr>
          <w:p w:rsidR="00740967" w:rsidRPr="009B5734" w:rsidRDefault="00740967" w:rsidP="00740967">
            <w:pPr>
              <w:ind w:left="0" w:firstLine="0"/>
              <w:jc w:val="left"/>
              <w:rPr>
                <w:rFonts w:ascii="Verdana" w:eastAsia="Times New Roman" w:hAnsi="Verdana" w:cs="Calibri"/>
                <w:b/>
                <w:bCs/>
                <w:noProof/>
                <w:color w:val="002395"/>
                <w:sz w:val="18"/>
                <w:szCs w:val="18"/>
                <w:lang w:eastAsia="en-GB"/>
              </w:rPr>
            </w:pPr>
            <w:r w:rsidRPr="009B5734">
              <w:rPr>
                <w:rFonts w:ascii="Verdana" w:eastAsia="Times New Roman" w:hAnsi="Verdana" w:cs="Calibri"/>
                <w:b/>
                <w:bCs/>
                <w:noProof/>
                <w:color w:val="002395"/>
                <w:sz w:val="18"/>
                <w:szCs w:val="18"/>
                <w:lang w:eastAsia="en-GB"/>
              </w:rPr>
              <w:t>TOTAL</w:t>
            </w:r>
          </w:p>
        </w:tc>
        <w:tc>
          <w:tcPr>
            <w:tcW w:w="2018" w:type="dxa"/>
            <w:tcBorders>
              <w:top w:val="nil"/>
              <w:left w:val="nil"/>
              <w:bottom w:val="single" w:sz="8" w:space="0" w:color="auto"/>
              <w:right w:val="nil"/>
            </w:tcBorders>
            <w:shd w:val="clear" w:color="auto" w:fill="auto"/>
            <w:noWrap/>
            <w:vAlign w:val="center"/>
          </w:tcPr>
          <w:p w:rsidR="00740967" w:rsidRPr="009B5734" w:rsidRDefault="00740967" w:rsidP="00740967">
            <w:pPr>
              <w:ind w:left="0" w:firstLine="0"/>
              <w:jc w:val="center"/>
              <w:rPr>
                <w:rFonts w:ascii="Verdana" w:eastAsia="Times New Roman" w:hAnsi="Verdana" w:cs="Calibri"/>
                <w:b/>
                <w:bCs/>
                <w:noProof/>
                <w:color w:val="002395"/>
                <w:sz w:val="18"/>
                <w:szCs w:val="18"/>
                <w:lang w:eastAsia="en-GB"/>
              </w:rPr>
            </w:pPr>
            <w:r w:rsidRPr="009B5734">
              <w:rPr>
                <w:rFonts w:ascii="Verdana" w:hAnsi="Verdana" w:cs="Calibri"/>
                <w:b/>
                <w:bCs/>
                <w:noProof/>
                <w:color w:val="002395"/>
                <w:sz w:val="18"/>
                <w:szCs w:val="18"/>
              </w:rPr>
              <w:t xml:space="preserve"> 3910|3995 </w:t>
            </w:r>
          </w:p>
        </w:tc>
        <w:tc>
          <w:tcPr>
            <w:tcW w:w="2018" w:type="dxa"/>
            <w:tcBorders>
              <w:top w:val="nil"/>
              <w:left w:val="nil"/>
              <w:bottom w:val="single" w:sz="8" w:space="0" w:color="auto"/>
              <w:right w:val="nil"/>
            </w:tcBorders>
            <w:shd w:val="clear" w:color="auto" w:fill="auto"/>
            <w:noWrap/>
            <w:vAlign w:val="center"/>
          </w:tcPr>
          <w:p w:rsidR="00740967" w:rsidRPr="009B5734" w:rsidRDefault="00740967" w:rsidP="00740967">
            <w:pPr>
              <w:ind w:left="0" w:firstLine="0"/>
              <w:jc w:val="center"/>
              <w:rPr>
                <w:rFonts w:ascii="Verdana" w:eastAsia="Times New Roman" w:hAnsi="Verdana" w:cs="Calibri"/>
                <w:b/>
                <w:bCs/>
                <w:noProof/>
                <w:color w:val="002395"/>
                <w:sz w:val="18"/>
                <w:szCs w:val="18"/>
                <w:lang w:eastAsia="en-GB"/>
              </w:rPr>
            </w:pPr>
            <w:r w:rsidRPr="009B5734">
              <w:rPr>
                <w:rFonts w:ascii="Verdana" w:hAnsi="Verdana" w:cs="Calibri"/>
                <w:b/>
                <w:bCs/>
                <w:noProof/>
                <w:color w:val="002395"/>
                <w:sz w:val="18"/>
                <w:szCs w:val="18"/>
              </w:rPr>
              <w:t xml:space="preserve"> 447|551 </w:t>
            </w:r>
          </w:p>
        </w:tc>
        <w:tc>
          <w:tcPr>
            <w:tcW w:w="2018" w:type="dxa"/>
            <w:tcBorders>
              <w:top w:val="nil"/>
              <w:left w:val="nil"/>
              <w:bottom w:val="single" w:sz="8" w:space="0" w:color="auto"/>
              <w:right w:val="nil"/>
            </w:tcBorders>
            <w:shd w:val="clear" w:color="auto" w:fill="auto"/>
            <w:noWrap/>
            <w:vAlign w:val="center"/>
          </w:tcPr>
          <w:p w:rsidR="00740967" w:rsidRPr="009B5734" w:rsidRDefault="00740967" w:rsidP="00740967">
            <w:pPr>
              <w:ind w:left="0" w:firstLine="0"/>
              <w:jc w:val="center"/>
              <w:rPr>
                <w:rFonts w:ascii="Verdana" w:eastAsia="Times New Roman" w:hAnsi="Verdana" w:cs="Calibri"/>
                <w:b/>
                <w:bCs/>
                <w:noProof/>
                <w:color w:val="002395"/>
                <w:sz w:val="18"/>
                <w:szCs w:val="18"/>
                <w:lang w:eastAsia="en-GB"/>
              </w:rPr>
            </w:pPr>
            <w:r w:rsidRPr="009B5734">
              <w:rPr>
                <w:rFonts w:ascii="Verdana" w:hAnsi="Verdana" w:cs="Calibri"/>
                <w:b/>
                <w:bCs/>
                <w:noProof/>
                <w:color w:val="002395"/>
                <w:sz w:val="18"/>
                <w:szCs w:val="18"/>
              </w:rPr>
              <w:t xml:space="preserve"> 556|568 </w:t>
            </w:r>
          </w:p>
        </w:tc>
        <w:tc>
          <w:tcPr>
            <w:tcW w:w="2018" w:type="dxa"/>
            <w:tcBorders>
              <w:top w:val="nil"/>
              <w:left w:val="nil"/>
              <w:bottom w:val="single" w:sz="8" w:space="0" w:color="auto"/>
              <w:right w:val="nil"/>
            </w:tcBorders>
            <w:shd w:val="clear" w:color="auto" w:fill="auto"/>
            <w:noWrap/>
            <w:vAlign w:val="center"/>
          </w:tcPr>
          <w:p w:rsidR="00740967" w:rsidRPr="009B5734" w:rsidRDefault="00740967" w:rsidP="00740967">
            <w:pPr>
              <w:ind w:left="0" w:firstLine="0"/>
              <w:jc w:val="center"/>
              <w:rPr>
                <w:rFonts w:ascii="Verdana" w:eastAsia="Times New Roman" w:hAnsi="Verdana" w:cs="Calibri"/>
                <w:b/>
                <w:bCs/>
                <w:noProof/>
                <w:color w:val="002395"/>
                <w:sz w:val="18"/>
                <w:szCs w:val="18"/>
                <w:lang w:eastAsia="en-GB"/>
              </w:rPr>
            </w:pPr>
            <w:r w:rsidRPr="009B5734">
              <w:rPr>
                <w:rFonts w:ascii="Verdana" w:hAnsi="Verdana" w:cs="Calibri"/>
                <w:b/>
                <w:bCs/>
                <w:noProof/>
                <w:color w:val="002395"/>
                <w:sz w:val="18"/>
                <w:szCs w:val="18"/>
              </w:rPr>
              <w:t xml:space="preserve"> 64|78 </w:t>
            </w:r>
          </w:p>
        </w:tc>
      </w:tr>
    </w:tbl>
    <w:p w:rsidR="00EA45F9" w:rsidRPr="009B5734" w:rsidRDefault="00EA45F9" w:rsidP="00EA45F9">
      <w:pPr>
        <w:ind w:left="-624" w:right="-964"/>
        <w:rPr>
          <w:noProof/>
        </w:rPr>
      </w:pPr>
    </w:p>
    <w:p w:rsidR="00EA45F9" w:rsidRPr="009B5734" w:rsidRDefault="00EA45F9" w:rsidP="00EA45F9">
      <w:pPr>
        <w:rPr>
          <w:noProof/>
        </w:rPr>
      </w:pPr>
    </w:p>
    <w:p w:rsidR="00EA45F9" w:rsidRPr="009B5734" w:rsidRDefault="00EA45F9" w:rsidP="00EA45F9">
      <w:pPr>
        <w:rPr>
          <w:noProof/>
        </w:rPr>
      </w:pPr>
    </w:p>
    <w:p w:rsidR="00A16641" w:rsidRPr="00F92EAE" w:rsidRDefault="00EA45F9" w:rsidP="00A00208">
      <w:pPr>
        <w:pStyle w:val="Heading2"/>
        <w:rPr>
          <w:noProof/>
        </w:rPr>
      </w:pPr>
      <w:r w:rsidRPr="009B5734">
        <w:rPr>
          <w:noProof/>
        </w:rPr>
        <w:br w:type="page"/>
      </w:r>
      <w:bookmarkStart w:id="526" w:name="_Toc88562937"/>
      <w:r w:rsidR="00A00208" w:rsidRPr="00A00208">
        <w:t>3.</w:t>
      </w:r>
      <w:r w:rsidR="00A00208" w:rsidRPr="00A00208">
        <w:tab/>
      </w:r>
      <w:r w:rsidR="00A16641" w:rsidRPr="00F92EAE">
        <w:rPr>
          <w:noProof/>
        </w:rPr>
        <w:t>Relevant sustainable development goals</w:t>
      </w:r>
      <w:bookmarkEnd w:id="526"/>
    </w:p>
    <w:p w:rsidR="00A16641" w:rsidRPr="00F92EAE" w:rsidRDefault="00A16641" w:rsidP="00A16641">
      <w:pPr>
        <w:rPr>
          <w:noProof/>
        </w:rPr>
      </w:pPr>
    </w:p>
    <w:tbl>
      <w:tblPr>
        <w:tblStyle w:val="CV11"/>
        <w:tblW w:w="10377"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52"/>
        <w:gridCol w:w="4111"/>
        <w:gridCol w:w="3714"/>
      </w:tblGrid>
      <w:tr w:rsidR="00A16641" w:rsidRPr="00F92EAE" w:rsidTr="00F12321">
        <w:tc>
          <w:tcPr>
            <w:tcW w:w="10377" w:type="dxa"/>
            <w:gridSpan w:val="3"/>
            <w:tcBorders>
              <w:top w:val="double" w:sz="4" w:space="0" w:color="auto"/>
              <w:bottom w:val="single" w:sz="4" w:space="0" w:color="auto"/>
            </w:tcBorders>
            <w:shd w:val="clear" w:color="auto" w:fill="C6D9F1" w:themeFill="text2" w:themeFillTint="33"/>
          </w:tcPr>
          <w:p w:rsidR="00A16641" w:rsidRPr="00F92EAE" w:rsidRDefault="00A16641" w:rsidP="00F12321">
            <w:pPr>
              <w:rPr>
                <w:b/>
                <w:noProof/>
              </w:rPr>
            </w:pPr>
            <w:r w:rsidRPr="00F92EAE">
              <w:rPr>
                <w:b/>
                <w:noProof/>
              </w:rPr>
              <w:t>Overview of relevant Sustainable Development Goals – Preferred Option(s)</w:t>
            </w:r>
          </w:p>
        </w:tc>
      </w:tr>
      <w:tr w:rsidR="00A16641" w:rsidRPr="00F92EAE" w:rsidTr="00F12321">
        <w:tc>
          <w:tcPr>
            <w:tcW w:w="2552" w:type="dxa"/>
            <w:tcBorders>
              <w:top w:val="single" w:sz="4" w:space="0" w:color="auto"/>
            </w:tcBorders>
            <w:shd w:val="clear" w:color="auto" w:fill="C6D9F1" w:themeFill="text2" w:themeFillTint="33"/>
          </w:tcPr>
          <w:p w:rsidR="00A16641" w:rsidRPr="00F92EAE" w:rsidRDefault="00A16641" w:rsidP="00F12321">
            <w:pPr>
              <w:rPr>
                <w:b/>
                <w:noProof/>
              </w:rPr>
            </w:pPr>
            <w:r w:rsidRPr="00F92EAE">
              <w:rPr>
                <w:b/>
                <w:noProof/>
              </w:rPr>
              <w:t>Relevant SDG</w:t>
            </w:r>
          </w:p>
        </w:tc>
        <w:tc>
          <w:tcPr>
            <w:tcW w:w="4111" w:type="dxa"/>
            <w:tcBorders>
              <w:top w:val="single" w:sz="4" w:space="0" w:color="auto"/>
            </w:tcBorders>
            <w:shd w:val="clear" w:color="auto" w:fill="C6D9F1" w:themeFill="text2" w:themeFillTint="33"/>
          </w:tcPr>
          <w:p w:rsidR="00A16641" w:rsidRPr="00F92EAE" w:rsidRDefault="00A16641" w:rsidP="00F12321">
            <w:pPr>
              <w:rPr>
                <w:b/>
                <w:noProof/>
              </w:rPr>
            </w:pPr>
            <w:r w:rsidRPr="00F92EAE">
              <w:rPr>
                <w:b/>
                <w:noProof/>
              </w:rPr>
              <w:t>Expected progress towards the Goal</w:t>
            </w:r>
          </w:p>
        </w:tc>
        <w:tc>
          <w:tcPr>
            <w:tcW w:w="3714" w:type="dxa"/>
            <w:tcBorders>
              <w:top w:val="single" w:sz="4" w:space="0" w:color="auto"/>
            </w:tcBorders>
            <w:shd w:val="clear" w:color="auto" w:fill="C6D9F1" w:themeFill="text2" w:themeFillTint="33"/>
            <w:tcMar>
              <w:top w:w="57" w:type="dxa"/>
              <w:left w:w="57" w:type="dxa"/>
              <w:bottom w:w="57" w:type="dxa"/>
              <w:right w:w="57" w:type="dxa"/>
            </w:tcMar>
          </w:tcPr>
          <w:p w:rsidR="00A16641" w:rsidRPr="00F92EAE" w:rsidRDefault="00A16641" w:rsidP="00F12321">
            <w:pPr>
              <w:rPr>
                <w:b/>
                <w:noProof/>
              </w:rPr>
            </w:pPr>
            <w:r w:rsidRPr="00F92EAE">
              <w:rPr>
                <w:b/>
                <w:noProof/>
              </w:rPr>
              <w:t>Comments</w:t>
            </w:r>
          </w:p>
        </w:tc>
      </w:tr>
      <w:tr w:rsidR="00A16641" w:rsidRPr="00F92EAE" w:rsidTr="00F12321">
        <w:tc>
          <w:tcPr>
            <w:tcW w:w="2552" w:type="dxa"/>
            <w:tcBorders>
              <w:top w:val="double" w:sz="4" w:space="0" w:color="auto"/>
              <w:bottom w:val="single" w:sz="4" w:space="0" w:color="auto"/>
            </w:tcBorders>
          </w:tcPr>
          <w:p w:rsidR="00A16641" w:rsidRPr="00F92EAE" w:rsidRDefault="00885414" w:rsidP="00007F97">
            <w:pPr>
              <w:rPr>
                <w:noProof/>
              </w:rPr>
            </w:pPr>
            <w:r>
              <w:rPr>
                <w:noProof/>
              </w:rPr>
              <w:t>SDG no. 12</w:t>
            </w:r>
            <w:r w:rsidR="00A16641" w:rsidRPr="00F92EAE">
              <w:rPr>
                <w:noProof/>
              </w:rPr>
              <w:t xml:space="preserve"> –</w:t>
            </w:r>
            <w:r w:rsidR="00007F97">
              <w:rPr>
                <w:noProof/>
              </w:rPr>
              <w:t xml:space="preserve"> ensure sustainable</w:t>
            </w:r>
            <w:r w:rsidR="00A16641" w:rsidRPr="00F92EAE">
              <w:rPr>
                <w:noProof/>
              </w:rPr>
              <w:t xml:space="preserve"> </w:t>
            </w:r>
            <w:r>
              <w:rPr>
                <w:noProof/>
              </w:rPr>
              <w:t>consumption and production</w:t>
            </w:r>
            <w:r w:rsidR="00007F97">
              <w:rPr>
                <w:noProof/>
              </w:rPr>
              <w:t xml:space="preserve"> patterns</w:t>
            </w:r>
          </w:p>
        </w:tc>
        <w:tc>
          <w:tcPr>
            <w:tcW w:w="4111" w:type="dxa"/>
            <w:tcBorders>
              <w:top w:val="double" w:sz="4" w:space="0" w:color="auto"/>
              <w:bottom w:val="single" w:sz="4" w:space="0" w:color="auto"/>
            </w:tcBorders>
            <w:tcMar>
              <w:top w:w="57" w:type="dxa"/>
              <w:left w:w="57" w:type="dxa"/>
              <w:bottom w:w="57" w:type="dxa"/>
              <w:right w:w="57" w:type="dxa"/>
            </w:tcMar>
          </w:tcPr>
          <w:p w:rsidR="005440AD" w:rsidRPr="00C310D8" w:rsidRDefault="00885414" w:rsidP="005440AD">
            <w:pPr>
              <w:pStyle w:val="Default"/>
              <w:ind w:left="0" w:firstLine="0"/>
              <w:rPr>
                <w:noProof/>
                <w:color w:val="auto"/>
                <w:sz w:val="20"/>
                <w:szCs w:val="20"/>
                <w:lang w:val="en-GB"/>
              </w:rPr>
            </w:pPr>
            <w:r w:rsidRPr="00C310D8">
              <w:rPr>
                <w:noProof/>
                <w:color w:val="auto"/>
                <w:sz w:val="20"/>
                <w:szCs w:val="20"/>
                <w:lang w:val="en-GB"/>
              </w:rPr>
              <w:t>This initiative is expected to lead to an increase in the purchase of products with longer durability and better reparability, which do not deceive the consumer as to their environmental impact, and which do not fail earlier than expected.</w:t>
            </w:r>
            <w:r w:rsidR="005440AD" w:rsidRPr="00C310D8">
              <w:rPr>
                <w:noProof/>
                <w:color w:val="auto"/>
                <w:sz w:val="20"/>
                <w:szCs w:val="20"/>
                <w:lang w:val="en-GB"/>
              </w:rPr>
              <w:t xml:space="preserve"> The initiative is expected to better protect consumers against against unfair commercial practices, such as greenwashing, early obsolescence of consumer goods or non-transparent voluntary sustainability labels and digital information tools, which are not compatible with the green transition.</w:t>
            </w:r>
          </w:p>
          <w:p w:rsidR="00A16641" w:rsidRPr="00F92EAE" w:rsidRDefault="005440AD" w:rsidP="00F12321">
            <w:pPr>
              <w:rPr>
                <w:noProof/>
              </w:rPr>
            </w:pPr>
            <w:r>
              <w:rPr>
                <w:noProof/>
              </w:rPr>
              <w:t xml:space="preserve">  </w:t>
            </w:r>
          </w:p>
        </w:tc>
        <w:tc>
          <w:tcPr>
            <w:tcW w:w="3714" w:type="dxa"/>
            <w:tcBorders>
              <w:top w:val="double" w:sz="4" w:space="0" w:color="auto"/>
              <w:bottom w:val="single" w:sz="4" w:space="0" w:color="auto"/>
            </w:tcBorders>
            <w:tcMar>
              <w:top w:w="57" w:type="dxa"/>
              <w:left w:w="57" w:type="dxa"/>
              <w:bottom w:w="57" w:type="dxa"/>
              <w:right w:w="57" w:type="dxa"/>
            </w:tcMar>
          </w:tcPr>
          <w:p w:rsidR="00A16641" w:rsidRPr="00F92EAE" w:rsidRDefault="00A16641" w:rsidP="00F12321">
            <w:pPr>
              <w:rPr>
                <w:noProof/>
              </w:rPr>
            </w:pPr>
          </w:p>
        </w:tc>
      </w:tr>
      <w:tr w:rsidR="00A16641" w:rsidRPr="00F92EAE" w:rsidTr="00F12321">
        <w:tc>
          <w:tcPr>
            <w:tcW w:w="2552" w:type="dxa"/>
            <w:tcBorders>
              <w:top w:val="single" w:sz="4" w:space="0" w:color="auto"/>
              <w:bottom w:val="single" w:sz="4" w:space="0" w:color="auto"/>
            </w:tcBorders>
          </w:tcPr>
          <w:p w:rsidR="00A16641" w:rsidRPr="00F92EAE" w:rsidRDefault="00A16641" w:rsidP="00F12321">
            <w:pPr>
              <w:rPr>
                <w:noProof/>
              </w:rPr>
            </w:pPr>
          </w:p>
        </w:tc>
        <w:tc>
          <w:tcPr>
            <w:tcW w:w="4111" w:type="dxa"/>
            <w:tcBorders>
              <w:top w:val="single" w:sz="4" w:space="0" w:color="auto"/>
              <w:bottom w:val="single" w:sz="4" w:space="0" w:color="auto"/>
            </w:tcBorders>
            <w:tcMar>
              <w:top w:w="57" w:type="dxa"/>
              <w:left w:w="57" w:type="dxa"/>
              <w:bottom w:w="57" w:type="dxa"/>
              <w:right w:w="57" w:type="dxa"/>
            </w:tcMar>
          </w:tcPr>
          <w:p w:rsidR="00A16641" w:rsidRPr="00F92EAE" w:rsidRDefault="00A16641" w:rsidP="00F12321">
            <w:pPr>
              <w:rPr>
                <w:noProof/>
              </w:rPr>
            </w:pPr>
          </w:p>
        </w:tc>
        <w:tc>
          <w:tcPr>
            <w:tcW w:w="3714" w:type="dxa"/>
            <w:tcBorders>
              <w:top w:val="single" w:sz="4" w:space="0" w:color="auto"/>
              <w:bottom w:val="single" w:sz="4" w:space="0" w:color="auto"/>
            </w:tcBorders>
            <w:tcMar>
              <w:top w:w="57" w:type="dxa"/>
              <w:left w:w="57" w:type="dxa"/>
              <w:bottom w:w="57" w:type="dxa"/>
              <w:right w:w="57" w:type="dxa"/>
            </w:tcMar>
          </w:tcPr>
          <w:p w:rsidR="00A16641" w:rsidRPr="00F92EAE" w:rsidRDefault="00A16641" w:rsidP="00F12321">
            <w:pPr>
              <w:rPr>
                <w:noProof/>
              </w:rPr>
            </w:pPr>
          </w:p>
        </w:tc>
      </w:tr>
      <w:tr w:rsidR="00A16641" w:rsidRPr="00F92EAE" w:rsidTr="00F12321">
        <w:tc>
          <w:tcPr>
            <w:tcW w:w="2552" w:type="dxa"/>
            <w:tcBorders>
              <w:top w:val="single" w:sz="4" w:space="0" w:color="auto"/>
            </w:tcBorders>
          </w:tcPr>
          <w:p w:rsidR="00A16641" w:rsidRPr="00F92EAE" w:rsidRDefault="00A16641" w:rsidP="00885414">
            <w:pPr>
              <w:rPr>
                <w:noProof/>
              </w:rPr>
            </w:pPr>
            <w:r w:rsidRPr="00F92EAE">
              <w:rPr>
                <w:noProof/>
              </w:rPr>
              <w:t xml:space="preserve">SDG no. 13 </w:t>
            </w:r>
            <w:r w:rsidR="00885414">
              <w:rPr>
                <w:noProof/>
              </w:rPr>
              <w:t>–</w:t>
            </w:r>
            <w:r w:rsidRPr="00F92EAE">
              <w:rPr>
                <w:noProof/>
              </w:rPr>
              <w:t xml:space="preserve"> climate</w:t>
            </w:r>
            <w:r w:rsidR="00885414">
              <w:rPr>
                <w:noProof/>
              </w:rPr>
              <w:t xml:space="preserve"> action</w:t>
            </w:r>
          </w:p>
        </w:tc>
        <w:tc>
          <w:tcPr>
            <w:tcW w:w="4111" w:type="dxa"/>
            <w:tcBorders>
              <w:top w:val="single" w:sz="4" w:space="0" w:color="auto"/>
            </w:tcBorders>
            <w:tcMar>
              <w:top w:w="57" w:type="dxa"/>
              <w:left w:w="57" w:type="dxa"/>
              <w:bottom w:w="57" w:type="dxa"/>
              <w:right w:w="57" w:type="dxa"/>
            </w:tcMar>
          </w:tcPr>
          <w:p w:rsidR="00A16641" w:rsidRPr="00F92EAE" w:rsidRDefault="00885414" w:rsidP="00E45B93">
            <w:pPr>
              <w:rPr>
                <w:noProof/>
              </w:rPr>
            </w:pPr>
            <w:r>
              <w:rPr>
                <w:noProof/>
              </w:rPr>
              <w:t>This initiative is e</w:t>
            </w:r>
            <w:r w:rsidR="00A16641" w:rsidRPr="00F92EAE">
              <w:rPr>
                <w:noProof/>
              </w:rPr>
              <w:t xml:space="preserve">xpected </w:t>
            </w:r>
            <w:r>
              <w:rPr>
                <w:noProof/>
              </w:rPr>
              <w:t xml:space="preserve">to lead to a saving of </w:t>
            </w:r>
            <w:r w:rsidR="00E45B93">
              <w:rPr>
                <w:noProof/>
              </w:rPr>
              <w:t>5</w:t>
            </w:r>
            <w:r w:rsidRPr="00885414">
              <w:rPr>
                <w:noProof/>
              </w:rPr>
              <w:t xml:space="preserve"> - </w:t>
            </w:r>
            <w:r w:rsidR="00E45B93">
              <w:rPr>
                <w:noProof/>
              </w:rPr>
              <w:t>7</w:t>
            </w:r>
            <w:r w:rsidRPr="00885414">
              <w:rPr>
                <w:noProof/>
              </w:rPr>
              <w:t xml:space="preserve"> MtCO2e over a period of 15 years.</w:t>
            </w:r>
          </w:p>
        </w:tc>
        <w:tc>
          <w:tcPr>
            <w:tcW w:w="3714" w:type="dxa"/>
            <w:tcBorders>
              <w:top w:val="single" w:sz="4" w:space="0" w:color="auto"/>
            </w:tcBorders>
            <w:tcMar>
              <w:top w:w="57" w:type="dxa"/>
              <w:left w:w="57" w:type="dxa"/>
              <w:bottom w:w="57" w:type="dxa"/>
              <w:right w:w="57" w:type="dxa"/>
            </w:tcMar>
          </w:tcPr>
          <w:p w:rsidR="00A16641" w:rsidRPr="00F92EAE" w:rsidRDefault="00A16641" w:rsidP="00885414">
            <w:pPr>
              <w:rPr>
                <w:noProof/>
              </w:rPr>
            </w:pPr>
          </w:p>
        </w:tc>
      </w:tr>
      <w:tr w:rsidR="00A16641" w:rsidRPr="00F92EAE" w:rsidTr="00F12321">
        <w:tc>
          <w:tcPr>
            <w:tcW w:w="2552" w:type="dxa"/>
            <w:tcBorders>
              <w:bottom w:val="double" w:sz="4" w:space="0" w:color="auto"/>
            </w:tcBorders>
          </w:tcPr>
          <w:p w:rsidR="00A16641" w:rsidRPr="00F92EAE" w:rsidRDefault="00A16641" w:rsidP="00F12321">
            <w:pPr>
              <w:rPr>
                <w:noProof/>
              </w:rPr>
            </w:pPr>
          </w:p>
        </w:tc>
        <w:tc>
          <w:tcPr>
            <w:tcW w:w="4111" w:type="dxa"/>
            <w:tcBorders>
              <w:bottom w:val="double" w:sz="4" w:space="0" w:color="auto"/>
            </w:tcBorders>
            <w:tcMar>
              <w:top w:w="57" w:type="dxa"/>
              <w:left w:w="57" w:type="dxa"/>
              <w:bottom w:w="57" w:type="dxa"/>
              <w:right w:w="57" w:type="dxa"/>
            </w:tcMar>
          </w:tcPr>
          <w:p w:rsidR="00A16641" w:rsidRPr="00F92EAE" w:rsidRDefault="00A16641" w:rsidP="00F12321">
            <w:pPr>
              <w:rPr>
                <w:noProof/>
              </w:rPr>
            </w:pPr>
          </w:p>
        </w:tc>
        <w:tc>
          <w:tcPr>
            <w:tcW w:w="3714" w:type="dxa"/>
            <w:tcBorders>
              <w:bottom w:val="double" w:sz="4" w:space="0" w:color="auto"/>
            </w:tcBorders>
            <w:tcMar>
              <w:top w:w="57" w:type="dxa"/>
              <w:left w:w="57" w:type="dxa"/>
              <w:bottom w:w="57" w:type="dxa"/>
              <w:right w:w="57" w:type="dxa"/>
            </w:tcMar>
          </w:tcPr>
          <w:p w:rsidR="00A16641" w:rsidRPr="00F92EAE" w:rsidRDefault="00A16641" w:rsidP="00F12321">
            <w:pPr>
              <w:rPr>
                <w:noProof/>
              </w:rPr>
            </w:pPr>
          </w:p>
        </w:tc>
      </w:tr>
    </w:tbl>
    <w:p w:rsidR="00EA45F9" w:rsidRDefault="00EA45F9" w:rsidP="00EA45F9">
      <w:pPr>
        <w:rPr>
          <w:noProof/>
        </w:rPr>
      </w:pPr>
    </w:p>
    <w:p w:rsidR="00C310D8" w:rsidRDefault="00C310D8" w:rsidP="00EA45F9">
      <w:pPr>
        <w:rPr>
          <w:noProof/>
        </w:rPr>
      </w:pPr>
    </w:p>
    <w:p w:rsidR="00C310D8" w:rsidRDefault="00C310D8" w:rsidP="00EA45F9">
      <w:pPr>
        <w:rPr>
          <w:noProof/>
        </w:rPr>
      </w:pPr>
    </w:p>
    <w:p w:rsidR="00C310D8" w:rsidRDefault="00C310D8" w:rsidP="00EA45F9">
      <w:pPr>
        <w:rPr>
          <w:noProof/>
        </w:rPr>
      </w:pPr>
    </w:p>
    <w:p w:rsidR="00C310D8" w:rsidRDefault="00C310D8" w:rsidP="00EA45F9">
      <w:pPr>
        <w:rPr>
          <w:noProof/>
        </w:rPr>
      </w:pPr>
    </w:p>
    <w:p w:rsidR="00C310D8" w:rsidRDefault="00C310D8" w:rsidP="00EA45F9">
      <w:pPr>
        <w:rPr>
          <w:noProof/>
        </w:rPr>
      </w:pPr>
    </w:p>
    <w:p w:rsidR="00C310D8" w:rsidRDefault="00C310D8" w:rsidP="00EA45F9">
      <w:pPr>
        <w:rPr>
          <w:noProof/>
        </w:rPr>
      </w:pPr>
    </w:p>
    <w:p w:rsidR="00C310D8" w:rsidRDefault="00C310D8" w:rsidP="00EA45F9">
      <w:pPr>
        <w:rPr>
          <w:noProof/>
        </w:rPr>
      </w:pPr>
    </w:p>
    <w:p w:rsidR="00C310D8" w:rsidRDefault="00C310D8" w:rsidP="00EA45F9">
      <w:pPr>
        <w:rPr>
          <w:noProof/>
        </w:rPr>
      </w:pPr>
    </w:p>
    <w:p w:rsidR="00C310D8" w:rsidRDefault="00C310D8" w:rsidP="00EA45F9">
      <w:pPr>
        <w:rPr>
          <w:noProof/>
        </w:rPr>
      </w:pPr>
    </w:p>
    <w:p w:rsidR="00C310D8" w:rsidRDefault="00C310D8" w:rsidP="00EA45F9">
      <w:pPr>
        <w:rPr>
          <w:noProof/>
        </w:rPr>
      </w:pPr>
    </w:p>
    <w:p w:rsidR="00C310D8" w:rsidRDefault="00C310D8" w:rsidP="00EA45F9">
      <w:pPr>
        <w:rPr>
          <w:noProof/>
        </w:rPr>
      </w:pPr>
    </w:p>
    <w:p w:rsidR="00C310D8" w:rsidRDefault="00C310D8" w:rsidP="00EA45F9">
      <w:pPr>
        <w:rPr>
          <w:noProof/>
        </w:rPr>
      </w:pPr>
    </w:p>
    <w:p w:rsidR="00C310D8" w:rsidRDefault="00C310D8" w:rsidP="00EA45F9">
      <w:pPr>
        <w:rPr>
          <w:noProof/>
        </w:rPr>
      </w:pPr>
    </w:p>
    <w:p w:rsidR="00C310D8" w:rsidRDefault="00C310D8" w:rsidP="00EA45F9">
      <w:pPr>
        <w:rPr>
          <w:noProof/>
        </w:rPr>
      </w:pPr>
    </w:p>
    <w:p w:rsidR="00C310D8" w:rsidRDefault="00C310D8" w:rsidP="00EA45F9">
      <w:pPr>
        <w:rPr>
          <w:noProof/>
        </w:rPr>
      </w:pPr>
    </w:p>
    <w:p w:rsidR="00C310D8" w:rsidRDefault="00C310D8" w:rsidP="00EA45F9">
      <w:pPr>
        <w:rPr>
          <w:noProof/>
        </w:rPr>
      </w:pPr>
    </w:p>
    <w:p w:rsidR="00C310D8" w:rsidRDefault="00C310D8" w:rsidP="00EA45F9">
      <w:pPr>
        <w:rPr>
          <w:noProof/>
        </w:rPr>
      </w:pPr>
    </w:p>
    <w:p w:rsidR="00C310D8" w:rsidRDefault="00C310D8" w:rsidP="00EA45F9">
      <w:pPr>
        <w:rPr>
          <w:noProof/>
        </w:rPr>
      </w:pPr>
    </w:p>
    <w:p w:rsidR="00C310D8" w:rsidRDefault="00C310D8" w:rsidP="00EA45F9">
      <w:pPr>
        <w:rPr>
          <w:noProof/>
        </w:rPr>
      </w:pPr>
    </w:p>
    <w:p w:rsidR="00C310D8" w:rsidRDefault="00C310D8" w:rsidP="00EA45F9">
      <w:pPr>
        <w:rPr>
          <w:noProof/>
        </w:rPr>
      </w:pPr>
    </w:p>
    <w:p w:rsidR="00C310D8" w:rsidRDefault="00C310D8" w:rsidP="00EA45F9">
      <w:pPr>
        <w:rPr>
          <w:noProof/>
        </w:rPr>
      </w:pPr>
    </w:p>
    <w:p w:rsidR="00C310D8" w:rsidRDefault="00C310D8" w:rsidP="00EA45F9">
      <w:pPr>
        <w:rPr>
          <w:noProof/>
        </w:rPr>
      </w:pPr>
    </w:p>
    <w:p w:rsidR="00C310D8" w:rsidRDefault="00C310D8" w:rsidP="00EA45F9">
      <w:pPr>
        <w:rPr>
          <w:noProof/>
        </w:rPr>
      </w:pPr>
    </w:p>
    <w:p w:rsidR="00C310D8" w:rsidRDefault="00C310D8" w:rsidP="00EA45F9">
      <w:pPr>
        <w:rPr>
          <w:noProof/>
        </w:rPr>
      </w:pPr>
    </w:p>
    <w:p w:rsidR="00C310D8" w:rsidRDefault="00C310D8" w:rsidP="00EA45F9">
      <w:pPr>
        <w:rPr>
          <w:noProof/>
        </w:rPr>
      </w:pPr>
    </w:p>
    <w:p w:rsidR="00C310D8" w:rsidRDefault="00C310D8" w:rsidP="00EA45F9">
      <w:pPr>
        <w:rPr>
          <w:noProof/>
        </w:rPr>
      </w:pPr>
    </w:p>
    <w:p w:rsidR="00C310D8" w:rsidRDefault="00C310D8" w:rsidP="00EA45F9">
      <w:pPr>
        <w:rPr>
          <w:noProof/>
        </w:rPr>
      </w:pPr>
    </w:p>
    <w:p w:rsidR="00C310D8" w:rsidRPr="009B5734" w:rsidRDefault="00C310D8" w:rsidP="00EA45F9">
      <w:pPr>
        <w:rPr>
          <w:noProof/>
        </w:rPr>
      </w:pPr>
    </w:p>
    <w:p w:rsidR="00EA45F9" w:rsidRPr="009B5734" w:rsidRDefault="00EA45F9" w:rsidP="00EA45F9">
      <w:pPr>
        <w:pStyle w:val="Heading1"/>
        <w:jc w:val="center"/>
        <w:rPr>
          <w:noProof/>
        </w:rPr>
      </w:pPr>
      <w:bookmarkStart w:id="527" w:name="_Annex_4:_Analytical_1"/>
      <w:bookmarkStart w:id="528" w:name="_Toc58149112"/>
      <w:bookmarkStart w:id="529" w:name="_Toc58604135"/>
      <w:bookmarkStart w:id="530" w:name="_Toc75440984"/>
      <w:bookmarkStart w:id="531" w:name="_Toc75446983"/>
      <w:bookmarkStart w:id="532" w:name="_Toc75448856"/>
      <w:bookmarkStart w:id="533" w:name="_Toc77844256"/>
      <w:bookmarkStart w:id="534" w:name="_Toc86391759"/>
      <w:bookmarkEnd w:id="527"/>
      <w:r w:rsidRPr="009B5734">
        <w:rPr>
          <w:noProof/>
        </w:rPr>
        <w:t>Annex 4: Analytical methods</w:t>
      </w:r>
      <w:bookmarkEnd w:id="528"/>
      <w:bookmarkEnd w:id="529"/>
      <w:bookmarkEnd w:id="530"/>
      <w:bookmarkEnd w:id="531"/>
      <w:bookmarkEnd w:id="532"/>
      <w:bookmarkEnd w:id="533"/>
      <w:bookmarkEnd w:id="534"/>
    </w:p>
    <w:p w:rsidR="00EA45F9" w:rsidRPr="009B5734" w:rsidRDefault="00EA45F9" w:rsidP="00EA45F9">
      <w:pPr>
        <w:ind w:left="0" w:firstLine="0"/>
        <w:rPr>
          <w:rFonts w:ascii="Times New Roman" w:hAnsi="Times New Roman" w:cs="Times New Roman"/>
          <w:noProof/>
          <w:color w:val="000000" w:themeColor="text1"/>
          <w:sz w:val="24"/>
          <w:szCs w:val="24"/>
        </w:rPr>
      </w:pPr>
      <w:r w:rsidRPr="009B5734">
        <w:rPr>
          <w:rFonts w:ascii="Times New Roman" w:hAnsi="Times New Roman" w:cs="Times New Roman"/>
          <w:noProof/>
          <w:color w:val="000000" w:themeColor="text1"/>
          <w:sz w:val="24"/>
          <w:szCs w:val="24"/>
        </w:rPr>
        <w:t>This annex provides information on the methods used in this Impact Assessment, namely:</w:t>
      </w:r>
    </w:p>
    <w:p w:rsidR="00EA45F9" w:rsidRPr="009B5734" w:rsidRDefault="00EA45F9" w:rsidP="00EA45F9">
      <w:pPr>
        <w:pStyle w:val="ListParagraph"/>
        <w:numPr>
          <w:ilvl w:val="0"/>
          <w:numId w:val="57"/>
        </w:numPr>
        <w:ind w:left="0" w:firstLine="0"/>
        <w:rPr>
          <w:rFonts w:ascii="Times New Roman" w:hAnsi="Times New Roman"/>
          <w:noProof/>
          <w:color w:val="000000" w:themeColor="text1"/>
          <w:sz w:val="24"/>
        </w:rPr>
      </w:pPr>
      <w:r w:rsidRPr="009B5734">
        <w:rPr>
          <w:rFonts w:ascii="Times New Roman" w:hAnsi="Times New Roman"/>
          <w:noProof/>
          <w:color w:val="000000" w:themeColor="text1"/>
          <w:sz w:val="24"/>
        </w:rPr>
        <w:t>On the calculation of consumer detriment and environmental impacts;</w:t>
      </w:r>
    </w:p>
    <w:p w:rsidR="00EA45F9" w:rsidRPr="009B5734" w:rsidRDefault="00EA45F9" w:rsidP="00EA45F9">
      <w:pPr>
        <w:pStyle w:val="ListParagraph"/>
        <w:numPr>
          <w:ilvl w:val="0"/>
          <w:numId w:val="57"/>
        </w:numPr>
        <w:ind w:left="0" w:firstLine="0"/>
        <w:rPr>
          <w:rFonts w:ascii="Times New Roman" w:hAnsi="Times New Roman"/>
          <w:noProof/>
          <w:color w:val="000000" w:themeColor="text1"/>
          <w:sz w:val="24"/>
        </w:rPr>
      </w:pPr>
      <w:r w:rsidRPr="009B5734">
        <w:rPr>
          <w:rFonts w:ascii="Times New Roman" w:hAnsi="Times New Roman"/>
          <w:noProof/>
          <w:color w:val="000000" w:themeColor="text1"/>
          <w:sz w:val="24"/>
        </w:rPr>
        <w:t>On the selection of the impacts against which the options are assessed and explanation on how the assessment is performed (including the approach to the monetisation of costs and benefits);</w:t>
      </w:r>
    </w:p>
    <w:p w:rsidR="00EA45F9" w:rsidRPr="009B5734" w:rsidRDefault="00EA45F9" w:rsidP="00EA45F9">
      <w:pPr>
        <w:pStyle w:val="ListParagraph"/>
        <w:numPr>
          <w:ilvl w:val="0"/>
          <w:numId w:val="57"/>
        </w:numPr>
        <w:ind w:left="0" w:firstLine="0"/>
        <w:rPr>
          <w:rFonts w:ascii="Times New Roman" w:hAnsi="Times New Roman"/>
          <w:noProof/>
          <w:color w:val="000000" w:themeColor="text1"/>
          <w:sz w:val="24"/>
        </w:rPr>
      </w:pPr>
      <w:r w:rsidRPr="009B5734">
        <w:rPr>
          <w:rFonts w:ascii="Times New Roman" w:hAnsi="Times New Roman"/>
          <w:noProof/>
          <w:color w:val="000000" w:themeColor="text1"/>
          <w:sz w:val="24"/>
        </w:rPr>
        <w:t xml:space="preserve">On the comparison of the options by way of a cost-benefit analysis and multi-criteria analysis. </w:t>
      </w:r>
    </w:p>
    <w:p w:rsidR="00EA45F9" w:rsidRPr="009B5734" w:rsidRDefault="00EA45F9" w:rsidP="00EA45F9">
      <w:pPr>
        <w:rPr>
          <w:rFonts w:ascii="Times New Roman" w:hAnsi="Times New Roman"/>
          <w:noProof/>
          <w:sz w:val="24"/>
        </w:rPr>
      </w:pPr>
    </w:p>
    <w:p w:rsidR="00EA45F9" w:rsidRPr="009B5734" w:rsidRDefault="00A00208" w:rsidP="00A00208">
      <w:pPr>
        <w:pStyle w:val="Heading2"/>
        <w:rPr>
          <w:noProof/>
        </w:rPr>
      </w:pPr>
      <w:bookmarkStart w:id="535" w:name="_Toc58603277"/>
      <w:bookmarkStart w:id="536" w:name="_Toc58604137"/>
      <w:bookmarkStart w:id="537" w:name="_Toc58605455"/>
      <w:bookmarkStart w:id="538" w:name="_Toc60734091"/>
      <w:bookmarkStart w:id="539" w:name="_Toc75440985"/>
      <w:bookmarkStart w:id="540" w:name="_Toc75446984"/>
      <w:bookmarkStart w:id="541" w:name="_Toc75448857"/>
      <w:bookmarkStart w:id="542" w:name="_Toc77844257"/>
      <w:bookmarkStart w:id="543" w:name="_Toc86391760"/>
      <w:r w:rsidRPr="00A00208">
        <w:t>1.</w:t>
      </w:r>
      <w:r w:rsidRPr="00A00208">
        <w:tab/>
      </w:r>
      <w:r w:rsidR="00EA45F9" w:rsidRPr="009B5734">
        <w:rPr>
          <w:noProof/>
        </w:rPr>
        <w:t>Selection of criteria and sub-criteria for assessing the impacts of the policy options</w:t>
      </w:r>
      <w:bookmarkEnd w:id="535"/>
      <w:bookmarkEnd w:id="536"/>
      <w:bookmarkEnd w:id="537"/>
      <w:bookmarkEnd w:id="538"/>
      <w:bookmarkEnd w:id="539"/>
      <w:bookmarkEnd w:id="540"/>
      <w:bookmarkEnd w:id="541"/>
      <w:bookmarkEnd w:id="542"/>
      <w:bookmarkEnd w:id="543"/>
      <w:r w:rsidR="00EA45F9" w:rsidRPr="009B5734">
        <w:rPr>
          <w:noProof/>
        </w:rPr>
        <w:t xml:space="preserve"> </w:t>
      </w:r>
    </w:p>
    <w:p w:rsidR="00EA45F9" w:rsidRPr="009B5734" w:rsidRDefault="00A00208" w:rsidP="00A00208">
      <w:pPr>
        <w:pStyle w:val="Heading4"/>
        <w:rPr>
          <w:noProof/>
        </w:rPr>
      </w:pPr>
      <w:bookmarkStart w:id="544" w:name="_Toc58603278"/>
      <w:bookmarkStart w:id="545" w:name="_Toc58604138"/>
      <w:bookmarkStart w:id="546" w:name="_Toc58605456"/>
      <w:bookmarkStart w:id="547" w:name="_Toc60734092"/>
      <w:bookmarkStart w:id="548" w:name="_Toc75440986"/>
      <w:bookmarkStart w:id="549" w:name="_Toc75446985"/>
      <w:bookmarkStart w:id="550" w:name="_Toc75448858"/>
      <w:r w:rsidRPr="00A00208">
        <w:t>1.1.</w:t>
      </w:r>
      <w:r w:rsidRPr="00A00208">
        <w:tab/>
      </w:r>
      <w:r w:rsidR="00EA45F9" w:rsidRPr="009B5734">
        <w:rPr>
          <w:noProof/>
        </w:rPr>
        <w:t>Identification of impacts</w:t>
      </w:r>
      <w:bookmarkEnd w:id="544"/>
      <w:bookmarkEnd w:id="545"/>
      <w:bookmarkEnd w:id="546"/>
      <w:bookmarkEnd w:id="547"/>
      <w:bookmarkEnd w:id="548"/>
      <w:bookmarkEnd w:id="549"/>
      <w:bookmarkEnd w:id="550"/>
    </w:p>
    <w:p w:rsidR="00EA45F9" w:rsidRPr="00946905" w:rsidRDefault="00EA45F9" w:rsidP="00EA45F9">
      <w:pPr>
        <w:pStyle w:val="BodyText"/>
        <w:ind w:left="0" w:firstLine="0"/>
        <w:rPr>
          <w:rFonts w:ascii="Times New Roman" w:hAnsi="Times New Roman"/>
          <w:noProof/>
          <w:sz w:val="24"/>
        </w:rPr>
      </w:pPr>
      <w:r w:rsidRPr="009B5734">
        <w:rPr>
          <w:rFonts w:ascii="Times New Roman" w:hAnsi="Times New Roman"/>
          <w:noProof/>
          <w:sz w:val="24"/>
        </w:rPr>
        <w:t xml:space="preserve">In line with the European Commission’s guidance on </w:t>
      </w:r>
      <w:r w:rsidR="39F7D437" w:rsidRPr="7F08E6B8">
        <w:rPr>
          <w:rFonts w:ascii="Times New Roman" w:hAnsi="Times New Roman"/>
          <w:noProof/>
          <w:sz w:val="24"/>
        </w:rPr>
        <w:t>I</w:t>
      </w:r>
      <w:r w:rsidRPr="7F08E6B8">
        <w:rPr>
          <w:rFonts w:ascii="Times New Roman" w:hAnsi="Times New Roman"/>
          <w:noProof/>
          <w:sz w:val="24"/>
        </w:rPr>
        <w:t xml:space="preserve">mpact </w:t>
      </w:r>
      <w:r w:rsidR="39F7D437" w:rsidRPr="7F08E6B8">
        <w:rPr>
          <w:rFonts w:ascii="Times New Roman" w:hAnsi="Times New Roman"/>
          <w:noProof/>
          <w:sz w:val="24"/>
        </w:rPr>
        <w:t>A</w:t>
      </w:r>
      <w:r w:rsidRPr="009B5734">
        <w:rPr>
          <w:rFonts w:ascii="Times New Roman" w:hAnsi="Times New Roman"/>
          <w:noProof/>
          <w:sz w:val="24"/>
        </w:rPr>
        <w:t>ssessment (as set out in the ‘Better Regulation Guidelines,’), all of the impacts (potentially) associated with the selected options/ options were identified (</w:t>
      </w:r>
      <w:r w:rsidR="00790CCA" w:rsidRPr="009B5734">
        <w:rPr>
          <w:rFonts w:ascii="Times New Roman" w:hAnsi="Times New Roman"/>
          <w:noProof/>
          <w:sz w:val="24"/>
        </w:rPr>
        <w:t>0</w:t>
      </w:r>
      <w:r w:rsidRPr="009B5734">
        <w:rPr>
          <w:rFonts w:ascii="Times New Roman" w:hAnsi="Times New Roman"/>
          <w:noProof/>
          <w:sz w:val="24"/>
        </w:rPr>
        <w:t xml:space="preserve">). The process of identifying impacts was mainly informed by the literature review and stakeholder consultation. It also drew on expert input/ judgment. </w:t>
      </w:r>
    </w:p>
    <w:p w:rsidR="00EA45F9" w:rsidRPr="009B5734" w:rsidRDefault="00EA45F9" w:rsidP="00EA45F9">
      <w:pPr>
        <w:pStyle w:val="BodyText"/>
        <w:ind w:left="0" w:firstLine="0"/>
        <w:rPr>
          <w:rFonts w:ascii="Times New Roman" w:hAnsi="Times New Roman"/>
          <w:noProof/>
          <w:sz w:val="24"/>
        </w:rPr>
      </w:pPr>
      <w:r w:rsidRPr="009B5734">
        <w:rPr>
          <w:rFonts w:ascii="Times New Roman" w:hAnsi="Times New Roman"/>
          <w:noProof/>
          <w:sz w:val="24"/>
        </w:rPr>
        <w:t xml:space="preserve">The starting point for the development of the ‘long list’ of impacts was the “impacts checklist,” as set out in the ‘Better Regulation Guidelines’ (Tool #19). This was based on an in-depth analysis and understanding of all available evidence, which in turn minimised the risk of failing to consider potentially significant impacts. Specifically, the identification of impacts accounted for: </w:t>
      </w:r>
    </w:p>
    <w:p w:rsidR="00EA45F9" w:rsidRPr="009B5734" w:rsidRDefault="00EA45F9" w:rsidP="00EA45F9">
      <w:pPr>
        <w:pStyle w:val="Bullet1"/>
        <w:numPr>
          <w:ilvl w:val="0"/>
          <w:numId w:val="119"/>
        </w:numPr>
        <w:spacing w:before="120" w:after="120" w:line="240" w:lineRule="auto"/>
        <w:contextualSpacing/>
        <w:rPr>
          <w:rFonts w:ascii="Times New Roman" w:hAnsi="Times New Roman"/>
          <w:noProof/>
          <w:sz w:val="24"/>
        </w:rPr>
      </w:pPr>
      <w:r w:rsidRPr="009B5734">
        <w:rPr>
          <w:rFonts w:ascii="Times New Roman" w:hAnsi="Times New Roman"/>
          <w:noProof/>
          <w:sz w:val="24"/>
        </w:rPr>
        <w:t xml:space="preserve">Positive and negative impacts; </w:t>
      </w:r>
    </w:p>
    <w:p w:rsidR="00EA45F9" w:rsidRPr="009B5734" w:rsidRDefault="00EA45F9" w:rsidP="00EA45F9">
      <w:pPr>
        <w:pStyle w:val="Bullet1"/>
        <w:numPr>
          <w:ilvl w:val="0"/>
          <w:numId w:val="119"/>
        </w:numPr>
        <w:spacing w:before="120" w:after="120" w:line="240" w:lineRule="auto"/>
        <w:contextualSpacing/>
        <w:rPr>
          <w:rFonts w:ascii="Times New Roman" w:hAnsi="Times New Roman"/>
          <w:noProof/>
          <w:sz w:val="24"/>
        </w:rPr>
      </w:pPr>
      <w:r w:rsidRPr="009B5734">
        <w:rPr>
          <w:rFonts w:ascii="Times New Roman" w:hAnsi="Times New Roman"/>
          <w:noProof/>
          <w:sz w:val="24"/>
        </w:rPr>
        <w:t>Direct and indirect effects (stemming from changes in costs and product substitution);</w:t>
      </w:r>
    </w:p>
    <w:p w:rsidR="00EA45F9" w:rsidRPr="009B5734" w:rsidRDefault="00EA45F9" w:rsidP="00EA45F9">
      <w:pPr>
        <w:pStyle w:val="Bullet1"/>
        <w:numPr>
          <w:ilvl w:val="0"/>
          <w:numId w:val="119"/>
        </w:numPr>
        <w:spacing w:before="120" w:after="120" w:line="240" w:lineRule="auto"/>
        <w:contextualSpacing/>
        <w:rPr>
          <w:rFonts w:ascii="Times New Roman" w:hAnsi="Times New Roman"/>
          <w:noProof/>
          <w:sz w:val="24"/>
        </w:rPr>
      </w:pPr>
      <w:r w:rsidRPr="009B5734">
        <w:rPr>
          <w:rFonts w:ascii="Times New Roman" w:hAnsi="Times New Roman"/>
          <w:noProof/>
          <w:sz w:val="24"/>
        </w:rPr>
        <w:t xml:space="preserve">Intended and unintended consequences. Specifically, intended consequences include: benefits for consumer protection and the Single Market, while possible unintended consequences could include: impacts on the structure of the market; </w:t>
      </w:r>
    </w:p>
    <w:p w:rsidR="00EA45F9" w:rsidRPr="009B5734" w:rsidRDefault="00EA45F9" w:rsidP="00EA45F9">
      <w:pPr>
        <w:pStyle w:val="Bullet1"/>
        <w:numPr>
          <w:ilvl w:val="0"/>
          <w:numId w:val="119"/>
        </w:numPr>
        <w:spacing w:before="120" w:after="120" w:line="240" w:lineRule="auto"/>
        <w:contextualSpacing/>
        <w:rPr>
          <w:rFonts w:ascii="Times New Roman" w:hAnsi="Times New Roman"/>
          <w:noProof/>
          <w:sz w:val="24"/>
        </w:rPr>
      </w:pPr>
      <w:r w:rsidRPr="009B5734">
        <w:rPr>
          <w:rFonts w:ascii="Times New Roman" w:hAnsi="Times New Roman"/>
          <w:noProof/>
          <w:sz w:val="24"/>
        </w:rPr>
        <w:t xml:space="preserve">Short and long -term effects – e.g. short-term costs of providing information and long-term costs of reformulating products and/or commitments. </w:t>
      </w:r>
    </w:p>
    <w:p w:rsidR="00EA45F9" w:rsidRPr="00C84A99" w:rsidRDefault="00EA45F9">
      <w:pPr>
        <w:pStyle w:val="Heading5"/>
        <w:rPr>
          <w:rStyle w:val="TableChar"/>
          <w:rFonts w:ascii="Times New Roman" w:hAnsi="Times New Roman"/>
          <w:b w:val="0"/>
          <w:i w:val="0"/>
          <w:noProof/>
          <w:color w:val="000000" w:themeColor="text1"/>
          <w:sz w:val="24"/>
        </w:rPr>
      </w:pPr>
      <w:bookmarkStart w:id="551" w:name="_Ref56001522"/>
      <w:r w:rsidRPr="6B053803">
        <w:rPr>
          <w:rFonts w:ascii="Times New Roman" w:hAnsi="Times New Roman" w:cs="Times New Roman"/>
          <w:b w:val="0"/>
          <w:i w:val="0"/>
          <w:noProof/>
          <w:sz w:val="24"/>
        </w:rPr>
        <w:t xml:space="preserve">Table 1. ‘Long </w:t>
      </w:r>
      <w:r w:rsidRPr="6B053803">
        <w:rPr>
          <w:rStyle w:val="TableChar"/>
          <w:rFonts w:ascii="Times New Roman" w:hAnsi="Times New Roman"/>
          <w:b w:val="0"/>
          <w:i w:val="0"/>
          <w:noProof/>
          <w:color w:val="auto"/>
          <w:sz w:val="24"/>
        </w:rPr>
        <w:t>list’ of impacts</w:t>
      </w:r>
      <w:bookmarkEnd w:id="551"/>
    </w:p>
    <w:tbl>
      <w:tblPr>
        <w:tblW w:w="8505" w:type="dxa"/>
        <w:tblBorders>
          <w:top w:val="single" w:sz="4" w:space="0" w:color="auto"/>
          <w:bottom w:val="single" w:sz="4" w:space="0" w:color="auto"/>
          <w:insideH w:val="single" w:sz="4" w:space="0" w:color="auto"/>
        </w:tblBorders>
        <w:shd w:val="solid" w:color="F2F2F2" w:fill="F2F2F2"/>
        <w:tblLayout w:type="fixed"/>
        <w:tblCellMar>
          <w:left w:w="0" w:type="dxa"/>
          <w:right w:w="0" w:type="dxa"/>
        </w:tblCellMar>
        <w:tblLook w:val="0000" w:firstRow="0" w:lastRow="0" w:firstColumn="0" w:lastColumn="0" w:noHBand="0" w:noVBand="0"/>
      </w:tblPr>
      <w:tblGrid>
        <w:gridCol w:w="1701"/>
        <w:gridCol w:w="3402"/>
        <w:gridCol w:w="3402"/>
      </w:tblGrid>
      <w:tr w:rsidR="00EA45F9" w:rsidRPr="009B5734" w:rsidTr="00981615">
        <w:tc>
          <w:tcPr>
            <w:tcW w:w="1701" w:type="dxa"/>
            <w:shd w:val="solid" w:color="002395" w:fill="002395"/>
          </w:tcPr>
          <w:p w:rsidR="00EA45F9" w:rsidRPr="009B5734" w:rsidRDefault="00EA45F9" w:rsidP="00981615">
            <w:pPr>
              <w:pStyle w:val="TableHeadingWhite"/>
              <w:ind w:hanging="215"/>
              <w:rPr>
                <w:rFonts w:ascii="Times New Roman" w:hAnsi="Times New Roman" w:cs="Times New Roman"/>
                <w:noProof/>
                <w:sz w:val="24"/>
                <w:szCs w:val="24"/>
              </w:rPr>
            </w:pPr>
            <w:r w:rsidRPr="009B5734">
              <w:rPr>
                <w:rFonts w:ascii="Times New Roman" w:hAnsi="Times New Roman" w:cs="Times New Roman"/>
                <w:noProof/>
                <w:sz w:val="24"/>
                <w:szCs w:val="24"/>
              </w:rPr>
              <w:t>Impact type</w:t>
            </w:r>
          </w:p>
        </w:tc>
        <w:tc>
          <w:tcPr>
            <w:tcW w:w="3402" w:type="dxa"/>
            <w:shd w:val="solid" w:color="002395" w:fill="002395"/>
          </w:tcPr>
          <w:p w:rsidR="00EA45F9" w:rsidRPr="009B5734" w:rsidRDefault="00EA45F9" w:rsidP="00981615">
            <w:pPr>
              <w:pStyle w:val="TableHeadingWhite"/>
              <w:rPr>
                <w:rFonts w:ascii="Times New Roman" w:hAnsi="Times New Roman" w:cs="Times New Roman"/>
                <w:noProof/>
                <w:sz w:val="24"/>
                <w:szCs w:val="24"/>
              </w:rPr>
            </w:pPr>
            <w:r w:rsidRPr="009B5734">
              <w:rPr>
                <w:rFonts w:ascii="Times New Roman" w:hAnsi="Times New Roman" w:cs="Times New Roman"/>
                <w:noProof/>
                <w:sz w:val="24"/>
                <w:szCs w:val="24"/>
              </w:rPr>
              <w:t>Long list of impacts drawing on Commission IA guidelines</w:t>
            </w:r>
          </w:p>
        </w:tc>
        <w:tc>
          <w:tcPr>
            <w:tcW w:w="3402" w:type="dxa"/>
            <w:shd w:val="solid" w:color="002395" w:fill="002395"/>
          </w:tcPr>
          <w:p w:rsidR="00EA45F9" w:rsidRPr="009B5734" w:rsidRDefault="00EA45F9" w:rsidP="00981615">
            <w:pPr>
              <w:pStyle w:val="TableHeadingWhite"/>
              <w:ind w:hanging="78"/>
              <w:rPr>
                <w:rFonts w:ascii="Times New Roman" w:hAnsi="Times New Roman" w:cs="Times New Roman"/>
                <w:noProof/>
                <w:sz w:val="24"/>
                <w:szCs w:val="24"/>
              </w:rPr>
            </w:pPr>
            <w:r w:rsidRPr="009B5734">
              <w:rPr>
                <w:rFonts w:ascii="Times New Roman" w:hAnsi="Times New Roman" w:cs="Times New Roman"/>
                <w:noProof/>
                <w:sz w:val="24"/>
                <w:szCs w:val="24"/>
              </w:rPr>
              <w:t>Specific direct impacts considered</w:t>
            </w:r>
          </w:p>
        </w:tc>
      </w:tr>
      <w:tr w:rsidR="00EA45F9" w:rsidRPr="009B5734" w:rsidTr="00981615">
        <w:tc>
          <w:tcPr>
            <w:tcW w:w="1701" w:type="dxa"/>
            <w:shd w:val="solid" w:color="F2F2F2" w:fill="F2F2F2"/>
          </w:tcPr>
          <w:p w:rsidR="00EA45F9" w:rsidRPr="009B5734" w:rsidRDefault="00EA45F9" w:rsidP="00981615">
            <w:pPr>
              <w:pStyle w:val="TableTextNoSpace"/>
              <w:ind w:left="142" w:firstLine="0"/>
              <w:rPr>
                <w:rFonts w:ascii="Times New Roman" w:hAnsi="Times New Roman"/>
                <w:noProof/>
                <w:sz w:val="24"/>
              </w:rPr>
            </w:pPr>
            <w:r w:rsidRPr="009B5734">
              <w:rPr>
                <w:rFonts w:ascii="Times New Roman" w:hAnsi="Times New Roman"/>
                <w:noProof/>
                <w:sz w:val="24"/>
              </w:rPr>
              <w:t>Economic Impacts</w:t>
            </w:r>
          </w:p>
        </w:tc>
        <w:tc>
          <w:tcPr>
            <w:tcW w:w="3402" w:type="dxa"/>
            <w:shd w:val="solid" w:color="F2F2F2" w:fill="F2F2F2"/>
          </w:tcPr>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 xml:space="preserve">Growth and investment </w:t>
            </w:r>
          </w:p>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 xml:space="preserve">Trade and investment flows </w:t>
            </w:r>
          </w:p>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 xml:space="preserve">Facilitating SMEs growth </w:t>
            </w:r>
          </w:p>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Costs of business</w:t>
            </w:r>
          </w:p>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 xml:space="preserve">Functioning of the Internal Market and competition </w:t>
            </w:r>
          </w:p>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 xml:space="preserve">Increased innovation and research </w:t>
            </w:r>
          </w:p>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 xml:space="preserve">Technological development </w:t>
            </w:r>
          </w:p>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Increased international trade and investment Consumer and households</w:t>
            </w:r>
          </w:p>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Public authorities (and budgets)</w:t>
            </w:r>
          </w:p>
        </w:tc>
        <w:tc>
          <w:tcPr>
            <w:tcW w:w="3402" w:type="dxa"/>
            <w:shd w:val="solid" w:color="F2F2F2" w:fill="F2F2F2"/>
          </w:tcPr>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 xml:space="preserve">Business substantive compliance costs </w:t>
            </w:r>
          </w:p>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Business administrative burdens</w:t>
            </w:r>
          </w:p>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Enforcement costs for administration</w:t>
            </w:r>
          </w:p>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Consumer prices and choices</w:t>
            </w:r>
          </w:p>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Consumer decision making process</w:t>
            </w:r>
          </w:p>
        </w:tc>
      </w:tr>
      <w:tr w:rsidR="00EA45F9" w:rsidRPr="009B5734" w:rsidTr="00981615">
        <w:tc>
          <w:tcPr>
            <w:tcW w:w="1701" w:type="dxa"/>
            <w:shd w:val="solid" w:color="F2F2F2" w:fill="F2F2F2"/>
          </w:tcPr>
          <w:p w:rsidR="00EA45F9" w:rsidRPr="009B5734" w:rsidRDefault="00EA45F9" w:rsidP="00981615">
            <w:pPr>
              <w:pStyle w:val="TableTextNoSpace"/>
              <w:ind w:left="142" w:firstLine="0"/>
              <w:rPr>
                <w:rFonts w:ascii="Times New Roman" w:hAnsi="Times New Roman"/>
                <w:noProof/>
                <w:sz w:val="24"/>
              </w:rPr>
            </w:pPr>
            <w:r w:rsidRPr="009B5734">
              <w:rPr>
                <w:rFonts w:ascii="Times New Roman" w:hAnsi="Times New Roman"/>
                <w:noProof/>
                <w:sz w:val="24"/>
              </w:rPr>
              <w:t>Social Impacts</w:t>
            </w:r>
          </w:p>
        </w:tc>
        <w:tc>
          <w:tcPr>
            <w:tcW w:w="3402" w:type="dxa"/>
            <w:shd w:val="solid" w:color="F2F2F2" w:fill="F2F2F2"/>
          </w:tcPr>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 xml:space="preserve">Employment </w:t>
            </w:r>
          </w:p>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Income distribution and social inclusion</w:t>
            </w:r>
          </w:p>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 xml:space="preserve">Health &amp; safety </w:t>
            </w:r>
          </w:p>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 xml:space="preserve">Education </w:t>
            </w:r>
          </w:p>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 xml:space="preserve">Governance &amp; good administration </w:t>
            </w:r>
          </w:p>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 xml:space="preserve">Social protection, health and educational systems </w:t>
            </w:r>
          </w:p>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Cultural heritage</w:t>
            </w:r>
          </w:p>
        </w:tc>
        <w:tc>
          <w:tcPr>
            <w:tcW w:w="3402" w:type="dxa"/>
            <w:shd w:val="solid" w:color="F2F2F2" w:fill="F2F2F2"/>
          </w:tcPr>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Consumer trust</w:t>
            </w:r>
          </w:p>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Consumer protection</w:t>
            </w:r>
          </w:p>
        </w:tc>
      </w:tr>
      <w:tr w:rsidR="00EA45F9" w:rsidRPr="009B5734" w:rsidTr="00981615">
        <w:tc>
          <w:tcPr>
            <w:tcW w:w="1701" w:type="dxa"/>
            <w:shd w:val="solid" w:color="F2F2F2" w:fill="F2F2F2"/>
          </w:tcPr>
          <w:p w:rsidR="00EA45F9" w:rsidRPr="009B5734" w:rsidRDefault="00EA45F9" w:rsidP="00981615">
            <w:pPr>
              <w:pStyle w:val="TableTextNoSpace"/>
              <w:ind w:left="142" w:firstLine="0"/>
              <w:rPr>
                <w:rFonts w:ascii="Times New Roman" w:hAnsi="Times New Roman"/>
                <w:noProof/>
                <w:sz w:val="24"/>
              </w:rPr>
            </w:pPr>
            <w:r w:rsidRPr="009B5734">
              <w:rPr>
                <w:rFonts w:ascii="Times New Roman" w:hAnsi="Times New Roman"/>
                <w:noProof/>
                <w:sz w:val="24"/>
              </w:rPr>
              <w:t>Environmental impacts</w:t>
            </w:r>
          </w:p>
        </w:tc>
        <w:tc>
          <w:tcPr>
            <w:tcW w:w="3402" w:type="dxa"/>
            <w:shd w:val="solid" w:color="F2F2F2" w:fill="F2F2F2"/>
          </w:tcPr>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 xml:space="preserve">The climate change </w:t>
            </w:r>
          </w:p>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 xml:space="preserve">Fostering the efficient use of resources (renewable &amp; non-renewable) </w:t>
            </w:r>
          </w:p>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 xml:space="preserve">Quality of natural resources/fighting pollution (water, soil, air etc.) </w:t>
            </w:r>
          </w:p>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Reducing and managing waste</w:t>
            </w:r>
          </w:p>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 xml:space="preserve">Protecting biodiversity, flora, fauna and landscapes </w:t>
            </w:r>
          </w:p>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Minimizing environmental risks</w:t>
            </w:r>
          </w:p>
        </w:tc>
        <w:tc>
          <w:tcPr>
            <w:tcW w:w="3402" w:type="dxa"/>
            <w:shd w:val="solid" w:color="F2F2F2" w:fill="F2F2F2"/>
          </w:tcPr>
          <w:p w:rsidR="00EA45F9" w:rsidRPr="009B5734" w:rsidRDefault="00EA45F9" w:rsidP="00981615">
            <w:pPr>
              <w:pStyle w:val="TableTextNoSpace"/>
              <w:rPr>
                <w:rFonts w:ascii="Times New Roman" w:hAnsi="Times New Roman"/>
                <w:noProof/>
                <w:sz w:val="24"/>
              </w:rPr>
            </w:pPr>
            <w:r w:rsidRPr="009B5734">
              <w:rPr>
                <w:rFonts w:ascii="Times New Roman" w:hAnsi="Times New Roman"/>
                <w:noProof/>
                <w:sz w:val="24"/>
              </w:rPr>
              <w:t>n/a</w:t>
            </w:r>
          </w:p>
        </w:tc>
      </w:tr>
      <w:tr w:rsidR="00EA45F9" w:rsidRPr="009B5734" w:rsidTr="00981615">
        <w:tc>
          <w:tcPr>
            <w:tcW w:w="1701" w:type="dxa"/>
            <w:shd w:val="solid" w:color="F2F2F2" w:fill="F2F2F2"/>
          </w:tcPr>
          <w:p w:rsidR="00EA45F9" w:rsidRPr="009B5734" w:rsidRDefault="00EA45F9" w:rsidP="00981615">
            <w:pPr>
              <w:pStyle w:val="TableTextNoSpace"/>
              <w:ind w:left="142" w:firstLine="0"/>
              <w:rPr>
                <w:rFonts w:ascii="Times New Roman" w:hAnsi="Times New Roman"/>
                <w:noProof/>
                <w:sz w:val="24"/>
              </w:rPr>
            </w:pPr>
            <w:r w:rsidRPr="009B5734">
              <w:rPr>
                <w:rFonts w:ascii="Times New Roman" w:hAnsi="Times New Roman"/>
                <w:noProof/>
                <w:sz w:val="24"/>
              </w:rPr>
              <w:t>Overarching Impacts</w:t>
            </w:r>
          </w:p>
        </w:tc>
        <w:tc>
          <w:tcPr>
            <w:tcW w:w="3402" w:type="dxa"/>
            <w:shd w:val="solid" w:color="F2F2F2" w:fill="F2F2F2"/>
          </w:tcPr>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 xml:space="preserve">Economic and social cohesion </w:t>
            </w:r>
          </w:p>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 xml:space="preserve">Impacts in developing countries </w:t>
            </w:r>
          </w:p>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 xml:space="preserve">Sustainable development </w:t>
            </w:r>
          </w:p>
          <w:p w:rsidR="00EA45F9" w:rsidRPr="009B5734" w:rsidRDefault="00EA45F9" w:rsidP="00981615">
            <w:pPr>
              <w:pStyle w:val="Bullet1"/>
              <w:numPr>
                <w:ilvl w:val="0"/>
                <w:numId w:val="8"/>
              </w:numPr>
              <w:tabs>
                <w:tab w:val="clear" w:pos="1191"/>
                <w:tab w:val="num" w:pos="680"/>
              </w:tabs>
              <w:spacing w:before="120" w:after="120" w:line="240" w:lineRule="auto"/>
              <w:ind w:left="680"/>
              <w:contextualSpacing/>
              <w:rPr>
                <w:rFonts w:ascii="Times New Roman" w:hAnsi="Times New Roman"/>
                <w:noProof/>
                <w:sz w:val="24"/>
              </w:rPr>
            </w:pPr>
            <w:r w:rsidRPr="009B5734">
              <w:rPr>
                <w:rFonts w:ascii="Times New Roman" w:hAnsi="Times New Roman"/>
                <w:noProof/>
                <w:sz w:val="24"/>
              </w:rPr>
              <w:t>Fundamental Rights</w:t>
            </w:r>
          </w:p>
        </w:tc>
        <w:tc>
          <w:tcPr>
            <w:tcW w:w="3402" w:type="dxa"/>
            <w:shd w:val="solid" w:color="F2F2F2" w:fill="F2F2F2"/>
          </w:tcPr>
          <w:p w:rsidR="00EA45F9" w:rsidRPr="009B5734" w:rsidRDefault="00EA45F9" w:rsidP="00981615">
            <w:pPr>
              <w:pStyle w:val="Bullet1"/>
              <w:numPr>
                <w:ilvl w:val="0"/>
                <w:numId w:val="8"/>
              </w:numPr>
              <w:tabs>
                <w:tab w:val="clear" w:pos="1191"/>
                <w:tab w:val="num" w:pos="680"/>
              </w:tabs>
              <w:spacing w:before="120" w:after="120" w:line="240" w:lineRule="auto"/>
              <w:ind w:left="680"/>
              <w:rPr>
                <w:rFonts w:ascii="Times New Roman" w:hAnsi="Times New Roman"/>
                <w:noProof/>
                <w:sz w:val="24"/>
              </w:rPr>
            </w:pPr>
            <w:r w:rsidRPr="009B5734">
              <w:rPr>
                <w:rFonts w:ascii="Times New Roman" w:hAnsi="Times New Roman"/>
                <w:noProof/>
                <w:sz w:val="24"/>
              </w:rPr>
              <w:t>Application of the EU legal consumer framework</w:t>
            </w:r>
          </w:p>
        </w:tc>
      </w:tr>
    </w:tbl>
    <w:p w:rsidR="00EA45F9" w:rsidRPr="009B5734" w:rsidRDefault="00EA45F9" w:rsidP="00EA45F9">
      <w:pPr>
        <w:pStyle w:val="BodyText"/>
        <w:rPr>
          <w:rFonts w:ascii="Times New Roman" w:hAnsi="Times New Roman"/>
          <w:i/>
          <w:iCs/>
          <w:noProof/>
          <w:sz w:val="24"/>
        </w:rPr>
      </w:pPr>
      <w:r w:rsidRPr="009B5734">
        <w:rPr>
          <w:rFonts w:ascii="Times New Roman" w:hAnsi="Times New Roman"/>
          <w:i/>
          <w:iCs/>
          <w:noProof/>
          <w:sz w:val="24"/>
        </w:rPr>
        <w:t>Source: ICF elaboration based on Better Regulation Guidelines (Toolbox #19)</w:t>
      </w:r>
    </w:p>
    <w:p w:rsidR="00EA45F9" w:rsidRPr="009B5734" w:rsidRDefault="00A00208" w:rsidP="00A00208">
      <w:pPr>
        <w:pStyle w:val="Heading4"/>
        <w:rPr>
          <w:noProof/>
        </w:rPr>
      </w:pPr>
      <w:bookmarkStart w:id="552" w:name="_Toc58603279"/>
      <w:bookmarkStart w:id="553" w:name="_Toc58604139"/>
      <w:bookmarkStart w:id="554" w:name="_Toc58605457"/>
      <w:bookmarkStart w:id="555" w:name="_Toc60734093"/>
      <w:bookmarkStart w:id="556" w:name="_Toc75440987"/>
      <w:bookmarkStart w:id="557" w:name="_Toc75446986"/>
      <w:bookmarkStart w:id="558" w:name="_Toc75448859"/>
      <w:r w:rsidRPr="00A00208">
        <w:t>1.2.</w:t>
      </w:r>
      <w:r w:rsidRPr="00A00208">
        <w:tab/>
      </w:r>
      <w:r w:rsidR="00EA45F9" w:rsidRPr="009B5734">
        <w:rPr>
          <w:noProof/>
        </w:rPr>
        <w:t>Screening of impacts</w:t>
      </w:r>
      <w:bookmarkEnd w:id="552"/>
      <w:bookmarkEnd w:id="553"/>
      <w:bookmarkEnd w:id="554"/>
      <w:bookmarkEnd w:id="555"/>
      <w:bookmarkEnd w:id="556"/>
      <w:bookmarkEnd w:id="557"/>
      <w:bookmarkEnd w:id="558"/>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significance of social, economic, and environmental (direct and indirect) impacts that the policy options may entail for the various stakeholders was assessed on the basis of:</w:t>
      </w:r>
    </w:p>
    <w:p w:rsidR="00EA45F9" w:rsidRPr="009B5734" w:rsidRDefault="00EA45F9" w:rsidP="00EA45F9">
      <w:pPr>
        <w:pStyle w:val="BTBullet1Last"/>
        <w:numPr>
          <w:ilvl w:val="0"/>
          <w:numId w:val="118"/>
        </w:numPr>
        <w:spacing w:before="120" w:line="240" w:lineRule="auto"/>
        <w:rPr>
          <w:rFonts w:ascii="Times New Roman" w:hAnsi="Times New Roman"/>
          <w:noProof/>
          <w:sz w:val="24"/>
        </w:rPr>
      </w:pPr>
      <w:r w:rsidRPr="009B5734">
        <w:rPr>
          <w:rFonts w:ascii="Times New Roman" w:hAnsi="Times New Roman"/>
          <w:noProof/>
          <w:sz w:val="24"/>
        </w:rPr>
        <w:t>Their expected magnitude – taking into account the likely scale of impacts (i.e. the extent of resulting costs and benefits), the number of businesses and consumers affected, and the extent of change expected;</w:t>
      </w:r>
    </w:p>
    <w:p w:rsidR="00EA45F9" w:rsidRPr="009B5734" w:rsidRDefault="00EA45F9" w:rsidP="00EA45F9">
      <w:pPr>
        <w:pStyle w:val="BTBullet1Last"/>
        <w:numPr>
          <w:ilvl w:val="0"/>
          <w:numId w:val="118"/>
        </w:numPr>
        <w:spacing w:before="120" w:line="240" w:lineRule="auto"/>
        <w:rPr>
          <w:rFonts w:ascii="Times New Roman" w:hAnsi="Times New Roman"/>
          <w:noProof/>
          <w:sz w:val="24"/>
        </w:rPr>
      </w:pPr>
      <w:r w:rsidRPr="009B5734">
        <w:rPr>
          <w:rFonts w:ascii="Times New Roman" w:hAnsi="Times New Roman"/>
          <w:noProof/>
          <w:sz w:val="24"/>
        </w:rPr>
        <w:t>Their likelihood – taking into account available evidence on the probability of positive and negative impacts/ effects occurring, and prioritising those impacts for which there is robust evidence as opposed to those subject to less informed speculation.</w:t>
      </w:r>
    </w:p>
    <w:p w:rsidR="00EA45F9" w:rsidRPr="009B5734" w:rsidRDefault="00EA45F9" w:rsidP="00EA45F9">
      <w:pPr>
        <w:pStyle w:val="BTBullet1Last"/>
        <w:numPr>
          <w:ilvl w:val="0"/>
          <w:numId w:val="118"/>
        </w:numPr>
        <w:spacing w:before="120" w:line="240" w:lineRule="auto"/>
        <w:rPr>
          <w:rFonts w:ascii="Times New Roman" w:hAnsi="Times New Roman"/>
          <w:noProof/>
          <w:sz w:val="24"/>
        </w:rPr>
      </w:pPr>
      <w:r w:rsidRPr="009B5734">
        <w:rPr>
          <w:rFonts w:ascii="Times New Roman" w:hAnsi="Times New Roman"/>
          <w:noProof/>
          <w:sz w:val="24"/>
        </w:rPr>
        <w:t>Their relevance to stakeholders – taking into account existing views provided by relevant stakeholder groups, additional insights/ judgments expressed during the stakeholder consultation; and</w:t>
      </w:r>
    </w:p>
    <w:p w:rsidR="00EA45F9" w:rsidRPr="009B5734" w:rsidRDefault="00EA45F9" w:rsidP="00EA45F9">
      <w:pPr>
        <w:pStyle w:val="BTBullet1Last"/>
        <w:numPr>
          <w:ilvl w:val="0"/>
          <w:numId w:val="118"/>
        </w:numPr>
        <w:spacing w:before="120" w:line="240" w:lineRule="auto"/>
        <w:rPr>
          <w:rFonts w:ascii="Times New Roman" w:hAnsi="Times New Roman"/>
          <w:noProof/>
          <w:sz w:val="24"/>
        </w:rPr>
      </w:pPr>
      <w:r w:rsidRPr="009B5734">
        <w:rPr>
          <w:rFonts w:ascii="Times New Roman" w:hAnsi="Times New Roman"/>
          <w:noProof/>
          <w:sz w:val="24"/>
        </w:rPr>
        <w:t>Their link to Commission objectives, i.e., the extent to which each of the selected impacts is aligned with the objectives of the initiative (as it was important to ensure that all of the impacts that directly link to the objectives of the initiative were included).</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The assessment was done while taking into account the views of stakeholders gathered through extensive consultations as well as evidence collected through desk research and validated by selected independent experts. The result of the assessment, i.e. the final/ screened list of impacts to be investigated further, is provided in </w:t>
      </w:r>
      <w:r w:rsidR="00790CCA" w:rsidRPr="009B5734">
        <w:rPr>
          <w:rFonts w:ascii="Times New Roman" w:hAnsi="Times New Roman" w:cs="Times New Roman"/>
          <w:noProof/>
          <w:sz w:val="24"/>
          <w:szCs w:val="24"/>
        </w:rPr>
        <w:t>0</w:t>
      </w:r>
      <w:r w:rsidRPr="009B5734">
        <w:rPr>
          <w:rFonts w:ascii="Times New Roman" w:hAnsi="Times New Roman" w:cs="Times New Roman"/>
          <w:noProof/>
          <w:sz w:val="24"/>
          <w:szCs w:val="24"/>
        </w:rPr>
        <w:t xml:space="preserve"> overleaf. </w:t>
      </w:r>
    </w:p>
    <w:p w:rsidR="00EA45F9" w:rsidRPr="009B5734" w:rsidRDefault="00EA45F9" w:rsidP="00EA45F9">
      <w:pPr>
        <w:pStyle w:val="BodyText"/>
        <w:ind w:left="0" w:firstLine="0"/>
        <w:rPr>
          <w:rFonts w:ascii="Times New Roman" w:hAnsi="Times New Roman"/>
          <w:noProof/>
          <w:sz w:val="24"/>
        </w:rPr>
      </w:pPr>
      <w:r w:rsidRPr="009B5734">
        <w:rPr>
          <w:rFonts w:ascii="Times New Roman" w:hAnsi="Times New Roman"/>
          <w:noProof/>
          <w:sz w:val="24"/>
        </w:rPr>
        <w:t xml:space="preserve">Many of the screened impacts are inter-related, with some impacts being the causes or consequences of others. For example, growth/ investment is clearly a highly relevant policy impact; however, it is influenced by all of the other economic factors, such as sectoral competitiveness, SME growth, the functioning of the Single Market, innovation and research, technological development, international trade and investment, and competition. The screening process has therefore attempted to distinguish between those impacts which occur directly and those which may occur indirectly, i.e. as a result of other impacts. </w:t>
      </w:r>
    </w:p>
    <w:p w:rsidR="00EA45F9" w:rsidRPr="009B5734" w:rsidRDefault="00EA45F9" w:rsidP="00EA45F9">
      <w:pPr>
        <w:pStyle w:val="BodyText"/>
        <w:ind w:left="0" w:firstLine="0"/>
        <w:rPr>
          <w:rFonts w:ascii="Times New Roman" w:hAnsi="Times New Roman"/>
          <w:noProof/>
          <w:sz w:val="24"/>
        </w:rPr>
      </w:pPr>
      <w:r w:rsidRPr="009B5734">
        <w:rPr>
          <w:rFonts w:ascii="Times New Roman" w:hAnsi="Times New Roman"/>
          <w:noProof/>
          <w:sz w:val="24"/>
        </w:rPr>
        <w:t xml:space="preserve">The selected impacts vary across the different policy options, notably in terms of their likelihood and significance. However, most impacts are relevant across the different policy options/ options. Screening was therefore undertaken for the options collectively (including the baseline) rather than individually, with a view to assessing in more detail (at a later stage in the </w:t>
      </w:r>
      <w:r w:rsidR="3F20165A" w:rsidRPr="408CF000">
        <w:rPr>
          <w:rFonts w:ascii="Times New Roman" w:hAnsi="Times New Roman"/>
          <w:noProof/>
          <w:sz w:val="24"/>
        </w:rPr>
        <w:t>I</w:t>
      </w:r>
      <w:r w:rsidRPr="408CF000">
        <w:rPr>
          <w:rFonts w:ascii="Times New Roman" w:hAnsi="Times New Roman"/>
          <w:noProof/>
          <w:sz w:val="24"/>
        </w:rPr>
        <w:t xml:space="preserve">mpact </w:t>
      </w:r>
      <w:r w:rsidR="3F20165A" w:rsidRPr="408CF000">
        <w:rPr>
          <w:rFonts w:ascii="Times New Roman" w:hAnsi="Times New Roman"/>
          <w:noProof/>
          <w:sz w:val="24"/>
        </w:rPr>
        <w:t>A</w:t>
      </w:r>
      <w:r w:rsidRPr="009B5734">
        <w:rPr>
          <w:rFonts w:ascii="Times New Roman" w:hAnsi="Times New Roman"/>
          <w:noProof/>
          <w:sz w:val="24"/>
        </w:rPr>
        <w:t xml:space="preserve">ssessment) any differences in (the extent/ magnitude of) the impacts associated with the different options. An impact was retained for further analysis if it was deemed ‘relevant’ </w:t>
      </w:r>
      <w:r w:rsidRPr="009B5734">
        <w:rPr>
          <w:rFonts w:ascii="Times New Roman" w:hAnsi="Times New Roman"/>
          <w:noProof/>
          <w:sz w:val="24"/>
          <w:u w:val="single"/>
        </w:rPr>
        <w:t>and</w:t>
      </w:r>
      <w:r w:rsidRPr="009B5734">
        <w:rPr>
          <w:rFonts w:ascii="Times New Roman" w:hAnsi="Times New Roman"/>
          <w:noProof/>
          <w:sz w:val="24"/>
        </w:rPr>
        <w:t xml:space="preserve"> expected to be of a magnitude of ”</w:t>
      </w:r>
      <w:r w:rsidRPr="009B5734">
        <w:rPr>
          <w:rFonts w:ascii="Times New Roman" w:hAnsi="Times New Roman"/>
          <w:i/>
          <w:iCs/>
          <w:noProof/>
          <w:sz w:val="24"/>
        </w:rPr>
        <w:t>●●</w:t>
      </w:r>
      <w:r w:rsidRPr="009B5734">
        <w:rPr>
          <w:rFonts w:ascii="Times New Roman" w:hAnsi="Times New Roman"/>
          <w:noProof/>
          <w:sz w:val="24"/>
        </w:rPr>
        <w:t xml:space="preserve">” (at a minimum) for at least one of the proposed policy options. </w:t>
      </w:r>
    </w:p>
    <w:p w:rsidR="00EA45F9" w:rsidRPr="009B5734" w:rsidRDefault="00EA45F9" w:rsidP="00EA45F9">
      <w:pPr>
        <w:pStyle w:val="BodyText"/>
        <w:ind w:left="0" w:firstLine="0"/>
        <w:rPr>
          <w:rFonts w:ascii="Times New Roman" w:hAnsi="Times New Roman"/>
          <w:noProof/>
          <w:sz w:val="24"/>
        </w:rPr>
        <w:sectPr w:rsidR="00EA45F9" w:rsidRPr="009B5734" w:rsidSect="007A1ADE">
          <w:headerReference w:type="even" r:id="rId49"/>
          <w:headerReference w:type="default" r:id="rId50"/>
          <w:footerReference w:type="even" r:id="rId51"/>
          <w:footerReference w:type="default" r:id="rId52"/>
          <w:headerReference w:type="first" r:id="rId53"/>
          <w:footerReference w:type="first" r:id="rId54"/>
          <w:pgSz w:w="11906" w:h="16838"/>
          <w:pgMar w:top="1417" w:right="1417" w:bottom="1417" w:left="1701" w:header="567" w:footer="340" w:gutter="0"/>
          <w:cols w:space="708"/>
          <w:docGrid w:linePitch="360"/>
        </w:sectPr>
      </w:pPr>
    </w:p>
    <w:p w:rsidR="00EA45F9" w:rsidRPr="009B5734" w:rsidRDefault="00EA45F9" w:rsidP="00EA45F9">
      <w:pPr>
        <w:pStyle w:val="Heading5"/>
        <w:rPr>
          <w:rStyle w:val="TableChar"/>
          <w:rFonts w:ascii="Times New Roman" w:hAnsi="Times New Roman"/>
          <w:b w:val="0"/>
          <w:i w:val="0"/>
          <w:noProof/>
          <w:color w:val="auto"/>
          <w:sz w:val="24"/>
        </w:rPr>
      </w:pPr>
      <w:bookmarkStart w:id="559" w:name="_Ref54879195"/>
      <w:r w:rsidRPr="009B5734">
        <w:rPr>
          <w:rStyle w:val="TableChar"/>
          <w:rFonts w:ascii="Times New Roman" w:hAnsi="Times New Roman"/>
          <w:b w:val="0"/>
          <w:i w:val="0"/>
          <w:noProof/>
          <w:color w:val="auto"/>
          <w:sz w:val="24"/>
        </w:rPr>
        <w:t>Table 2. Significance of impacts for all the policy options under consideration</w:t>
      </w:r>
      <w:bookmarkEnd w:id="559"/>
    </w:p>
    <w:p w:rsidR="00F8366E" w:rsidRPr="00F67503" w:rsidRDefault="00F8366E" w:rsidP="004931D3">
      <w:pPr>
        <w:spacing w:before="120" w:after="120"/>
        <w:ind w:left="0" w:firstLine="0"/>
        <w:jc w:val="left"/>
        <w:rPr>
          <w:rFonts w:ascii="Verdana" w:hAnsi="Verdana"/>
          <w:noProof/>
          <w:color w:val="000000" w:themeColor="text1"/>
          <w:sz w:val="20"/>
          <w:szCs w:val="20"/>
        </w:rPr>
      </w:pPr>
      <w:r w:rsidRPr="005D24D2">
        <w:rPr>
          <w:rFonts w:ascii="Verdana" w:hAnsi="Verdana"/>
          <w:i/>
          <w:iCs/>
          <w:noProof/>
          <w:color w:val="000000" w:themeColor="text1"/>
          <w:sz w:val="20"/>
          <w:szCs w:val="20"/>
        </w:rPr>
        <w:t>Key: ‘</w:t>
      </w:r>
      <w:r w:rsidRPr="005D24D2">
        <w:rPr>
          <w:rFonts w:ascii="Arial" w:hAnsi="Arial"/>
          <w:i/>
          <w:iCs/>
          <w:noProof/>
          <w:color w:val="1F497D" w:themeColor="text2"/>
          <w:sz w:val="20"/>
          <w:szCs w:val="20"/>
        </w:rPr>
        <w:t>●</w:t>
      </w:r>
      <w:r w:rsidRPr="005D24D2">
        <w:rPr>
          <w:rFonts w:ascii="Verdana" w:hAnsi="Verdana"/>
          <w:i/>
          <w:iCs/>
          <w:noProof/>
          <w:color w:val="000000" w:themeColor="text1"/>
          <w:sz w:val="20"/>
          <w:szCs w:val="20"/>
        </w:rPr>
        <w:t>’ low; ‘</w:t>
      </w:r>
      <w:r w:rsidRPr="005773BA">
        <w:rPr>
          <w:rFonts w:ascii="Arial" w:hAnsi="Arial"/>
          <w:i/>
          <w:iCs/>
          <w:noProof/>
          <w:color w:val="1F497D" w:themeColor="text2"/>
          <w:sz w:val="20"/>
          <w:szCs w:val="20"/>
        </w:rPr>
        <w:t>●●</w:t>
      </w:r>
      <w:r w:rsidRPr="005773BA">
        <w:rPr>
          <w:rFonts w:ascii="Verdana" w:hAnsi="Verdana"/>
          <w:i/>
          <w:iCs/>
          <w:noProof/>
          <w:color w:val="000000" w:themeColor="text1"/>
          <w:sz w:val="20"/>
          <w:szCs w:val="20"/>
        </w:rPr>
        <w:t>’ moderate; ‘</w:t>
      </w:r>
      <w:r w:rsidRPr="005773BA">
        <w:rPr>
          <w:rFonts w:ascii="Arial" w:hAnsi="Arial"/>
          <w:i/>
          <w:iCs/>
          <w:noProof/>
          <w:color w:val="1F497D" w:themeColor="text2"/>
          <w:sz w:val="20"/>
          <w:szCs w:val="20"/>
        </w:rPr>
        <w:t>●●●</w:t>
      </w:r>
      <w:r w:rsidRPr="005773BA">
        <w:rPr>
          <w:rFonts w:ascii="Verdana" w:hAnsi="Verdana"/>
          <w:i/>
          <w:iCs/>
          <w:noProof/>
          <w:color w:val="000000" w:themeColor="text1"/>
          <w:sz w:val="20"/>
          <w:szCs w:val="20"/>
        </w:rPr>
        <w:t>’ high</w:t>
      </w:r>
    </w:p>
    <w:tbl>
      <w:tblPr>
        <w:tblW w:w="13750" w:type="dxa"/>
        <w:tblBorders>
          <w:top w:val="single" w:sz="4" w:space="0" w:color="auto"/>
          <w:bottom w:val="single" w:sz="4" w:space="0" w:color="auto"/>
          <w:insideH w:val="single" w:sz="4" w:space="0" w:color="auto"/>
        </w:tblBorders>
        <w:shd w:val="solid" w:color="F2F2F2" w:fill="F2F2F2"/>
        <w:tblLayout w:type="fixed"/>
        <w:tblCellMar>
          <w:left w:w="0" w:type="dxa"/>
          <w:right w:w="0" w:type="dxa"/>
        </w:tblCellMar>
        <w:tblLook w:val="04A0" w:firstRow="1" w:lastRow="0" w:firstColumn="1" w:lastColumn="0" w:noHBand="0" w:noVBand="1"/>
      </w:tblPr>
      <w:tblGrid>
        <w:gridCol w:w="2268"/>
        <w:gridCol w:w="1346"/>
        <w:gridCol w:w="1347"/>
        <w:gridCol w:w="1347"/>
        <w:gridCol w:w="1347"/>
        <w:gridCol w:w="4961"/>
        <w:gridCol w:w="1134"/>
      </w:tblGrid>
      <w:tr w:rsidR="00F8366E" w:rsidRPr="009B5734" w:rsidTr="00C84A99">
        <w:trPr>
          <w:trHeight w:val="955"/>
          <w:tblHeader/>
        </w:trPr>
        <w:tc>
          <w:tcPr>
            <w:tcW w:w="2268" w:type="dxa"/>
            <w:shd w:val="clear" w:color="auto" w:fill="002395"/>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Verdana" w:hAnsi="Verdana"/>
                <w:b/>
                <w:noProof/>
                <w:color w:val="FFFFFF" w:themeColor="background1"/>
                <w:sz w:val="16"/>
              </w:rPr>
            </w:pPr>
            <w:r w:rsidRPr="005D24D2">
              <w:rPr>
                <w:rFonts w:ascii="Verdana" w:hAnsi="Verdana"/>
                <w:b/>
                <w:bCs/>
                <w:noProof/>
                <w:color w:val="FFFFFF" w:themeColor="background1"/>
                <w:sz w:val="16"/>
                <w:szCs w:val="16"/>
              </w:rPr>
              <w:t>Impact type</w:t>
            </w:r>
          </w:p>
        </w:tc>
        <w:tc>
          <w:tcPr>
            <w:tcW w:w="1346" w:type="dxa"/>
            <w:shd w:val="clear" w:color="auto" w:fill="002395"/>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Verdana" w:hAnsi="Verdana"/>
                <w:b/>
                <w:noProof/>
                <w:color w:val="FFFFFF" w:themeColor="background1"/>
                <w:sz w:val="16"/>
              </w:rPr>
            </w:pPr>
            <w:r w:rsidRPr="005D24D2">
              <w:rPr>
                <w:rFonts w:ascii="Verdana" w:hAnsi="Verdana"/>
                <w:b/>
                <w:bCs/>
                <w:noProof/>
                <w:color w:val="FFFFFF" w:themeColor="background1"/>
                <w:sz w:val="16"/>
                <w:szCs w:val="16"/>
              </w:rPr>
              <w:t>Expected magnitude</w:t>
            </w:r>
          </w:p>
        </w:tc>
        <w:tc>
          <w:tcPr>
            <w:tcW w:w="1347" w:type="dxa"/>
            <w:shd w:val="clear" w:color="auto" w:fill="002395"/>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Verdana" w:hAnsi="Verdana"/>
                <w:b/>
                <w:noProof/>
                <w:color w:val="FFFFFF" w:themeColor="background1"/>
                <w:sz w:val="16"/>
              </w:rPr>
            </w:pPr>
            <w:r w:rsidRPr="005D24D2">
              <w:rPr>
                <w:rFonts w:ascii="Verdana" w:hAnsi="Verdana"/>
                <w:b/>
                <w:bCs/>
                <w:noProof/>
                <w:color w:val="FFFFFF" w:themeColor="background1"/>
                <w:sz w:val="16"/>
                <w:szCs w:val="16"/>
              </w:rPr>
              <w:t>Likelihood</w:t>
            </w:r>
          </w:p>
        </w:tc>
        <w:tc>
          <w:tcPr>
            <w:tcW w:w="1347" w:type="dxa"/>
            <w:shd w:val="clear" w:color="auto" w:fill="002395"/>
            <w:vAlign w:val="center"/>
          </w:tcPr>
          <w:p w:rsidR="00F8366E" w:rsidRPr="009B5734" w:rsidRDefault="00F8366E" w:rsidP="00611D38">
            <w:pPr>
              <w:spacing w:before="120"/>
              <w:ind w:left="113" w:firstLine="0"/>
              <w:jc w:val="left"/>
              <w:rPr>
                <w:rFonts w:ascii="Verdana" w:hAnsi="Verdana"/>
                <w:b/>
                <w:noProof/>
                <w:color w:val="FFFFFF" w:themeColor="background1"/>
                <w:sz w:val="16"/>
              </w:rPr>
            </w:pPr>
            <w:r w:rsidRPr="005D24D2">
              <w:rPr>
                <w:rFonts w:ascii="Verdana" w:hAnsi="Verdana"/>
                <w:b/>
                <w:bCs/>
                <w:noProof/>
                <w:color w:val="FFFFFF" w:themeColor="background1"/>
                <w:sz w:val="16"/>
                <w:szCs w:val="16"/>
              </w:rPr>
              <w:t>Relevance for stakeholders</w:t>
            </w:r>
          </w:p>
        </w:tc>
        <w:tc>
          <w:tcPr>
            <w:tcW w:w="1347" w:type="dxa"/>
            <w:shd w:val="clear" w:color="auto" w:fill="002395"/>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Verdana" w:hAnsi="Verdana"/>
                <w:b/>
                <w:noProof/>
                <w:color w:val="FFFFFF" w:themeColor="background1"/>
                <w:sz w:val="16"/>
              </w:rPr>
            </w:pPr>
            <w:r w:rsidRPr="005D24D2">
              <w:rPr>
                <w:rFonts w:ascii="Verdana" w:hAnsi="Verdana"/>
                <w:b/>
                <w:bCs/>
                <w:noProof/>
                <w:color w:val="FFFFFF" w:themeColor="background1"/>
                <w:sz w:val="16"/>
                <w:szCs w:val="16"/>
              </w:rPr>
              <w:t>Link with the objectives (</w:t>
            </w:r>
            <w:r w:rsidRPr="009B5734">
              <w:rPr>
                <w:rFonts w:ascii="Verdana" w:hAnsi="Verdana"/>
                <w:b/>
                <w:noProof/>
                <w:color w:val="FFFFFF" w:themeColor="background1"/>
                <w:sz w:val="16"/>
              </w:rPr>
              <w:sym w:font="Wingdings" w:char="F0FC"/>
            </w:r>
            <w:r w:rsidRPr="005D24D2">
              <w:rPr>
                <w:rFonts w:ascii="Verdana" w:hAnsi="Verdana"/>
                <w:b/>
                <w:bCs/>
                <w:noProof/>
                <w:color w:val="FFFFFF" w:themeColor="background1"/>
                <w:sz w:val="16"/>
                <w:szCs w:val="16"/>
              </w:rPr>
              <w:t>)</w:t>
            </w:r>
          </w:p>
        </w:tc>
        <w:tc>
          <w:tcPr>
            <w:tcW w:w="4961" w:type="dxa"/>
            <w:shd w:val="clear" w:color="auto" w:fill="002395"/>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Verdana" w:hAnsi="Verdana"/>
                <w:b/>
                <w:noProof/>
                <w:color w:val="FFFFFF" w:themeColor="background1"/>
                <w:sz w:val="16"/>
              </w:rPr>
            </w:pPr>
            <w:r w:rsidRPr="005D24D2">
              <w:rPr>
                <w:rFonts w:ascii="Verdana" w:hAnsi="Verdana"/>
                <w:b/>
                <w:bCs/>
                <w:noProof/>
                <w:color w:val="FFFFFF" w:themeColor="background1"/>
                <w:sz w:val="16"/>
                <w:szCs w:val="16"/>
              </w:rPr>
              <w:t>Comment</w:t>
            </w:r>
          </w:p>
        </w:tc>
        <w:tc>
          <w:tcPr>
            <w:tcW w:w="1134" w:type="dxa"/>
            <w:shd w:val="clear" w:color="auto" w:fill="002395"/>
            <w:vAlign w:val="center"/>
          </w:tcPr>
          <w:p w:rsidR="00F8366E" w:rsidRPr="009B5734" w:rsidRDefault="00F8366E" w:rsidP="00611D38">
            <w:pPr>
              <w:spacing w:before="120"/>
              <w:ind w:left="113" w:firstLine="0"/>
              <w:jc w:val="left"/>
              <w:rPr>
                <w:rFonts w:ascii="Verdana" w:hAnsi="Verdana"/>
                <w:b/>
                <w:noProof/>
                <w:color w:val="FFFFFF" w:themeColor="background1"/>
                <w:sz w:val="16"/>
              </w:rPr>
            </w:pPr>
            <w:r w:rsidRPr="005D24D2">
              <w:rPr>
                <w:rFonts w:ascii="Verdana" w:hAnsi="Verdana"/>
                <w:b/>
                <w:bCs/>
                <w:noProof/>
                <w:color w:val="FFFFFF" w:themeColor="background1"/>
                <w:sz w:val="16"/>
                <w:szCs w:val="16"/>
              </w:rPr>
              <w:t>Retained (</w:t>
            </w:r>
            <w:r w:rsidRPr="009B5734">
              <w:rPr>
                <w:rFonts w:ascii="Verdana" w:hAnsi="Verdana"/>
                <w:b/>
                <w:noProof/>
                <w:color w:val="FFFFFF" w:themeColor="background1"/>
                <w:sz w:val="16"/>
              </w:rPr>
              <w:sym w:font="Wingdings" w:char="F0FC"/>
            </w:r>
            <w:r w:rsidRPr="005D24D2">
              <w:rPr>
                <w:rFonts w:ascii="Verdana" w:hAnsi="Verdana"/>
                <w:b/>
                <w:bCs/>
                <w:noProof/>
                <w:color w:val="FFFFFF" w:themeColor="background1"/>
                <w:sz w:val="16"/>
                <w:szCs w:val="16"/>
              </w:rPr>
              <w:t>)</w:t>
            </w:r>
          </w:p>
        </w:tc>
      </w:tr>
      <w:tr w:rsidR="00F8366E" w:rsidRPr="009B5734" w:rsidTr="00C84A99">
        <w:trPr>
          <w:trHeight w:val="300"/>
        </w:trPr>
        <w:tc>
          <w:tcPr>
            <w:tcW w:w="2268" w:type="dxa"/>
            <w:shd w:val="clear" w:color="auto" w:fill="DBE5F1" w:themeFill="accent1" w:themeFillTint="33"/>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b/>
                <w:noProof/>
                <w:color w:val="000000"/>
                <w:sz w:val="16"/>
              </w:rPr>
            </w:pPr>
            <w:r w:rsidRPr="009B5734">
              <w:rPr>
                <w:rFonts w:ascii="Verdana" w:hAnsi="Verdana"/>
                <w:b/>
                <w:noProof/>
                <w:color w:val="000000"/>
                <w:sz w:val="16"/>
              </w:rPr>
              <w:t>Economic impacts</w:t>
            </w:r>
          </w:p>
        </w:tc>
        <w:tc>
          <w:tcPr>
            <w:tcW w:w="1346" w:type="dxa"/>
            <w:shd w:val="clear" w:color="auto" w:fill="DBE5F1" w:themeFill="accent1" w:themeFillTint="33"/>
            <w:tcMar>
              <w:top w:w="15" w:type="dxa"/>
              <w:left w:w="15" w:type="dxa"/>
              <w:bottom w:w="0" w:type="dxa"/>
              <w:right w:w="15" w:type="dxa"/>
            </w:tcMar>
            <w:vAlign w:val="center"/>
          </w:tcPr>
          <w:p w:rsidR="00F8366E" w:rsidRPr="009B5734" w:rsidRDefault="00F8366E" w:rsidP="00611D38">
            <w:pPr>
              <w:spacing w:before="120"/>
              <w:ind w:left="113" w:firstLine="0"/>
              <w:jc w:val="left"/>
              <w:rPr>
                <w:rFonts w:ascii="Arial" w:hAnsi="Arial"/>
                <w:b/>
                <w:noProof/>
                <w:color w:val="1F497D" w:themeColor="text2"/>
                <w:sz w:val="20"/>
              </w:rPr>
            </w:pPr>
          </w:p>
        </w:tc>
        <w:tc>
          <w:tcPr>
            <w:tcW w:w="1347" w:type="dxa"/>
            <w:shd w:val="clear" w:color="auto" w:fill="DBE5F1" w:themeFill="accent1" w:themeFillTint="33"/>
            <w:tcMar>
              <w:top w:w="15" w:type="dxa"/>
              <w:left w:w="15" w:type="dxa"/>
              <w:bottom w:w="0" w:type="dxa"/>
              <w:right w:w="15" w:type="dxa"/>
            </w:tcMar>
            <w:vAlign w:val="center"/>
          </w:tcPr>
          <w:p w:rsidR="00F8366E" w:rsidRPr="009B5734" w:rsidRDefault="00F8366E" w:rsidP="00611D38">
            <w:pPr>
              <w:spacing w:before="120"/>
              <w:ind w:left="113" w:firstLine="0"/>
              <w:jc w:val="left"/>
              <w:rPr>
                <w:rFonts w:ascii="Arial" w:hAnsi="Arial"/>
                <w:b/>
                <w:i/>
                <w:noProof/>
                <w:color w:val="1F497D" w:themeColor="text2"/>
                <w:sz w:val="20"/>
              </w:rPr>
            </w:pPr>
          </w:p>
        </w:tc>
        <w:tc>
          <w:tcPr>
            <w:tcW w:w="1347" w:type="dxa"/>
            <w:shd w:val="clear" w:color="auto" w:fill="DBE5F1" w:themeFill="accent1" w:themeFillTint="33"/>
            <w:vAlign w:val="center"/>
          </w:tcPr>
          <w:p w:rsidR="00F8366E" w:rsidRPr="009B5734" w:rsidRDefault="00F8366E" w:rsidP="00611D38">
            <w:pPr>
              <w:spacing w:before="120"/>
              <w:ind w:left="113" w:firstLine="0"/>
              <w:jc w:val="left"/>
              <w:rPr>
                <w:rFonts w:ascii="Arial" w:hAnsi="Arial"/>
                <w:b/>
                <w:i/>
                <w:noProof/>
                <w:color w:val="1F497D" w:themeColor="text2"/>
                <w:sz w:val="20"/>
              </w:rPr>
            </w:pPr>
          </w:p>
        </w:tc>
        <w:tc>
          <w:tcPr>
            <w:tcW w:w="1347" w:type="dxa"/>
            <w:shd w:val="clear" w:color="auto" w:fill="DBE5F1" w:themeFill="accent1" w:themeFillTint="33"/>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b/>
                <w:noProof/>
                <w:color w:val="002395"/>
                <w:sz w:val="16"/>
              </w:rPr>
            </w:pPr>
          </w:p>
        </w:tc>
        <w:tc>
          <w:tcPr>
            <w:tcW w:w="4961" w:type="dxa"/>
            <w:shd w:val="clear" w:color="auto" w:fill="DBE5F1" w:themeFill="accent1" w:themeFillTint="33"/>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b/>
                <w:noProof/>
                <w:sz w:val="16"/>
              </w:rPr>
            </w:pPr>
          </w:p>
        </w:tc>
        <w:tc>
          <w:tcPr>
            <w:tcW w:w="1134" w:type="dxa"/>
            <w:tcBorders>
              <w:bottom w:val="single" w:sz="4" w:space="0" w:color="auto"/>
            </w:tcBorders>
            <w:shd w:val="clear" w:color="auto" w:fill="DBE5F1" w:themeFill="accent1" w:themeFillTint="33"/>
            <w:vAlign w:val="center"/>
          </w:tcPr>
          <w:p w:rsidR="00F8366E" w:rsidRPr="009B5734" w:rsidRDefault="00F8366E" w:rsidP="00611D38">
            <w:pPr>
              <w:spacing w:before="120"/>
              <w:ind w:left="113" w:firstLine="0"/>
              <w:jc w:val="left"/>
              <w:rPr>
                <w:rFonts w:ascii="Verdana" w:hAnsi="Verdana"/>
                <w:b/>
                <w:noProof/>
                <w:sz w:val="16"/>
              </w:rPr>
            </w:pPr>
          </w:p>
        </w:tc>
      </w:tr>
      <w:tr w:rsidR="00F8366E" w:rsidRPr="009B5734" w:rsidTr="00C84A99">
        <w:trPr>
          <w:trHeight w:val="1866"/>
        </w:trPr>
        <w:tc>
          <w:tcPr>
            <w:tcW w:w="2268" w:type="dxa"/>
            <w:shd w:val="clear" w:color="auto" w:fill="F2F2F2" w:themeFill="background1" w:themeFillShade="F2"/>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0000"/>
                <w:sz w:val="16"/>
              </w:rPr>
              <w:t>Growth and investment</w:t>
            </w:r>
          </w:p>
        </w:tc>
        <w:tc>
          <w:tcPr>
            <w:tcW w:w="1346"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p>
        </w:tc>
        <w:tc>
          <w:tcPr>
            <w:tcW w:w="4961"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Verdana" w:hAnsi="Verdana"/>
                <w:noProof/>
                <w:sz w:val="16"/>
              </w:rPr>
              <w:t xml:space="preserve">Growth and investment are EU policy priorities, and any potential impacts need to be considered carefully. The foreseen </w:t>
            </w:r>
            <w:r w:rsidRPr="009B5734">
              <w:rPr>
                <w:rFonts w:ascii="Verdana" w:hAnsi="Verdana"/>
                <w:noProof/>
                <w:sz w:val="16"/>
                <w:szCs w:val="18"/>
              </w:rPr>
              <w:t>measures</w:t>
            </w:r>
            <w:r w:rsidRPr="009B5734">
              <w:rPr>
                <w:rFonts w:ascii="Verdana" w:hAnsi="Verdana"/>
                <w:noProof/>
                <w:sz w:val="16"/>
              </w:rPr>
              <w:t xml:space="preserve"> may require investment in repair services, product development and new production processes, but may (indirectly) entail adverse impacts, in the form of costs for business and the public sector and reduction of sales. These impacts are considered under other impact categories below (see “business substantive compliance costs,” “business administrative burdens,” “enforcement costs for administration”).</w:t>
            </w:r>
          </w:p>
        </w:tc>
        <w:tc>
          <w:tcPr>
            <w:tcW w:w="1134" w:type="dxa"/>
            <w:shd w:val="clear" w:color="auto" w:fill="A6A6A6" w:themeFill="background1" w:themeFillShade="A6"/>
            <w:vAlign w:val="center"/>
          </w:tcPr>
          <w:p w:rsidR="00F8366E" w:rsidRPr="009B5734" w:rsidRDefault="00F8366E" w:rsidP="00611D38">
            <w:pPr>
              <w:spacing w:before="120"/>
              <w:ind w:left="113" w:firstLine="0"/>
              <w:jc w:val="left"/>
              <w:rPr>
                <w:rFonts w:ascii="Verdana" w:hAnsi="Verdana"/>
                <w:noProof/>
                <w:sz w:val="16"/>
              </w:rPr>
            </w:pPr>
          </w:p>
        </w:tc>
      </w:tr>
      <w:tr w:rsidR="00F8366E" w:rsidRPr="009B5734" w:rsidTr="00C84A99">
        <w:trPr>
          <w:trHeight w:val="300"/>
        </w:trPr>
        <w:tc>
          <w:tcPr>
            <w:tcW w:w="2268" w:type="dxa"/>
            <w:shd w:val="clear" w:color="auto" w:fill="F2F2F2" w:themeFill="background1" w:themeFillShade="F2"/>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0000"/>
                <w:sz w:val="16"/>
              </w:rPr>
              <w:t xml:space="preserve">Sectoral competitiveness, trade and investment flows </w:t>
            </w:r>
          </w:p>
        </w:tc>
        <w:tc>
          <w:tcPr>
            <w:tcW w:w="1346"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p>
        </w:tc>
        <w:tc>
          <w:tcPr>
            <w:tcW w:w="4961"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Verdana" w:hAnsi="Verdana"/>
                <w:noProof/>
                <w:sz w:val="16"/>
              </w:rPr>
              <w:t xml:space="preserve">Some options could impact business costs and, consequently, competitiveness (see further below “business substantive compliance costs,” “business administrative burdens,” “enforcement costs for administration”). </w:t>
            </w:r>
          </w:p>
        </w:tc>
        <w:tc>
          <w:tcPr>
            <w:tcW w:w="1134" w:type="dxa"/>
            <w:shd w:val="clear" w:color="auto" w:fill="A6A6A6" w:themeFill="background1" w:themeFillShade="A6"/>
            <w:vAlign w:val="center"/>
          </w:tcPr>
          <w:p w:rsidR="00F8366E" w:rsidRPr="009B5734" w:rsidRDefault="00F8366E" w:rsidP="00611D38">
            <w:pPr>
              <w:spacing w:before="120"/>
              <w:ind w:left="113" w:firstLine="0"/>
              <w:jc w:val="left"/>
              <w:rPr>
                <w:rFonts w:ascii="Verdana" w:hAnsi="Verdana"/>
                <w:noProof/>
                <w:sz w:val="16"/>
              </w:rPr>
            </w:pPr>
          </w:p>
        </w:tc>
      </w:tr>
      <w:tr w:rsidR="00F8366E" w:rsidRPr="009B5734" w:rsidTr="00C84A99">
        <w:trPr>
          <w:trHeight w:val="300"/>
        </w:trPr>
        <w:tc>
          <w:tcPr>
            <w:tcW w:w="2268" w:type="dxa"/>
            <w:shd w:val="clear" w:color="auto" w:fill="F2F2F2" w:themeFill="background1" w:themeFillShade="F2"/>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0000"/>
                <w:sz w:val="16"/>
              </w:rPr>
              <w:t>SMEs growth</w:t>
            </w:r>
          </w:p>
        </w:tc>
        <w:tc>
          <w:tcPr>
            <w:tcW w:w="1346"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p>
        </w:tc>
        <w:tc>
          <w:tcPr>
            <w:tcW w:w="4961"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Verdana" w:hAnsi="Verdana"/>
                <w:noProof/>
                <w:sz w:val="16"/>
              </w:rPr>
              <w:t>SMEs account for the majority of businesses in the EU. The options will therefore potentially impact large numbers of SMEs (as producers), although possibly negatively, as they may lead to an increase in businesses’ operational costs. Furthermore, SMEs with fewer resources may face greater challenges in adapting to new rules/ requirements as opposed to large companies.</w:t>
            </w:r>
          </w:p>
        </w:tc>
        <w:tc>
          <w:tcPr>
            <w:tcW w:w="1134" w:type="dxa"/>
            <w:shd w:val="clear" w:color="auto" w:fill="D6E3BC" w:themeFill="accent3" w:themeFillTint="66"/>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color w:val="002395"/>
                <w:sz w:val="24"/>
              </w:rPr>
              <w:sym w:font="Wingdings" w:char="F0FE"/>
            </w:r>
          </w:p>
        </w:tc>
      </w:tr>
      <w:tr w:rsidR="00F8366E" w:rsidRPr="009B5734" w:rsidTr="00C84A99">
        <w:trPr>
          <w:trHeight w:val="300"/>
        </w:trPr>
        <w:tc>
          <w:tcPr>
            <w:tcW w:w="2268" w:type="dxa"/>
            <w:shd w:val="clear" w:color="auto" w:fill="F2F2F2" w:themeFill="background1" w:themeFillShade="F2"/>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0000"/>
                <w:sz w:val="16"/>
              </w:rPr>
              <w:t>Functioning of the Single Market</w:t>
            </w:r>
          </w:p>
        </w:tc>
        <w:tc>
          <w:tcPr>
            <w:tcW w:w="1346"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Verdana" w:hAnsi="Verdana"/>
                <w:noProof/>
                <w:color w:val="002395"/>
                <w:sz w:val="24"/>
              </w:rPr>
              <w:sym w:font="Wingdings" w:char="F0FE"/>
            </w:r>
          </w:p>
        </w:tc>
        <w:tc>
          <w:tcPr>
            <w:tcW w:w="4961"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Verdana" w:hAnsi="Verdana"/>
                <w:noProof/>
                <w:sz w:val="16"/>
              </w:rPr>
              <w:t>There are currently some differences in approaches related to obsolescence, greenwashing, sustainability labels/logos and information to consumers in different Member States. One of the arguments for action at EU level would be to harmonise regulatory approaches across the Single Market. The initiative is expected to contribute to creating a level-playing field for producers and reducing, to some extent, barriers to cross-border trade.</w:t>
            </w:r>
          </w:p>
        </w:tc>
        <w:tc>
          <w:tcPr>
            <w:tcW w:w="1134" w:type="dxa"/>
            <w:tcBorders>
              <w:bottom w:val="single" w:sz="4" w:space="0" w:color="auto"/>
            </w:tcBorders>
            <w:shd w:val="clear" w:color="auto" w:fill="D6E3BC" w:themeFill="accent3" w:themeFillTint="66"/>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color w:val="002395"/>
                <w:sz w:val="24"/>
              </w:rPr>
              <w:sym w:font="Wingdings" w:char="F0FE"/>
            </w:r>
          </w:p>
        </w:tc>
      </w:tr>
      <w:tr w:rsidR="00F8366E" w:rsidRPr="009B5734" w:rsidTr="00C84A99">
        <w:trPr>
          <w:trHeight w:val="300"/>
        </w:trPr>
        <w:tc>
          <w:tcPr>
            <w:tcW w:w="2268" w:type="dxa"/>
            <w:shd w:val="clear" w:color="auto" w:fill="F2F2F2" w:themeFill="background1" w:themeFillShade="F2"/>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0000"/>
                <w:sz w:val="16"/>
              </w:rPr>
              <w:t>Increased innovation and research and Technological development</w:t>
            </w:r>
          </w:p>
        </w:tc>
        <w:tc>
          <w:tcPr>
            <w:tcW w:w="1346"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noProof/>
                <w:color w:val="1F497D" w:themeColor="text2"/>
                <w:sz w:val="20"/>
              </w:rPr>
              <w:t>●</w:t>
            </w:r>
          </w:p>
        </w:tc>
        <w:tc>
          <w:tcPr>
            <w:tcW w:w="1347" w:type="dxa"/>
            <w:shd w:val="clear" w:color="auto" w:fill="F2F2F2" w:themeFill="background1" w:themeFillShade="F2"/>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p>
        </w:tc>
        <w:tc>
          <w:tcPr>
            <w:tcW w:w="4961"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sz w:val="16"/>
              </w:rPr>
              <w:t>Options stimulating improvements in products’ durability/ lifespans, reparability and sustainability may stimulate innovation and technological development. However, this may also entail additional investments/ costs for businesses (see further below: “business substantive compliance costs,” “business administrative burdens”).</w:t>
            </w:r>
          </w:p>
        </w:tc>
        <w:tc>
          <w:tcPr>
            <w:tcW w:w="1134" w:type="dxa"/>
            <w:tcBorders>
              <w:bottom w:val="single" w:sz="4" w:space="0" w:color="auto"/>
            </w:tcBorders>
            <w:shd w:val="clear" w:color="auto" w:fill="A6A6A6" w:themeFill="background1" w:themeFillShade="A6"/>
            <w:vAlign w:val="center"/>
          </w:tcPr>
          <w:p w:rsidR="00F8366E" w:rsidRPr="009B5734" w:rsidRDefault="00F8366E" w:rsidP="00611D38">
            <w:pPr>
              <w:spacing w:before="120"/>
              <w:ind w:left="113" w:firstLine="0"/>
              <w:jc w:val="left"/>
              <w:rPr>
                <w:rFonts w:ascii="Verdana" w:hAnsi="Verdana"/>
                <w:noProof/>
                <w:sz w:val="16"/>
              </w:rPr>
            </w:pPr>
          </w:p>
        </w:tc>
      </w:tr>
      <w:tr w:rsidR="00F8366E" w:rsidRPr="009B5734" w:rsidTr="00C84A99">
        <w:trPr>
          <w:trHeight w:val="300"/>
        </w:trPr>
        <w:tc>
          <w:tcPr>
            <w:tcW w:w="2268" w:type="dxa"/>
            <w:shd w:val="clear" w:color="auto" w:fill="F2F2F2" w:themeFill="background1" w:themeFillShade="F2"/>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0000"/>
                <w:sz w:val="16"/>
              </w:rPr>
              <w:t>Increased international trade and investment</w:t>
            </w:r>
          </w:p>
        </w:tc>
        <w:tc>
          <w:tcPr>
            <w:tcW w:w="1346"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noProof/>
                <w:color w:val="1F497D" w:themeColor="text2"/>
                <w:sz w:val="20"/>
              </w:rPr>
              <w:t>●</w:t>
            </w:r>
          </w:p>
        </w:tc>
        <w:tc>
          <w:tcPr>
            <w:tcW w:w="1347" w:type="dxa"/>
            <w:shd w:val="clear" w:color="auto" w:fill="F2F2F2" w:themeFill="background1" w:themeFillShade="F2"/>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p>
        </w:tc>
        <w:tc>
          <w:tcPr>
            <w:tcW w:w="4961"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Verdana" w:hAnsi="Verdana"/>
                <w:noProof/>
                <w:sz w:val="16"/>
              </w:rPr>
              <w:t>The options are expected to have a very limited impact on trade.</w:t>
            </w:r>
          </w:p>
        </w:tc>
        <w:tc>
          <w:tcPr>
            <w:tcW w:w="1134" w:type="dxa"/>
            <w:shd w:val="clear" w:color="auto" w:fill="A6A6A6" w:themeFill="background1" w:themeFillShade="A6"/>
            <w:vAlign w:val="center"/>
          </w:tcPr>
          <w:p w:rsidR="00F8366E" w:rsidRPr="009B5734" w:rsidRDefault="00F8366E" w:rsidP="00611D38">
            <w:pPr>
              <w:spacing w:before="120"/>
              <w:ind w:left="113" w:firstLine="0"/>
              <w:jc w:val="left"/>
              <w:rPr>
                <w:rFonts w:ascii="Verdana" w:hAnsi="Verdana"/>
                <w:noProof/>
                <w:sz w:val="16"/>
              </w:rPr>
            </w:pPr>
          </w:p>
        </w:tc>
      </w:tr>
      <w:tr w:rsidR="00F8366E" w:rsidRPr="009B5734" w:rsidTr="00C84A99">
        <w:trPr>
          <w:trHeight w:val="300"/>
        </w:trPr>
        <w:tc>
          <w:tcPr>
            <w:tcW w:w="2268" w:type="dxa"/>
            <w:shd w:val="clear" w:color="auto" w:fill="F2F2F2" w:themeFill="background1" w:themeFillShade="F2"/>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0000"/>
                <w:sz w:val="16"/>
              </w:rPr>
              <w:t>Business substantive compliance costs</w:t>
            </w:r>
          </w:p>
        </w:tc>
        <w:tc>
          <w:tcPr>
            <w:tcW w:w="1346"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p>
        </w:tc>
        <w:tc>
          <w:tcPr>
            <w:tcW w:w="4961"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sz w:val="16"/>
              </w:rPr>
              <w:t xml:space="preserve">Businesses will incur direct costs redesigning products and procedures to ensure they comply with the </w:t>
            </w:r>
            <w:r w:rsidRPr="009B5734">
              <w:rPr>
                <w:rFonts w:ascii="Verdana" w:hAnsi="Verdana"/>
                <w:noProof/>
                <w:sz w:val="16"/>
                <w:szCs w:val="18"/>
              </w:rPr>
              <w:t>measures</w:t>
            </w:r>
            <w:r w:rsidRPr="009B5734">
              <w:rPr>
                <w:rFonts w:ascii="Verdana" w:hAnsi="Verdana"/>
                <w:noProof/>
                <w:sz w:val="16"/>
              </w:rPr>
              <w:t xml:space="preserve"> related to premature/planned obsolescence and to the criteria for logos. These costs may vary by option. </w:t>
            </w:r>
          </w:p>
        </w:tc>
        <w:tc>
          <w:tcPr>
            <w:tcW w:w="1134" w:type="dxa"/>
            <w:shd w:val="clear" w:color="auto" w:fill="D6E3BC" w:themeFill="accent3" w:themeFillTint="66"/>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color w:val="002395"/>
                <w:sz w:val="24"/>
              </w:rPr>
              <w:sym w:font="Wingdings" w:char="F0FE"/>
            </w:r>
          </w:p>
        </w:tc>
      </w:tr>
      <w:tr w:rsidR="00F8366E" w:rsidRPr="009B5734" w:rsidTr="00C84A99">
        <w:trPr>
          <w:trHeight w:val="300"/>
        </w:trPr>
        <w:tc>
          <w:tcPr>
            <w:tcW w:w="2268" w:type="dxa"/>
            <w:shd w:val="clear" w:color="auto" w:fill="F2F2F2" w:themeFill="background1" w:themeFillShade="F2"/>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0000"/>
                <w:sz w:val="16"/>
              </w:rPr>
              <w:t>Business administrative burden</w:t>
            </w:r>
          </w:p>
        </w:tc>
        <w:tc>
          <w:tcPr>
            <w:tcW w:w="1346"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p>
        </w:tc>
        <w:tc>
          <w:tcPr>
            <w:tcW w:w="4961"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Verdana" w:hAnsi="Verdana"/>
                <w:noProof/>
                <w:sz w:val="16"/>
              </w:rPr>
              <w:t>The effectiveness of the options will depend on the transfer of information between the authorities, businesses and consumers. This may require substantial effort and time – i.e</w:t>
            </w:r>
            <w:r w:rsidRPr="009B5734">
              <w:rPr>
                <w:rFonts w:ascii="Verdana" w:hAnsi="Verdana"/>
                <w:noProof/>
                <w:sz w:val="16"/>
                <w:szCs w:val="18"/>
              </w:rPr>
              <w:t>.,</w:t>
            </w:r>
            <w:r w:rsidRPr="009B5734">
              <w:rPr>
                <w:rFonts w:ascii="Verdana" w:hAnsi="Verdana"/>
                <w:noProof/>
                <w:sz w:val="16"/>
              </w:rPr>
              <w:t xml:space="preserve"> from having to understand the rules, formulate appropriate responses, and monitor and report on progress. This could potentially result in important administrative burdens for businesses.</w:t>
            </w:r>
          </w:p>
        </w:tc>
        <w:tc>
          <w:tcPr>
            <w:tcW w:w="1134" w:type="dxa"/>
            <w:shd w:val="clear" w:color="auto" w:fill="D6E3BC" w:themeFill="accent3" w:themeFillTint="66"/>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color w:val="002395"/>
                <w:sz w:val="24"/>
              </w:rPr>
              <w:sym w:font="Wingdings" w:char="F0FE"/>
            </w:r>
          </w:p>
        </w:tc>
      </w:tr>
      <w:tr w:rsidR="00F8366E" w:rsidRPr="009B5734" w:rsidTr="00C84A99">
        <w:trPr>
          <w:trHeight w:val="300"/>
        </w:trPr>
        <w:tc>
          <w:tcPr>
            <w:tcW w:w="2268"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0000"/>
                <w:sz w:val="16"/>
              </w:rPr>
            </w:pPr>
            <w:r w:rsidRPr="009B5734">
              <w:rPr>
                <w:rFonts w:ascii="Verdana" w:hAnsi="Verdana"/>
                <w:noProof/>
                <w:color w:val="000000"/>
                <w:sz w:val="16"/>
              </w:rPr>
              <w:t>Costs for public authorities</w:t>
            </w:r>
          </w:p>
        </w:tc>
        <w:tc>
          <w:tcPr>
            <w:tcW w:w="1346"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p>
        </w:tc>
        <w:tc>
          <w:tcPr>
            <w:tcW w:w="4961"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sz w:val="16"/>
              </w:rPr>
              <w:t xml:space="preserve">Public authorities will have to monitor and enforce the </w:t>
            </w:r>
            <w:r w:rsidRPr="009B5734">
              <w:rPr>
                <w:rFonts w:ascii="Verdana" w:hAnsi="Verdana"/>
                <w:noProof/>
                <w:sz w:val="16"/>
                <w:szCs w:val="18"/>
              </w:rPr>
              <w:t>measures</w:t>
            </w:r>
            <w:r w:rsidRPr="009B5734">
              <w:rPr>
                <w:rFonts w:ascii="Verdana" w:hAnsi="Verdana"/>
                <w:noProof/>
                <w:sz w:val="16"/>
              </w:rPr>
              <w:t xml:space="preserve"> as well as handle specific cases of non-compliance. These actions will likely impose certain costs on public authorities.</w:t>
            </w:r>
          </w:p>
        </w:tc>
        <w:tc>
          <w:tcPr>
            <w:tcW w:w="1134" w:type="dxa"/>
            <w:shd w:val="clear" w:color="auto" w:fill="D6E3BC" w:themeFill="accent3" w:themeFillTint="66"/>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color w:val="002395"/>
                <w:sz w:val="24"/>
              </w:rPr>
              <w:sym w:font="Wingdings" w:char="F0FE"/>
            </w:r>
          </w:p>
        </w:tc>
      </w:tr>
      <w:tr w:rsidR="00F8366E" w:rsidRPr="009B5734" w:rsidTr="00C84A99">
        <w:trPr>
          <w:trHeight w:val="310"/>
        </w:trPr>
        <w:tc>
          <w:tcPr>
            <w:tcW w:w="2268" w:type="dxa"/>
            <w:shd w:val="clear" w:color="auto" w:fill="F2F2F2" w:themeFill="background1" w:themeFillShade="F2"/>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0000"/>
                <w:sz w:val="16"/>
              </w:rPr>
              <w:t>Consumer detriment</w:t>
            </w:r>
          </w:p>
        </w:tc>
        <w:tc>
          <w:tcPr>
            <w:tcW w:w="1346"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2395"/>
                <w:sz w:val="24"/>
              </w:rPr>
              <w:sym w:font="Wingdings" w:char="F0FE"/>
            </w:r>
          </w:p>
        </w:tc>
        <w:tc>
          <w:tcPr>
            <w:tcW w:w="4961"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sz w:val="16"/>
              </w:rPr>
              <w:t>Some options will contribute to a reduction in consumer detriment, as currently experienced by many consumers owing to sub-optimal choices being made and/ or the early failure of products.</w:t>
            </w:r>
          </w:p>
        </w:tc>
        <w:tc>
          <w:tcPr>
            <w:tcW w:w="1134" w:type="dxa"/>
            <w:shd w:val="clear" w:color="auto" w:fill="D6E3BC" w:themeFill="accent3" w:themeFillTint="66"/>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color w:val="002395"/>
                <w:sz w:val="24"/>
              </w:rPr>
              <w:sym w:font="Wingdings" w:char="F0FE"/>
            </w:r>
          </w:p>
        </w:tc>
      </w:tr>
      <w:tr w:rsidR="00F8366E" w:rsidRPr="009B5734" w:rsidTr="00C84A99">
        <w:trPr>
          <w:trHeight w:val="300"/>
        </w:trPr>
        <w:tc>
          <w:tcPr>
            <w:tcW w:w="2268" w:type="dxa"/>
            <w:shd w:val="clear" w:color="auto" w:fill="F2F2F2" w:themeFill="background1" w:themeFillShade="F2"/>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0000"/>
                <w:sz w:val="16"/>
              </w:rPr>
              <w:t>Consumer prices and choices</w:t>
            </w:r>
          </w:p>
        </w:tc>
        <w:tc>
          <w:tcPr>
            <w:tcW w:w="1346"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p>
        </w:tc>
        <w:tc>
          <w:tcPr>
            <w:tcW w:w="4961"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sz w:val="16"/>
              </w:rPr>
              <w:t>The options may have an impact on product availability, prices and, ultimately, the volume of sales.</w:t>
            </w:r>
          </w:p>
        </w:tc>
        <w:tc>
          <w:tcPr>
            <w:tcW w:w="1134" w:type="dxa"/>
            <w:shd w:val="clear" w:color="auto" w:fill="D6E3BC" w:themeFill="accent3" w:themeFillTint="66"/>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color w:val="002395"/>
                <w:sz w:val="24"/>
              </w:rPr>
              <w:sym w:font="Wingdings" w:char="F0FE"/>
            </w:r>
          </w:p>
        </w:tc>
      </w:tr>
      <w:tr w:rsidR="00F8366E" w:rsidRPr="009B5734" w:rsidTr="00C84A99">
        <w:trPr>
          <w:trHeight w:val="310"/>
        </w:trPr>
        <w:tc>
          <w:tcPr>
            <w:tcW w:w="2268" w:type="dxa"/>
            <w:shd w:val="clear" w:color="auto" w:fill="F2F2F2" w:themeFill="background1" w:themeFillShade="F2"/>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0000"/>
                <w:sz w:val="16"/>
              </w:rPr>
              <w:t>Consumer decision making process</w:t>
            </w:r>
          </w:p>
        </w:tc>
        <w:tc>
          <w:tcPr>
            <w:tcW w:w="1346"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Verdana" w:hAnsi="Verdana"/>
                <w:noProof/>
                <w:color w:val="002395"/>
                <w:sz w:val="24"/>
              </w:rPr>
              <w:sym w:font="Wingdings" w:char="F0FE"/>
            </w:r>
          </w:p>
        </w:tc>
        <w:tc>
          <w:tcPr>
            <w:tcW w:w="4961"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Verdana" w:hAnsi="Verdana"/>
                <w:noProof/>
                <w:sz w:val="16"/>
              </w:rPr>
              <w:t>The options will likely improve the availability of information to consumers, reduce information asymmetries and therefore contribute to enhancing consumers’ decision-making process. Consideration will however be given to the potential negatives effects of providing too much information which could lead to an information overload and, thus, increased confusion among consumers.</w:t>
            </w:r>
          </w:p>
        </w:tc>
        <w:tc>
          <w:tcPr>
            <w:tcW w:w="1134" w:type="dxa"/>
            <w:shd w:val="clear" w:color="auto" w:fill="D6E3BC" w:themeFill="accent3" w:themeFillTint="66"/>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color w:val="002395"/>
                <w:sz w:val="24"/>
              </w:rPr>
              <w:sym w:font="Wingdings" w:char="F0FE"/>
            </w:r>
          </w:p>
        </w:tc>
      </w:tr>
      <w:tr w:rsidR="00F8366E" w:rsidRPr="009B5734" w:rsidTr="00C84A99">
        <w:trPr>
          <w:trHeight w:val="300"/>
        </w:trPr>
        <w:tc>
          <w:tcPr>
            <w:tcW w:w="2268" w:type="dxa"/>
            <w:shd w:val="clear" w:color="auto" w:fill="DBE5F1" w:themeFill="accent1" w:themeFillTint="33"/>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b/>
                <w:noProof/>
                <w:color w:val="000000"/>
                <w:sz w:val="16"/>
              </w:rPr>
            </w:pPr>
            <w:r w:rsidRPr="009B5734">
              <w:rPr>
                <w:rFonts w:ascii="Verdana" w:hAnsi="Verdana"/>
                <w:b/>
                <w:noProof/>
                <w:color w:val="000000"/>
                <w:sz w:val="16"/>
              </w:rPr>
              <w:t>Social Impacts</w:t>
            </w:r>
          </w:p>
        </w:tc>
        <w:tc>
          <w:tcPr>
            <w:tcW w:w="1346" w:type="dxa"/>
            <w:shd w:val="clear" w:color="auto" w:fill="DBE5F1" w:themeFill="accent1" w:themeFillTint="33"/>
            <w:tcMar>
              <w:top w:w="15" w:type="dxa"/>
              <w:left w:w="15" w:type="dxa"/>
              <w:bottom w:w="0" w:type="dxa"/>
              <w:right w:w="15" w:type="dxa"/>
            </w:tcMar>
            <w:vAlign w:val="center"/>
          </w:tcPr>
          <w:p w:rsidR="00F8366E" w:rsidRPr="009B5734" w:rsidRDefault="00F8366E" w:rsidP="00611D38">
            <w:pPr>
              <w:spacing w:before="120"/>
              <w:ind w:left="113" w:firstLine="0"/>
              <w:jc w:val="left"/>
              <w:rPr>
                <w:rFonts w:ascii="Arial" w:hAnsi="Arial"/>
                <w:b/>
                <w:i/>
                <w:noProof/>
                <w:color w:val="1F497D" w:themeColor="text2"/>
                <w:sz w:val="20"/>
              </w:rPr>
            </w:pPr>
          </w:p>
        </w:tc>
        <w:tc>
          <w:tcPr>
            <w:tcW w:w="1347" w:type="dxa"/>
            <w:shd w:val="clear" w:color="auto" w:fill="DBE5F1" w:themeFill="accent1" w:themeFillTint="33"/>
            <w:tcMar>
              <w:top w:w="15" w:type="dxa"/>
              <w:left w:w="15" w:type="dxa"/>
              <w:bottom w:w="0" w:type="dxa"/>
              <w:right w:w="15" w:type="dxa"/>
            </w:tcMar>
            <w:vAlign w:val="center"/>
          </w:tcPr>
          <w:p w:rsidR="00F8366E" w:rsidRPr="009B5734" w:rsidRDefault="00F8366E" w:rsidP="00611D38">
            <w:pPr>
              <w:spacing w:before="120"/>
              <w:ind w:left="113" w:firstLine="0"/>
              <w:jc w:val="left"/>
              <w:rPr>
                <w:rFonts w:ascii="Arial" w:hAnsi="Arial"/>
                <w:b/>
                <w:i/>
                <w:noProof/>
                <w:color w:val="1F497D" w:themeColor="text2"/>
                <w:sz w:val="20"/>
              </w:rPr>
            </w:pPr>
          </w:p>
        </w:tc>
        <w:tc>
          <w:tcPr>
            <w:tcW w:w="1347" w:type="dxa"/>
            <w:shd w:val="clear" w:color="auto" w:fill="DBE5F1" w:themeFill="accent1" w:themeFillTint="33"/>
            <w:vAlign w:val="center"/>
          </w:tcPr>
          <w:p w:rsidR="00F8366E" w:rsidRPr="009B5734" w:rsidRDefault="00F8366E" w:rsidP="00611D38">
            <w:pPr>
              <w:spacing w:before="120"/>
              <w:ind w:left="113" w:firstLine="0"/>
              <w:jc w:val="left"/>
              <w:rPr>
                <w:rFonts w:ascii="Arial" w:hAnsi="Arial"/>
                <w:b/>
                <w:i/>
                <w:noProof/>
                <w:color w:val="1F497D" w:themeColor="text2"/>
                <w:sz w:val="20"/>
              </w:rPr>
            </w:pPr>
          </w:p>
        </w:tc>
        <w:tc>
          <w:tcPr>
            <w:tcW w:w="1347" w:type="dxa"/>
            <w:shd w:val="clear" w:color="auto" w:fill="DBE5F1" w:themeFill="accent1" w:themeFillTint="33"/>
            <w:tcMar>
              <w:top w:w="15" w:type="dxa"/>
              <w:left w:w="15" w:type="dxa"/>
              <w:bottom w:w="0" w:type="dxa"/>
              <w:right w:w="15" w:type="dxa"/>
            </w:tcMar>
            <w:vAlign w:val="center"/>
          </w:tcPr>
          <w:p w:rsidR="00F8366E" w:rsidRPr="009B5734" w:rsidRDefault="00F8366E" w:rsidP="00611D38">
            <w:pPr>
              <w:spacing w:before="120"/>
              <w:ind w:left="113" w:firstLine="0"/>
              <w:jc w:val="left"/>
              <w:rPr>
                <w:rFonts w:ascii="Wingdings" w:hAnsi="Wingdings"/>
                <w:b/>
                <w:noProof/>
                <w:color w:val="002395"/>
                <w:sz w:val="16"/>
              </w:rPr>
            </w:pPr>
          </w:p>
        </w:tc>
        <w:tc>
          <w:tcPr>
            <w:tcW w:w="4961" w:type="dxa"/>
            <w:shd w:val="clear" w:color="auto" w:fill="DBE5F1" w:themeFill="accent1" w:themeFillTint="33"/>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b/>
                <w:noProof/>
                <w:sz w:val="16"/>
              </w:rPr>
            </w:pPr>
          </w:p>
        </w:tc>
        <w:tc>
          <w:tcPr>
            <w:tcW w:w="1134" w:type="dxa"/>
            <w:tcBorders>
              <w:bottom w:val="single" w:sz="4" w:space="0" w:color="auto"/>
            </w:tcBorders>
            <w:shd w:val="clear" w:color="auto" w:fill="DBE5F1" w:themeFill="accent1" w:themeFillTint="33"/>
            <w:vAlign w:val="center"/>
          </w:tcPr>
          <w:p w:rsidR="00F8366E" w:rsidRPr="009B5734" w:rsidRDefault="00F8366E" w:rsidP="00611D38">
            <w:pPr>
              <w:spacing w:before="120"/>
              <w:ind w:left="113" w:firstLine="0"/>
              <w:jc w:val="left"/>
              <w:rPr>
                <w:rFonts w:ascii="Verdana" w:hAnsi="Verdana"/>
                <w:b/>
                <w:noProof/>
                <w:sz w:val="16"/>
              </w:rPr>
            </w:pPr>
          </w:p>
        </w:tc>
      </w:tr>
      <w:tr w:rsidR="00F8366E" w:rsidRPr="009B5734" w:rsidTr="00C84A99">
        <w:trPr>
          <w:trHeight w:val="300"/>
        </w:trPr>
        <w:tc>
          <w:tcPr>
            <w:tcW w:w="2268" w:type="dxa"/>
            <w:shd w:val="clear" w:color="auto" w:fill="F2F2F2" w:themeFill="background1" w:themeFillShade="F2"/>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0000"/>
                <w:sz w:val="16"/>
              </w:rPr>
              <w:t>Employment</w:t>
            </w:r>
          </w:p>
        </w:tc>
        <w:tc>
          <w:tcPr>
            <w:tcW w:w="1346"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p>
        </w:tc>
        <w:tc>
          <w:tcPr>
            <w:tcW w:w="4961"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sz w:val="16"/>
              </w:rPr>
              <w:t xml:space="preserve">Enhancing employment is a key policy priority for the EU. </w:t>
            </w:r>
            <w:r w:rsidRPr="009B5734">
              <w:rPr>
                <w:rFonts w:ascii="Verdana" w:hAnsi="Verdana"/>
                <w:noProof/>
                <w:sz w:val="16"/>
                <w:szCs w:val="18"/>
              </w:rPr>
              <w:t xml:space="preserve">No evidence was found of an immediate effect of any of the proposed measures on employment. Jobs will potentially be impacted indirectly through changes in business costs, competitiveness and investment. </w:t>
            </w:r>
            <w:bookmarkStart w:id="560" w:name="_Hlk59477278"/>
            <w:r w:rsidRPr="009B5734">
              <w:rPr>
                <w:rFonts w:ascii="Verdana" w:hAnsi="Verdana"/>
                <w:noProof/>
                <w:sz w:val="16"/>
                <w:szCs w:val="18"/>
              </w:rPr>
              <w:t>Cost</w:t>
            </w:r>
            <w:r w:rsidRPr="009B5734">
              <w:rPr>
                <w:rFonts w:ascii="Verdana" w:hAnsi="Verdana"/>
                <w:noProof/>
                <w:sz w:val="16"/>
              </w:rPr>
              <w:t xml:space="preserve"> increase </w:t>
            </w:r>
            <w:r w:rsidRPr="009B5734">
              <w:rPr>
                <w:rFonts w:ascii="Verdana" w:hAnsi="Verdana"/>
                <w:noProof/>
                <w:sz w:val="16"/>
                <w:szCs w:val="18"/>
              </w:rPr>
              <w:t xml:space="preserve">may </w:t>
            </w:r>
            <w:r w:rsidRPr="009B5734">
              <w:rPr>
                <w:rFonts w:ascii="Verdana" w:hAnsi="Verdana"/>
                <w:noProof/>
                <w:sz w:val="16"/>
              </w:rPr>
              <w:t xml:space="preserve">translate into some job losses but </w:t>
            </w:r>
            <w:r w:rsidRPr="009B5734">
              <w:rPr>
                <w:rFonts w:ascii="Verdana" w:hAnsi="Verdana"/>
                <w:noProof/>
                <w:sz w:val="16"/>
                <w:szCs w:val="18"/>
              </w:rPr>
              <w:t>that this</w:t>
            </w:r>
            <w:r w:rsidRPr="009B5734">
              <w:rPr>
                <w:rFonts w:ascii="Verdana" w:hAnsi="Verdana"/>
                <w:noProof/>
                <w:sz w:val="16"/>
              </w:rPr>
              <w:t xml:space="preserve"> is hard to quantify</w:t>
            </w:r>
            <w:r w:rsidRPr="009B5734">
              <w:rPr>
                <w:rFonts w:ascii="Verdana" w:hAnsi="Verdana"/>
                <w:noProof/>
                <w:sz w:val="16"/>
                <w:szCs w:val="18"/>
              </w:rPr>
              <w:t xml:space="preserve"> and in</w:t>
            </w:r>
            <w:r w:rsidRPr="009B5734">
              <w:rPr>
                <w:rFonts w:ascii="Verdana" w:hAnsi="Verdana"/>
                <w:noProof/>
                <w:sz w:val="16"/>
              </w:rPr>
              <w:t xml:space="preserve"> addition, there may be a positive job impact due to the increase in consumer confidence and trust as well as an increased level playing field </w:t>
            </w:r>
            <w:r w:rsidRPr="009B5734">
              <w:rPr>
                <w:rFonts w:ascii="Verdana" w:hAnsi="Verdana"/>
                <w:noProof/>
                <w:sz w:val="16"/>
                <w:szCs w:val="18"/>
              </w:rPr>
              <w:t>(all leading</w:t>
            </w:r>
            <w:r w:rsidRPr="009B5734">
              <w:rPr>
                <w:rFonts w:ascii="Verdana" w:hAnsi="Verdana"/>
                <w:noProof/>
                <w:sz w:val="16"/>
              </w:rPr>
              <w:t xml:space="preserve"> to less transaction costs and an increase of allocative efficiency as untrustworthy companies and practices are penalised</w:t>
            </w:r>
            <w:r w:rsidRPr="009B5734">
              <w:rPr>
                <w:rFonts w:ascii="Verdana" w:hAnsi="Verdana"/>
                <w:noProof/>
                <w:sz w:val="16"/>
                <w:szCs w:val="18"/>
              </w:rPr>
              <w:t>).</w:t>
            </w:r>
            <w:r w:rsidRPr="009B5734">
              <w:rPr>
                <w:rFonts w:ascii="Verdana" w:hAnsi="Verdana"/>
                <w:noProof/>
                <w:sz w:val="16"/>
              </w:rPr>
              <w:t xml:space="preserve"> </w:t>
            </w:r>
            <w:bookmarkEnd w:id="560"/>
          </w:p>
        </w:tc>
        <w:tc>
          <w:tcPr>
            <w:tcW w:w="1134" w:type="dxa"/>
            <w:shd w:val="clear" w:color="auto" w:fill="A6A6A6" w:themeFill="background1" w:themeFillShade="A6"/>
            <w:vAlign w:val="center"/>
          </w:tcPr>
          <w:p w:rsidR="00F8366E" w:rsidRPr="009B5734" w:rsidRDefault="00F8366E" w:rsidP="00611D38">
            <w:pPr>
              <w:spacing w:before="120"/>
              <w:ind w:left="113" w:firstLine="0"/>
              <w:jc w:val="left"/>
              <w:rPr>
                <w:rFonts w:ascii="Verdana" w:hAnsi="Verdana"/>
                <w:noProof/>
                <w:sz w:val="16"/>
              </w:rPr>
            </w:pPr>
          </w:p>
        </w:tc>
      </w:tr>
      <w:tr w:rsidR="00F8366E" w:rsidRPr="009B5734" w:rsidTr="00C84A99">
        <w:trPr>
          <w:trHeight w:val="300"/>
        </w:trPr>
        <w:tc>
          <w:tcPr>
            <w:tcW w:w="2268" w:type="dxa"/>
            <w:shd w:val="clear" w:color="auto" w:fill="F2F2F2" w:themeFill="background1" w:themeFillShade="F2"/>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0000"/>
                <w:sz w:val="16"/>
              </w:rPr>
              <w:t>Income distribution and social inclusion</w:t>
            </w:r>
          </w:p>
        </w:tc>
        <w:tc>
          <w:tcPr>
            <w:tcW w:w="1346"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p>
        </w:tc>
        <w:tc>
          <w:tcPr>
            <w:tcW w:w="4961"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sz w:val="16"/>
              </w:rPr>
              <w:t xml:space="preserve">Actions to limit premature obsolescence are expected to have a greater impact on consumers of goods of lower price ranges. On the one hand, lower-priced goods might have their lifespan increased and, hence, their life-cycle costs (for more vulnerable consumers) reduced. On the other hand, owing to their enhanced qualities, the price of these goods might increase. </w:t>
            </w:r>
          </w:p>
        </w:tc>
        <w:tc>
          <w:tcPr>
            <w:tcW w:w="1134" w:type="dxa"/>
            <w:shd w:val="clear" w:color="auto" w:fill="A6A6A6" w:themeFill="background1" w:themeFillShade="A6"/>
            <w:vAlign w:val="center"/>
          </w:tcPr>
          <w:p w:rsidR="00F8366E" w:rsidRPr="009B5734" w:rsidRDefault="00F8366E" w:rsidP="00611D38">
            <w:pPr>
              <w:spacing w:before="120"/>
              <w:ind w:left="113" w:firstLine="0"/>
              <w:jc w:val="left"/>
              <w:rPr>
                <w:rFonts w:ascii="Verdana" w:hAnsi="Verdana"/>
                <w:noProof/>
                <w:sz w:val="16"/>
              </w:rPr>
            </w:pPr>
          </w:p>
        </w:tc>
      </w:tr>
      <w:tr w:rsidR="00F8366E" w:rsidRPr="009B5734" w:rsidTr="00C84A99">
        <w:trPr>
          <w:trHeight w:val="300"/>
        </w:trPr>
        <w:tc>
          <w:tcPr>
            <w:tcW w:w="2268" w:type="dxa"/>
            <w:shd w:val="clear" w:color="auto" w:fill="F2F2F2" w:themeFill="background1" w:themeFillShade="F2"/>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0000"/>
                <w:sz w:val="16"/>
              </w:rPr>
              <w:t>Health (&amp; safety)</w:t>
            </w:r>
          </w:p>
        </w:tc>
        <w:tc>
          <w:tcPr>
            <w:tcW w:w="1346"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p>
        </w:tc>
        <w:tc>
          <w:tcPr>
            <w:tcW w:w="4961"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sz w:val="16"/>
              </w:rPr>
              <w:t xml:space="preserve">Climate change and negative environmental impacts can strongly impact people’s health. Options contributing to a reduction in the environmental impacts of consumption are expected to have a positive impact on public health. This effect will be partially covered when assessing the impact of the proposed </w:t>
            </w:r>
            <w:r w:rsidRPr="009B5734">
              <w:rPr>
                <w:rFonts w:ascii="Verdana" w:hAnsi="Verdana"/>
                <w:noProof/>
                <w:sz w:val="16"/>
                <w:szCs w:val="18"/>
              </w:rPr>
              <w:t>measures</w:t>
            </w:r>
            <w:r w:rsidRPr="009B5734">
              <w:rPr>
                <w:rFonts w:ascii="Verdana" w:hAnsi="Verdana"/>
                <w:noProof/>
                <w:sz w:val="16"/>
              </w:rPr>
              <w:t xml:space="preserve"> in the environment.</w:t>
            </w:r>
          </w:p>
        </w:tc>
        <w:tc>
          <w:tcPr>
            <w:tcW w:w="1134" w:type="dxa"/>
            <w:shd w:val="clear" w:color="auto" w:fill="A6A6A6" w:themeFill="background1" w:themeFillShade="A6"/>
            <w:vAlign w:val="center"/>
          </w:tcPr>
          <w:p w:rsidR="00F8366E" w:rsidRPr="009B5734" w:rsidRDefault="00F8366E" w:rsidP="00611D38">
            <w:pPr>
              <w:spacing w:before="120"/>
              <w:ind w:left="113" w:firstLine="0"/>
              <w:jc w:val="left"/>
              <w:rPr>
                <w:rFonts w:ascii="Verdana" w:hAnsi="Verdana"/>
                <w:noProof/>
                <w:sz w:val="16"/>
              </w:rPr>
            </w:pPr>
          </w:p>
        </w:tc>
      </w:tr>
      <w:tr w:rsidR="00F8366E" w:rsidRPr="009B5734" w:rsidTr="00C84A99">
        <w:trPr>
          <w:trHeight w:val="300"/>
        </w:trPr>
        <w:tc>
          <w:tcPr>
            <w:tcW w:w="2268" w:type="dxa"/>
            <w:shd w:val="clear" w:color="auto" w:fill="F2F2F2" w:themeFill="background1" w:themeFillShade="F2"/>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0000"/>
                <w:sz w:val="16"/>
              </w:rPr>
              <w:t>Education</w:t>
            </w:r>
          </w:p>
        </w:tc>
        <w:tc>
          <w:tcPr>
            <w:tcW w:w="1346"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p>
        </w:tc>
        <w:tc>
          <w:tcPr>
            <w:tcW w:w="4961"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sz w:val="16"/>
              </w:rPr>
              <w:t xml:space="preserve">The options are not expected to impact education; however, consumer awareness is a significant issue, particularly with respect to its role in changing consumption patterns and therefore contributing to the green transition. This potential change in consumer awareness/ education will be addressed when assessing the impacts entailed by the proposed </w:t>
            </w:r>
            <w:r w:rsidRPr="009B5734">
              <w:rPr>
                <w:rFonts w:ascii="Verdana" w:hAnsi="Verdana"/>
                <w:noProof/>
                <w:sz w:val="16"/>
                <w:szCs w:val="18"/>
              </w:rPr>
              <w:t>measures</w:t>
            </w:r>
            <w:r w:rsidRPr="009B5734">
              <w:rPr>
                <w:rFonts w:ascii="Verdana" w:hAnsi="Verdana"/>
                <w:noProof/>
                <w:sz w:val="16"/>
              </w:rPr>
              <w:t xml:space="preserve"> on consumer trust/ protection.</w:t>
            </w:r>
          </w:p>
        </w:tc>
        <w:tc>
          <w:tcPr>
            <w:tcW w:w="1134" w:type="dxa"/>
            <w:shd w:val="clear" w:color="auto" w:fill="A6A6A6" w:themeFill="background1" w:themeFillShade="A6"/>
            <w:vAlign w:val="center"/>
          </w:tcPr>
          <w:p w:rsidR="00F8366E" w:rsidRPr="009B5734" w:rsidRDefault="00F8366E" w:rsidP="00611D38">
            <w:pPr>
              <w:spacing w:before="120"/>
              <w:ind w:left="113" w:firstLine="0"/>
              <w:jc w:val="left"/>
              <w:rPr>
                <w:rFonts w:ascii="Verdana" w:hAnsi="Verdana"/>
                <w:noProof/>
                <w:sz w:val="16"/>
              </w:rPr>
            </w:pPr>
          </w:p>
        </w:tc>
      </w:tr>
      <w:tr w:rsidR="00F8366E" w:rsidRPr="009B5734" w:rsidTr="00C84A99">
        <w:trPr>
          <w:trHeight w:val="300"/>
        </w:trPr>
        <w:tc>
          <w:tcPr>
            <w:tcW w:w="2268" w:type="dxa"/>
            <w:shd w:val="clear" w:color="auto" w:fill="F2F2F2" w:themeFill="background1" w:themeFillShade="F2"/>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0000"/>
                <w:sz w:val="16"/>
              </w:rPr>
              <w:t>Governance &amp; good administration</w:t>
            </w:r>
          </w:p>
        </w:tc>
        <w:tc>
          <w:tcPr>
            <w:tcW w:w="1346"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p>
        </w:tc>
        <w:tc>
          <w:tcPr>
            <w:tcW w:w="4961"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sz w:val="16"/>
              </w:rPr>
              <w:t>This is closely related to the issue of administrative burden, which is listed under economic impacts above and can be considered alongside that issue.</w:t>
            </w:r>
          </w:p>
        </w:tc>
        <w:tc>
          <w:tcPr>
            <w:tcW w:w="1134" w:type="dxa"/>
            <w:shd w:val="clear" w:color="auto" w:fill="A6A6A6" w:themeFill="background1" w:themeFillShade="A6"/>
            <w:vAlign w:val="center"/>
          </w:tcPr>
          <w:p w:rsidR="00F8366E" w:rsidRPr="009B5734" w:rsidRDefault="00F8366E" w:rsidP="00611D38">
            <w:pPr>
              <w:spacing w:before="120"/>
              <w:ind w:left="113" w:firstLine="0"/>
              <w:jc w:val="left"/>
              <w:rPr>
                <w:rFonts w:ascii="Verdana" w:hAnsi="Verdana"/>
                <w:noProof/>
                <w:sz w:val="16"/>
              </w:rPr>
            </w:pPr>
          </w:p>
        </w:tc>
      </w:tr>
      <w:tr w:rsidR="00F8366E" w:rsidRPr="009B5734" w:rsidTr="00C84A99">
        <w:trPr>
          <w:trHeight w:val="570"/>
        </w:trPr>
        <w:tc>
          <w:tcPr>
            <w:tcW w:w="2268" w:type="dxa"/>
            <w:shd w:val="clear" w:color="auto" w:fill="F2F2F2" w:themeFill="background1" w:themeFillShade="F2"/>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0000"/>
                <w:sz w:val="16"/>
              </w:rPr>
              <w:t>Social protection, health and educational systems</w:t>
            </w:r>
          </w:p>
        </w:tc>
        <w:tc>
          <w:tcPr>
            <w:tcW w:w="1346"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p>
        </w:tc>
        <w:tc>
          <w:tcPr>
            <w:tcW w:w="1347" w:type="dxa"/>
            <w:shd w:val="clear" w:color="auto" w:fill="F2F2F2" w:themeFill="background1" w:themeFillShade="F2"/>
            <w:vAlign w:val="center"/>
          </w:tcPr>
          <w:p w:rsidR="00F8366E" w:rsidRPr="009B5734" w:rsidRDefault="00F8366E" w:rsidP="00611D38">
            <w:pPr>
              <w:spacing w:before="120"/>
              <w:ind w:left="113" w:firstLine="0"/>
              <w:jc w:val="left"/>
              <w:rPr>
                <w:rFonts w:ascii="Wingdings" w:hAnsi="Wingdings"/>
                <w:noProof/>
                <w:color w:val="002395"/>
                <w:sz w:val="16"/>
              </w:rPr>
            </w:pP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p>
        </w:tc>
        <w:tc>
          <w:tcPr>
            <w:tcW w:w="4961"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sz w:val="16"/>
              </w:rPr>
              <w:t>No distinct issues related to social protection, health and educational systems were identified, other than impacts on consumer health and awareness (as identified above).</w:t>
            </w:r>
          </w:p>
        </w:tc>
        <w:tc>
          <w:tcPr>
            <w:tcW w:w="1134" w:type="dxa"/>
            <w:shd w:val="clear" w:color="auto" w:fill="A6A6A6" w:themeFill="background1" w:themeFillShade="A6"/>
            <w:vAlign w:val="center"/>
          </w:tcPr>
          <w:p w:rsidR="00F8366E" w:rsidRPr="009B5734" w:rsidRDefault="00F8366E" w:rsidP="00611D38">
            <w:pPr>
              <w:spacing w:before="120"/>
              <w:ind w:left="113" w:firstLine="0"/>
              <w:jc w:val="left"/>
              <w:rPr>
                <w:rFonts w:ascii="Verdana" w:hAnsi="Verdana"/>
                <w:noProof/>
                <w:sz w:val="16"/>
              </w:rPr>
            </w:pPr>
          </w:p>
        </w:tc>
      </w:tr>
      <w:tr w:rsidR="00F8366E" w:rsidRPr="009B5734" w:rsidTr="00C84A99">
        <w:trPr>
          <w:trHeight w:val="300"/>
        </w:trPr>
        <w:tc>
          <w:tcPr>
            <w:tcW w:w="2268" w:type="dxa"/>
            <w:shd w:val="clear" w:color="auto" w:fill="F2F2F2" w:themeFill="background1" w:themeFillShade="F2"/>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0000"/>
                <w:sz w:val="16"/>
              </w:rPr>
              <w:t>Cultural heritage</w:t>
            </w:r>
          </w:p>
        </w:tc>
        <w:tc>
          <w:tcPr>
            <w:tcW w:w="1346"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p>
        </w:tc>
        <w:tc>
          <w:tcPr>
            <w:tcW w:w="1347" w:type="dxa"/>
            <w:shd w:val="clear" w:color="auto" w:fill="F2F2F2" w:themeFill="background1" w:themeFillShade="F2"/>
            <w:vAlign w:val="center"/>
          </w:tcPr>
          <w:p w:rsidR="00F8366E" w:rsidRPr="009B5734" w:rsidRDefault="00F8366E" w:rsidP="00611D38">
            <w:pPr>
              <w:spacing w:before="120"/>
              <w:ind w:left="113" w:firstLine="0"/>
              <w:jc w:val="left"/>
              <w:rPr>
                <w:rFonts w:ascii="Wingdings" w:hAnsi="Wingdings"/>
                <w:noProof/>
                <w:color w:val="002395"/>
                <w:sz w:val="16"/>
              </w:rPr>
            </w:pP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p>
        </w:tc>
        <w:tc>
          <w:tcPr>
            <w:tcW w:w="4961"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sz w:val="16"/>
              </w:rPr>
              <w:t>No distinct issues related to cultural heritage were identified, other than impacts on consumer choice and awareness (as identified above).</w:t>
            </w:r>
          </w:p>
        </w:tc>
        <w:tc>
          <w:tcPr>
            <w:tcW w:w="1134" w:type="dxa"/>
            <w:shd w:val="clear" w:color="auto" w:fill="A6A6A6" w:themeFill="background1" w:themeFillShade="A6"/>
            <w:vAlign w:val="center"/>
          </w:tcPr>
          <w:p w:rsidR="00F8366E" w:rsidRPr="009B5734" w:rsidRDefault="00F8366E" w:rsidP="00611D38">
            <w:pPr>
              <w:spacing w:before="120"/>
              <w:ind w:left="113" w:firstLine="0"/>
              <w:jc w:val="left"/>
              <w:rPr>
                <w:rFonts w:ascii="Verdana" w:hAnsi="Verdana"/>
                <w:noProof/>
                <w:sz w:val="16"/>
              </w:rPr>
            </w:pPr>
          </w:p>
        </w:tc>
      </w:tr>
      <w:tr w:rsidR="00F8366E" w:rsidRPr="009B5734" w:rsidTr="00C84A99">
        <w:trPr>
          <w:trHeight w:val="335"/>
        </w:trPr>
        <w:tc>
          <w:tcPr>
            <w:tcW w:w="2268" w:type="dxa"/>
            <w:shd w:val="clear" w:color="auto" w:fill="F2F2F2" w:themeFill="background1" w:themeFillShade="F2"/>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0000"/>
                <w:sz w:val="16"/>
              </w:rPr>
              <w:t>Consumer trust</w:t>
            </w:r>
          </w:p>
        </w:tc>
        <w:tc>
          <w:tcPr>
            <w:tcW w:w="1346"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2395"/>
                <w:sz w:val="24"/>
              </w:rPr>
              <w:sym w:font="Wingdings" w:char="F0FE"/>
            </w:r>
          </w:p>
        </w:tc>
        <w:tc>
          <w:tcPr>
            <w:tcW w:w="4961"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sz w:val="16"/>
              </w:rPr>
              <w:t>Some options will likely contribute to increasing consumer trust (as a result of the improved quality of the information provided and providing reassurance about the quality of the products purchased), which would help improve their subjective well-being.</w:t>
            </w:r>
          </w:p>
        </w:tc>
        <w:tc>
          <w:tcPr>
            <w:tcW w:w="1134" w:type="dxa"/>
            <w:shd w:val="clear" w:color="auto" w:fill="D6E3BC" w:themeFill="accent3" w:themeFillTint="66"/>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color w:val="002395"/>
                <w:sz w:val="24"/>
              </w:rPr>
              <w:sym w:font="Wingdings" w:char="F0FE"/>
            </w:r>
          </w:p>
        </w:tc>
      </w:tr>
      <w:tr w:rsidR="00F8366E" w:rsidRPr="009B5734" w:rsidTr="00C84A99">
        <w:trPr>
          <w:trHeight w:val="310"/>
        </w:trPr>
        <w:tc>
          <w:tcPr>
            <w:tcW w:w="2268" w:type="dxa"/>
            <w:shd w:val="clear" w:color="auto" w:fill="F2F2F2" w:themeFill="background1" w:themeFillShade="F2"/>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0000"/>
                <w:sz w:val="16"/>
              </w:rPr>
              <w:t>Consumer protection</w:t>
            </w:r>
          </w:p>
        </w:tc>
        <w:tc>
          <w:tcPr>
            <w:tcW w:w="1346"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2395"/>
                <w:sz w:val="24"/>
              </w:rPr>
              <w:sym w:font="Wingdings" w:char="F0FE"/>
            </w:r>
          </w:p>
        </w:tc>
        <w:tc>
          <w:tcPr>
            <w:tcW w:w="4961"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sz w:val="16"/>
              </w:rPr>
              <w:t>The options will contribute to strengthening consumer protection, reducing the potential for consumer harm/ detriment and leading to an overall increase in consumers’ well-being.</w:t>
            </w:r>
          </w:p>
        </w:tc>
        <w:tc>
          <w:tcPr>
            <w:tcW w:w="1134" w:type="dxa"/>
            <w:shd w:val="clear" w:color="auto" w:fill="D6E3BC" w:themeFill="accent3" w:themeFillTint="66"/>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color w:val="002395"/>
                <w:sz w:val="24"/>
              </w:rPr>
              <w:sym w:font="Wingdings" w:char="F0FE"/>
            </w:r>
          </w:p>
        </w:tc>
      </w:tr>
      <w:tr w:rsidR="00F8366E" w:rsidRPr="009B5734" w:rsidTr="00C84A99">
        <w:trPr>
          <w:trHeight w:val="300"/>
        </w:trPr>
        <w:tc>
          <w:tcPr>
            <w:tcW w:w="2268" w:type="dxa"/>
            <w:shd w:val="clear" w:color="auto" w:fill="DBE5F1" w:themeFill="accent1" w:themeFillTint="33"/>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b/>
                <w:noProof/>
                <w:color w:val="000000"/>
                <w:sz w:val="16"/>
              </w:rPr>
            </w:pPr>
            <w:r w:rsidRPr="009B5734">
              <w:rPr>
                <w:rFonts w:ascii="Verdana" w:hAnsi="Verdana"/>
                <w:b/>
                <w:noProof/>
                <w:color w:val="000000"/>
                <w:sz w:val="16"/>
              </w:rPr>
              <w:t>Environmental Impacts</w:t>
            </w:r>
          </w:p>
        </w:tc>
        <w:tc>
          <w:tcPr>
            <w:tcW w:w="1346" w:type="dxa"/>
            <w:shd w:val="clear" w:color="auto" w:fill="DBE5F1" w:themeFill="accent1" w:themeFillTint="33"/>
            <w:tcMar>
              <w:top w:w="15" w:type="dxa"/>
              <w:left w:w="15" w:type="dxa"/>
              <w:bottom w:w="0" w:type="dxa"/>
              <w:right w:w="15" w:type="dxa"/>
            </w:tcMar>
            <w:vAlign w:val="center"/>
          </w:tcPr>
          <w:p w:rsidR="00F8366E" w:rsidRPr="009B5734" w:rsidRDefault="00F8366E" w:rsidP="00611D38">
            <w:pPr>
              <w:spacing w:before="120"/>
              <w:ind w:left="113" w:firstLine="0"/>
              <w:jc w:val="left"/>
              <w:rPr>
                <w:rFonts w:ascii="Arial" w:hAnsi="Arial"/>
                <w:b/>
                <w:i/>
                <w:noProof/>
                <w:color w:val="1F497D" w:themeColor="text2"/>
                <w:sz w:val="20"/>
              </w:rPr>
            </w:pPr>
          </w:p>
        </w:tc>
        <w:tc>
          <w:tcPr>
            <w:tcW w:w="1347" w:type="dxa"/>
            <w:shd w:val="clear" w:color="auto" w:fill="DBE5F1" w:themeFill="accent1" w:themeFillTint="33"/>
            <w:tcMar>
              <w:top w:w="15" w:type="dxa"/>
              <w:left w:w="15" w:type="dxa"/>
              <w:bottom w:w="0" w:type="dxa"/>
              <w:right w:w="15" w:type="dxa"/>
            </w:tcMar>
            <w:vAlign w:val="center"/>
          </w:tcPr>
          <w:p w:rsidR="00F8366E" w:rsidRPr="009B5734" w:rsidRDefault="00F8366E" w:rsidP="00611D38">
            <w:pPr>
              <w:spacing w:before="120"/>
              <w:ind w:left="113" w:firstLine="0"/>
              <w:jc w:val="left"/>
              <w:rPr>
                <w:rFonts w:ascii="Arial" w:hAnsi="Arial"/>
                <w:b/>
                <w:i/>
                <w:noProof/>
                <w:color w:val="1F497D" w:themeColor="text2"/>
                <w:sz w:val="20"/>
              </w:rPr>
            </w:pPr>
          </w:p>
        </w:tc>
        <w:tc>
          <w:tcPr>
            <w:tcW w:w="1347" w:type="dxa"/>
            <w:shd w:val="clear" w:color="auto" w:fill="DBE5F1" w:themeFill="accent1" w:themeFillTint="33"/>
            <w:vAlign w:val="center"/>
          </w:tcPr>
          <w:p w:rsidR="00F8366E" w:rsidRPr="009B5734" w:rsidRDefault="00F8366E" w:rsidP="00611D38">
            <w:pPr>
              <w:spacing w:before="120"/>
              <w:ind w:left="113" w:firstLine="0"/>
              <w:jc w:val="left"/>
              <w:rPr>
                <w:rFonts w:ascii="Arial" w:hAnsi="Arial"/>
                <w:b/>
                <w:i/>
                <w:noProof/>
                <w:color w:val="1F497D" w:themeColor="text2"/>
                <w:sz w:val="20"/>
              </w:rPr>
            </w:pPr>
          </w:p>
        </w:tc>
        <w:tc>
          <w:tcPr>
            <w:tcW w:w="1347" w:type="dxa"/>
            <w:shd w:val="clear" w:color="auto" w:fill="DBE5F1" w:themeFill="accent1" w:themeFillTint="33"/>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b/>
                <w:noProof/>
                <w:color w:val="002395"/>
                <w:sz w:val="24"/>
              </w:rPr>
            </w:pPr>
          </w:p>
        </w:tc>
        <w:tc>
          <w:tcPr>
            <w:tcW w:w="4961" w:type="dxa"/>
            <w:shd w:val="clear" w:color="auto" w:fill="DBE5F1" w:themeFill="accent1" w:themeFillTint="33"/>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b/>
                <w:noProof/>
                <w:sz w:val="16"/>
              </w:rPr>
            </w:pPr>
          </w:p>
        </w:tc>
        <w:tc>
          <w:tcPr>
            <w:tcW w:w="1134" w:type="dxa"/>
            <w:shd w:val="clear" w:color="auto" w:fill="DBE5F1" w:themeFill="accent1" w:themeFillTint="33"/>
            <w:vAlign w:val="center"/>
          </w:tcPr>
          <w:p w:rsidR="00F8366E" w:rsidRPr="009B5734" w:rsidRDefault="00F8366E" w:rsidP="00611D38">
            <w:pPr>
              <w:spacing w:before="120"/>
              <w:ind w:left="113" w:firstLine="0"/>
              <w:jc w:val="left"/>
              <w:rPr>
                <w:rFonts w:ascii="Verdana" w:hAnsi="Verdana"/>
                <w:b/>
                <w:noProof/>
                <w:sz w:val="16"/>
              </w:rPr>
            </w:pPr>
          </w:p>
        </w:tc>
      </w:tr>
      <w:tr w:rsidR="00F8366E" w:rsidRPr="009B5734" w:rsidTr="00C84A99">
        <w:trPr>
          <w:trHeight w:val="300"/>
        </w:trPr>
        <w:tc>
          <w:tcPr>
            <w:tcW w:w="2268" w:type="dxa"/>
            <w:shd w:val="clear" w:color="auto" w:fill="F2F2F2" w:themeFill="background1" w:themeFillShade="F2"/>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0000"/>
                <w:sz w:val="16"/>
              </w:rPr>
              <w:t>Fighting climate change</w:t>
            </w:r>
          </w:p>
        </w:tc>
        <w:tc>
          <w:tcPr>
            <w:tcW w:w="1346"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sz w:val="16"/>
              </w:rPr>
            </w:pPr>
            <w:r w:rsidRPr="009B5734">
              <w:rPr>
                <w:rFonts w:ascii="Arial" w:hAnsi="Arial"/>
                <w:i/>
                <w:noProof/>
                <w:color w:val="1F497D" w:themeColor="text2"/>
                <w:sz w:val="20"/>
              </w:rPr>
              <w:t>●●●</w:t>
            </w:r>
          </w:p>
        </w:tc>
        <w:tc>
          <w:tcPr>
            <w:tcW w:w="1347" w:type="dxa"/>
            <w:shd w:val="clear" w:color="auto" w:fill="F2F2F2" w:themeFill="background1" w:themeFillShade="F2"/>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color w:val="002395"/>
                <w:sz w:val="24"/>
              </w:rPr>
              <w:sym w:font="Wingdings" w:char="F0FE"/>
            </w:r>
          </w:p>
        </w:tc>
        <w:tc>
          <w:tcPr>
            <w:tcW w:w="4961"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sz w:val="16"/>
              </w:rPr>
              <w:t>Some options will help bring about a reduction in purchase frequency, given that products will not have to be replaced frequently as before, as well as an increase in the share of the market accounted for by more environmentally- friendly products. This in turn is expected to contribute to reducing the CO2 equivalent emissions associated with consumption.</w:t>
            </w:r>
          </w:p>
        </w:tc>
        <w:tc>
          <w:tcPr>
            <w:tcW w:w="1134" w:type="dxa"/>
            <w:shd w:val="clear" w:color="auto" w:fill="D6E3BC" w:themeFill="accent3" w:themeFillTint="66"/>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color w:val="002395"/>
                <w:sz w:val="24"/>
              </w:rPr>
              <w:sym w:font="Wingdings" w:char="F0FE"/>
            </w:r>
          </w:p>
        </w:tc>
      </w:tr>
      <w:tr w:rsidR="00F8366E" w:rsidRPr="009B5734" w:rsidTr="00C84A99">
        <w:trPr>
          <w:trHeight w:val="570"/>
        </w:trPr>
        <w:tc>
          <w:tcPr>
            <w:tcW w:w="2268" w:type="dxa"/>
            <w:shd w:val="clear" w:color="auto" w:fill="F2F2F2" w:themeFill="background1" w:themeFillShade="F2"/>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0000"/>
                <w:sz w:val="16"/>
              </w:rPr>
              <w:t>Other environmental impacts including fostering the efficient use of resources (renewable &amp; non-renewable)</w:t>
            </w:r>
          </w:p>
        </w:tc>
        <w:tc>
          <w:tcPr>
            <w:tcW w:w="1346"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sz w:val="16"/>
              </w:rPr>
            </w:pPr>
            <w:r w:rsidRPr="009B5734">
              <w:rPr>
                <w:rFonts w:ascii="Arial" w:hAnsi="Arial"/>
                <w:i/>
                <w:noProof/>
                <w:color w:val="1F497D" w:themeColor="text2"/>
                <w:sz w:val="20"/>
              </w:rPr>
              <w:t>●●●</w:t>
            </w:r>
          </w:p>
        </w:tc>
        <w:tc>
          <w:tcPr>
            <w:tcW w:w="1347" w:type="dxa"/>
            <w:shd w:val="clear" w:color="auto" w:fill="F2F2F2" w:themeFill="background1" w:themeFillShade="F2"/>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color w:val="002395"/>
                <w:sz w:val="24"/>
              </w:rPr>
              <w:sym w:font="Wingdings" w:char="F0FE"/>
            </w:r>
          </w:p>
        </w:tc>
        <w:tc>
          <w:tcPr>
            <w:tcW w:w="4961"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sz w:val="16"/>
              </w:rPr>
              <w:t>Some options will help bring about a reduction in purchase frequency, given that products will not have to be replaced as frequently as before, as well as an increase in the share of the market accounted for by more environmentally- friendly products. This in turn is expected to contribute to reducing the use of resources and/or fostering a more efficient use of resources.</w:t>
            </w:r>
          </w:p>
        </w:tc>
        <w:tc>
          <w:tcPr>
            <w:tcW w:w="1134" w:type="dxa"/>
            <w:tcBorders>
              <w:bottom w:val="single" w:sz="4" w:space="0" w:color="auto"/>
            </w:tcBorders>
            <w:shd w:val="clear" w:color="auto" w:fill="D6E3BC" w:themeFill="accent3" w:themeFillTint="66"/>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color w:val="002395"/>
                <w:sz w:val="24"/>
              </w:rPr>
              <w:sym w:font="Wingdings" w:char="F0FE"/>
            </w:r>
          </w:p>
        </w:tc>
      </w:tr>
      <w:tr w:rsidR="00F8366E" w:rsidRPr="009B5734" w:rsidTr="00C84A99">
        <w:trPr>
          <w:trHeight w:val="570"/>
        </w:trPr>
        <w:tc>
          <w:tcPr>
            <w:tcW w:w="2268" w:type="dxa"/>
            <w:shd w:val="clear" w:color="auto" w:fill="F2F2F2" w:themeFill="background1" w:themeFillShade="F2"/>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0000"/>
                <w:sz w:val="16"/>
              </w:rPr>
              <w:t>Protecting biodiversity, flora, fauna and landscapes</w:t>
            </w:r>
          </w:p>
        </w:tc>
        <w:tc>
          <w:tcPr>
            <w:tcW w:w="1346"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sz w:val="16"/>
              </w:rPr>
            </w:pPr>
            <w:r w:rsidRPr="009B5734">
              <w:rPr>
                <w:rFonts w:ascii="Arial" w:hAnsi="Arial"/>
                <w:i/>
                <w:noProof/>
                <w:color w:val="1F497D" w:themeColor="text2"/>
                <w:sz w:val="20"/>
              </w:rPr>
              <w:t>●</w:t>
            </w:r>
          </w:p>
        </w:tc>
        <w:tc>
          <w:tcPr>
            <w:tcW w:w="1347" w:type="dxa"/>
            <w:shd w:val="clear" w:color="auto" w:fill="F2F2F2" w:themeFill="background1" w:themeFillShade="F2"/>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sz w:val="16"/>
              </w:rPr>
            </w:pPr>
          </w:p>
        </w:tc>
        <w:tc>
          <w:tcPr>
            <w:tcW w:w="4961"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sz w:val="16"/>
              </w:rPr>
              <w:t>Some options will help bring about a reduction in purchase frequency, given that products will not have to be replaced as frequently as before, as well as an increase in the share of the market accounted for by more environmentally- friendly products. This in turn is expected to contribute to protecting biodiversity, flora, fauna and landscapes.</w:t>
            </w:r>
          </w:p>
        </w:tc>
        <w:tc>
          <w:tcPr>
            <w:tcW w:w="1134" w:type="dxa"/>
            <w:shd w:val="clear" w:color="auto" w:fill="A6A6A6" w:themeFill="background1" w:themeFillShade="A6"/>
            <w:vAlign w:val="center"/>
          </w:tcPr>
          <w:p w:rsidR="00F8366E" w:rsidRPr="009B5734" w:rsidRDefault="00F8366E" w:rsidP="00611D38">
            <w:pPr>
              <w:spacing w:before="120"/>
              <w:ind w:left="113" w:firstLine="0"/>
              <w:jc w:val="left"/>
              <w:rPr>
                <w:rFonts w:ascii="Verdana" w:hAnsi="Verdana"/>
                <w:noProof/>
                <w:sz w:val="16"/>
              </w:rPr>
            </w:pPr>
          </w:p>
        </w:tc>
      </w:tr>
      <w:tr w:rsidR="00F8366E" w:rsidRPr="009B5734" w:rsidTr="00C84A99">
        <w:trPr>
          <w:trHeight w:val="562"/>
        </w:trPr>
        <w:tc>
          <w:tcPr>
            <w:tcW w:w="2268" w:type="dxa"/>
            <w:shd w:val="clear" w:color="auto" w:fill="F2F2F2" w:themeFill="background1" w:themeFillShade="F2"/>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0000"/>
                <w:sz w:val="16"/>
              </w:rPr>
              <w:t>Minimizing environmental risks</w:t>
            </w:r>
          </w:p>
        </w:tc>
        <w:tc>
          <w:tcPr>
            <w:tcW w:w="1346"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sz w:val="16"/>
              </w:rPr>
            </w:pP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sz w:val="16"/>
              </w:rPr>
            </w:pPr>
          </w:p>
        </w:tc>
        <w:tc>
          <w:tcPr>
            <w:tcW w:w="1347" w:type="dxa"/>
            <w:shd w:val="clear" w:color="auto" w:fill="F2F2F2" w:themeFill="background1" w:themeFillShade="F2"/>
          </w:tcPr>
          <w:p w:rsidR="00F8366E" w:rsidRPr="009B5734" w:rsidRDefault="00F8366E" w:rsidP="00611D38">
            <w:pPr>
              <w:spacing w:before="120"/>
              <w:ind w:left="113" w:firstLine="0"/>
              <w:jc w:val="left"/>
              <w:rPr>
                <w:rFonts w:ascii="Verdana" w:hAnsi="Verdana"/>
                <w:noProof/>
                <w:sz w:val="16"/>
              </w:rPr>
            </w:pPr>
          </w:p>
        </w:tc>
        <w:tc>
          <w:tcPr>
            <w:tcW w:w="1347"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sz w:val="16"/>
              </w:rPr>
            </w:pPr>
          </w:p>
        </w:tc>
        <w:tc>
          <w:tcPr>
            <w:tcW w:w="4961"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sz w:val="16"/>
              </w:rPr>
              <w:t>Principal environmental risks relate to climate change and efficient use of resources – as identified above.</w:t>
            </w:r>
          </w:p>
        </w:tc>
        <w:tc>
          <w:tcPr>
            <w:tcW w:w="1134" w:type="dxa"/>
            <w:shd w:val="clear" w:color="auto" w:fill="A6A6A6" w:themeFill="background1" w:themeFillShade="A6"/>
            <w:vAlign w:val="center"/>
          </w:tcPr>
          <w:p w:rsidR="00F8366E" w:rsidRPr="009B5734" w:rsidRDefault="00F8366E" w:rsidP="00611D38">
            <w:pPr>
              <w:spacing w:before="120"/>
              <w:ind w:left="113" w:firstLine="0"/>
              <w:jc w:val="left"/>
              <w:rPr>
                <w:rFonts w:ascii="Verdana" w:hAnsi="Verdana"/>
                <w:noProof/>
                <w:sz w:val="16"/>
              </w:rPr>
            </w:pPr>
          </w:p>
        </w:tc>
      </w:tr>
      <w:tr w:rsidR="00F8366E" w:rsidRPr="009B5734" w:rsidTr="00C84A99">
        <w:trPr>
          <w:trHeight w:val="300"/>
        </w:trPr>
        <w:tc>
          <w:tcPr>
            <w:tcW w:w="2268" w:type="dxa"/>
            <w:shd w:val="clear" w:color="auto" w:fill="DBE5F1" w:themeFill="accent1" w:themeFillTint="33"/>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b/>
                <w:noProof/>
                <w:color w:val="000000"/>
                <w:sz w:val="16"/>
              </w:rPr>
            </w:pPr>
            <w:r w:rsidRPr="009B5734">
              <w:rPr>
                <w:rFonts w:ascii="Verdana" w:hAnsi="Verdana"/>
                <w:b/>
                <w:noProof/>
                <w:color w:val="000000"/>
                <w:sz w:val="16"/>
              </w:rPr>
              <w:t>Overarching impacts</w:t>
            </w:r>
          </w:p>
        </w:tc>
        <w:tc>
          <w:tcPr>
            <w:tcW w:w="1346" w:type="dxa"/>
            <w:shd w:val="clear" w:color="auto" w:fill="DBE5F1" w:themeFill="accent1" w:themeFillTint="33"/>
            <w:tcMar>
              <w:top w:w="15" w:type="dxa"/>
              <w:left w:w="450" w:type="dxa"/>
              <w:bottom w:w="0" w:type="dxa"/>
              <w:right w:w="15" w:type="dxa"/>
            </w:tcMar>
            <w:vAlign w:val="center"/>
          </w:tcPr>
          <w:p w:rsidR="00F8366E" w:rsidRPr="009B5734" w:rsidRDefault="00F8366E" w:rsidP="00611D38">
            <w:pPr>
              <w:spacing w:before="120"/>
              <w:ind w:left="113" w:firstLine="0"/>
              <w:jc w:val="left"/>
              <w:rPr>
                <w:rFonts w:ascii="Arial" w:hAnsi="Arial"/>
                <w:b/>
                <w:i/>
                <w:noProof/>
                <w:color w:val="1F497D" w:themeColor="text2"/>
                <w:sz w:val="20"/>
              </w:rPr>
            </w:pPr>
          </w:p>
        </w:tc>
        <w:tc>
          <w:tcPr>
            <w:tcW w:w="1347" w:type="dxa"/>
            <w:shd w:val="clear" w:color="auto" w:fill="DBE5F1" w:themeFill="accent1" w:themeFillTint="33"/>
            <w:tcMar>
              <w:top w:w="15" w:type="dxa"/>
              <w:left w:w="450" w:type="dxa"/>
              <w:bottom w:w="0" w:type="dxa"/>
              <w:right w:w="15" w:type="dxa"/>
            </w:tcMar>
            <w:vAlign w:val="center"/>
          </w:tcPr>
          <w:p w:rsidR="00F8366E" w:rsidRPr="009B5734" w:rsidRDefault="00F8366E" w:rsidP="00611D38">
            <w:pPr>
              <w:spacing w:before="120"/>
              <w:ind w:left="113" w:firstLine="0"/>
              <w:jc w:val="left"/>
              <w:rPr>
                <w:rFonts w:ascii="Arial" w:hAnsi="Arial"/>
                <w:b/>
                <w:i/>
                <w:noProof/>
                <w:color w:val="1F497D" w:themeColor="text2"/>
                <w:sz w:val="20"/>
              </w:rPr>
            </w:pPr>
          </w:p>
        </w:tc>
        <w:tc>
          <w:tcPr>
            <w:tcW w:w="1347" w:type="dxa"/>
            <w:shd w:val="clear" w:color="auto" w:fill="DBE5F1" w:themeFill="accent1" w:themeFillTint="33"/>
            <w:vAlign w:val="center"/>
          </w:tcPr>
          <w:p w:rsidR="00F8366E" w:rsidRPr="009B5734" w:rsidRDefault="00F8366E" w:rsidP="00611D38">
            <w:pPr>
              <w:spacing w:before="120"/>
              <w:ind w:left="113" w:firstLine="0"/>
              <w:jc w:val="left"/>
              <w:rPr>
                <w:rFonts w:ascii="Arial" w:hAnsi="Arial"/>
                <w:b/>
                <w:i/>
                <w:noProof/>
                <w:color w:val="1F497D" w:themeColor="text2"/>
                <w:sz w:val="20"/>
              </w:rPr>
            </w:pPr>
          </w:p>
        </w:tc>
        <w:tc>
          <w:tcPr>
            <w:tcW w:w="1347" w:type="dxa"/>
            <w:shd w:val="clear" w:color="auto" w:fill="DBE5F1" w:themeFill="accent1" w:themeFillTint="33"/>
            <w:tcMar>
              <w:top w:w="15" w:type="dxa"/>
              <w:left w:w="450" w:type="dxa"/>
              <w:bottom w:w="0" w:type="dxa"/>
              <w:right w:w="15" w:type="dxa"/>
            </w:tcMar>
            <w:vAlign w:val="center"/>
          </w:tcPr>
          <w:p w:rsidR="00F8366E" w:rsidRPr="009B5734" w:rsidRDefault="00F8366E" w:rsidP="00611D38">
            <w:pPr>
              <w:spacing w:before="120"/>
              <w:ind w:left="113" w:firstLine="0"/>
              <w:jc w:val="left"/>
              <w:rPr>
                <w:rFonts w:ascii="Verdana" w:hAnsi="Verdana"/>
                <w:b/>
                <w:noProof/>
                <w:color w:val="002395"/>
                <w:sz w:val="16"/>
              </w:rPr>
            </w:pPr>
          </w:p>
        </w:tc>
        <w:tc>
          <w:tcPr>
            <w:tcW w:w="4961" w:type="dxa"/>
            <w:shd w:val="clear" w:color="auto" w:fill="DBE5F1" w:themeFill="accent1" w:themeFillTint="33"/>
            <w:tcMar>
              <w:top w:w="15" w:type="dxa"/>
              <w:left w:w="450" w:type="dxa"/>
              <w:bottom w:w="0" w:type="dxa"/>
              <w:right w:w="15" w:type="dxa"/>
            </w:tcMar>
            <w:vAlign w:val="center"/>
          </w:tcPr>
          <w:p w:rsidR="00F8366E" w:rsidRPr="009B5734" w:rsidRDefault="00F8366E" w:rsidP="00611D38">
            <w:pPr>
              <w:spacing w:before="120"/>
              <w:ind w:left="113" w:firstLine="0"/>
              <w:jc w:val="left"/>
              <w:rPr>
                <w:rFonts w:ascii="Verdana" w:hAnsi="Verdana"/>
                <w:b/>
                <w:noProof/>
                <w:sz w:val="16"/>
              </w:rPr>
            </w:pPr>
          </w:p>
        </w:tc>
        <w:tc>
          <w:tcPr>
            <w:tcW w:w="1134" w:type="dxa"/>
            <w:shd w:val="clear" w:color="auto" w:fill="DBE5F1" w:themeFill="accent1" w:themeFillTint="33"/>
            <w:vAlign w:val="center"/>
          </w:tcPr>
          <w:p w:rsidR="00F8366E" w:rsidRPr="009B5734" w:rsidRDefault="00F8366E" w:rsidP="00611D38">
            <w:pPr>
              <w:spacing w:before="120"/>
              <w:ind w:left="113" w:firstLine="0"/>
              <w:jc w:val="left"/>
              <w:rPr>
                <w:rFonts w:ascii="Verdana" w:hAnsi="Verdana"/>
                <w:b/>
                <w:noProof/>
                <w:sz w:val="16"/>
              </w:rPr>
            </w:pPr>
          </w:p>
        </w:tc>
      </w:tr>
      <w:tr w:rsidR="00F8366E" w:rsidRPr="009B5734" w:rsidTr="00C84A99">
        <w:trPr>
          <w:trHeight w:val="300"/>
        </w:trPr>
        <w:tc>
          <w:tcPr>
            <w:tcW w:w="2268" w:type="dxa"/>
            <w:shd w:val="clear" w:color="auto" w:fill="F2F2F2" w:themeFill="background1" w:themeFillShade="F2"/>
            <w:tcMar>
              <w:top w:w="15" w:type="dxa"/>
              <w:left w:w="15"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0000"/>
                <w:sz w:val="16"/>
              </w:rPr>
            </w:pPr>
            <w:r w:rsidRPr="009B5734">
              <w:rPr>
                <w:rFonts w:ascii="Verdana" w:hAnsi="Verdana"/>
                <w:noProof/>
                <w:color w:val="000000"/>
                <w:sz w:val="16"/>
              </w:rPr>
              <w:t>Application of the EU legal consumer framework</w:t>
            </w:r>
          </w:p>
        </w:tc>
        <w:tc>
          <w:tcPr>
            <w:tcW w:w="1346" w:type="dxa"/>
            <w:shd w:val="clear" w:color="auto" w:fill="F2F2F2" w:themeFill="background1" w:themeFillShade="F2"/>
            <w:tcMar>
              <w:top w:w="15" w:type="dxa"/>
              <w:left w:w="450" w:type="dxa"/>
              <w:bottom w:w="0" w:type="dxa"/>
              <w:right w:w="15" w:type="dxa"/>
            </w:tcMar>
            <w:vAlign w:val="center"/>
          </w:tcPr>
          <w:p w:rsidR="00F8366E" w:rsidRPr="009B5734" w:rsidRDefault="00F8366E" w:rsidP="00611D38">
            <w:pPr>
              <w:spacing w:before="120"/>
              <w:ind w:left="113" w:firstLine="0"/>
              <w:jc w:val="left"/>
              <w:rPr>
                <w:rFonts w:ascii="Arial" w:hAnsi="Arial"/>
                <w:i/>
                <w:noProof/>
                <w:color w:val="1F497D" w:themeColor="text2"/>
                <w:sz w:val="20"/>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450" w:type="dxa"/>
              <w:bottom w:w="0" w:type="dxa"/>
              <w:right w:w="15" w:type="dxa"/>
            </w:tcMar>
            <w:vAlign w:val="center"/>
          </w:tcPr>
          <w:p w:rsidR="00F8366E" w:rsidRPr="009B5734" w:rsidRDefault="00F8366E" w:rsidP="00611D38">
            <w:pPr>
              <w:spacing w:before="120"/>
              <w:ind w:left="113" w:firstLine="0"/>
              <w:jc w:val="left"/>
              <w:rPr>
                <w:rFonts w:ascii="Arial" w:hAnsi="Arial"/>
                <w:i/>
                <w:noProof/>
                <w:color w:val="1F497D" w:themeColor="text2"/>
                <w:sz w:val="20"/>
              </w:rPr>
            </w:pPr>
            <w:r w:rsidRPr="009B5734">
              <w:rPr>
                <w:rFonts w:ascii="Arial" w:hAnsi="Arial"/>
                <w:i/>
                <w:noProof/>
                <w:color w:val="1F497D" w:themeColor="text2"/>
                <w:sz w:val="20"/>
              </w:rPr>
              <w:t>●●●</w:t>
            </w:r>
          </w:p>
        </w:tc>
        <w:tc>
          <w:tcPr>
            <w:tcW w:w="1347" w:type="dxa"/>
            <w:shd w:val="clear" w:color="auto" w:fill="F2F2F2" w:themeFill="background1" w:themeFillShade="F2"/>
            <w:vAlign w:val="center"/>
          </w:tcPr>
          <w:p w:rsidR="00F8366E" w:rsidRPr="009B5734" w:rsidRDefault="00F8366E" w:rsidP="00611D38">
            <w:pPr>
              <w:spacing w:before="120"/>
              <w:ind w:left="113" w:firstLine="0"/>
              <w:jc w:val="left"/>
              <w:rPr>
                <w:rFonts w:ascii="Arial" w:hAnsi="Arial"/>
                <w:i/>
                <w:noProof/>
                <w:color w:val="1F497D" w:themeColor="text2"/>
                <w:sz w:val="20"/>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450"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Verdana" w:hAnsi="Verdana"/>
                <w:noProof/>
                <w:color w:val="002395"/>
                <w:sz w:val="24"/>
              </w:rPr>
              <w:sym w:font="Wingdings" w:char="F0FE"/>
            </w:r>
          </w:p>
        </w:tc>
        <w:tc>
          <w:tcPr>
            <w:tcW w:w="4961" w:type="dxa"/>
            <w:shd w:val="clear" w:color="auto" w:fill="F2F2F2" w:themeFill="background1" w:themeFillShade="F2"/>
            <w:tcMar>
              <w:top w:w="15" w:type="dxa"/>
              <w:left w:w="450" w:type="dxa"/>
              <w:bottom w:w="0" w:type="dxa"/>
              <w:right w:w="15" w:type="dxa"/>
            </w:tcMar>
            <w:vAlign w:val="center"/>
          </w:tcPr>
          <w:p w:rsidR="00F8366E" w:rsidRPr="009B5734" w:rsidRDefault="00F8366E" w:rsidP="00611D38">
            <w:pPr>
              <w:spacing w:before="120"/>
              <w:ind w:left="-303" w:firstLine="0"/>
              <w:jc w:val="left"/>
              <w:rPr>
                <w:rFonts w:ascii="Verdana" w:hAnsi="Verdana"/>
                <w:noProof/>
                <w:sz w:val="16"/>
              </w:rPr>
            </w:pPr>
            <w:r w:rsidRPr="009B5734">
              <w:rPr>
                <w:rFonts w:ascii="Verdana" w:hAnsi="Verdana"/>
                <w:noProof/>
                <w:sz w:val="16"/>
              </w:rPr>
              <w:t>Some options will help ensure a better and more coherent application of the EU legal framework for consumer protection.</w:t>
            </w:r>
          </w:p>
        </w:tc>
        <w:tc>
          <w:tcPr>
            <w:tcW w:w="1134" w:type="dxa"/>
            <w:tcBorders>
              <w:bottom w:val="single" w:sz="4" w:space="0" w:color="auto"/>
            </w:tcBorders>
            <w:shd w:val="clear" w:color="auto" w:fill="D6E3BC" w:themeFill="accent3" w:themeFillTint="66"/>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color w:val="002395"/>
                <w:sz w:val="24"/>
              </w:rPr>
              <w:sym w:font="Wingdings" w:char="F0FE"/>
            </w:r>
          </w:p>
        </w:tc>
      </w:tr>
      <w:tr w:rsidR="00F8366E" w:rsidRPr="009B5734" w:rsidTr="00C84A99">
        <w:trPr>
          <w:trHeight w:val="572"/>
        </w:trPr>
        <w:tc>
          <w:tcPr>
            <w:tcW w:w="2268" w:type="dxa"/>
            <w:shd w:val="clear" w:color="auto" w:fill="F2F2F2" w:themeFill="background1" w:themeFillShade="F2"/>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0000"/>
                <w:sz w:val="16"/>
              </w:rPr>
              <w:t>Economic and social cohesion</w:t>
            </w:r>
          </w:p>
        </w:tc>
        <w:tc>
          <w:tcPr>
            <w:tcW w:w="1346" w:type="dxa"/>
            <w:shd w:val="clear" w:color="auto" w:fill="F2F2F2" w:themeFill="background1" w:themeFillShade="F2"/>
            <w:tcMar>
              <w:top w:w="15" w:type="dxa"/>
              <w:left w:w="450"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450"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450"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p>
        </w:tc>
        <w:tc>
          <w:tcPr>
            <w:tcW w:w="4961" w:type="dxa"/>
            <w:shd w:val="clear" w:color="auto" w:fill="F2F2F2" w:themeFill="background1" w:themeFillShade="F2"/>
            <w:tcMar>
              <w:top w:w="15" w:type="dxa"/>
              <w:left w:w="450" w:type="dxa"/>
              <w:bottom w:w="0" w:type="dxa"/>
              <w:right w:w="15" w:type="dxa"/>
            </w:tcMar>
            <w:vAlign w:val="center"/>
          </w:tcPr>
          <w:p w:rsidR="00F8366E" w:rsidRPr="009B5734" w:rsidRDefault="00F8366E" w:rsidP="00611D38">
            <w:pPr>
              <w:spacing w:before="120"/>
              <w:ind w:left="-303" w:firstLine="0"/>
              <w:jc w:val="left"/>
              <w:rPr>
                <w:rFonts w:ascii="Verdana" w:hAnsi="Verdana"/>
                <w:noProof/>
                <w:color w:val="002395"/>
                <w:sz w:val="16"/>
              </w:rPr>
            </w:pPr>
            <w:r w:rsidRPr="009B5734">
              <w:rPr>
                <w:rFonts w:ascii="Verdana" w:hAnsi="Verdana"/>
                <w:noProof/>
                <w:sz w:val="16"/>
              </w:rPr>
              <w:t>Economic and social cohesion will potentially be indirectly impacted by other impacts identified above.</w:t>
            </w:r>
          </w:p>
        </w:tc>
        <w:tc>
          <w:tcPr>
            <w:tcW w:w="1134" w:type="dxa"/>
            <w:shd w:val="clear" w:color="auto" w:fill="A6A6A6" w:themeFill="background1" w:themeFillShade="A6"/>
            <w:vAlign w:val="center"/>
          </w:tcPr>
          <w:p w:rsidR="00F8366E" w:rsidRPr="009B5734" w:rsidRDefault="00F8366E" w:rsidP="00611D38">
            <w:pPr>
              <w:spacing w:before="120"/>
              <w:ind w:left="113" w:firstLine="0"/>
              <w:jc w:val="left"/>
              <w:rPr>
                <w:rFonts w:ascii="Verdana" w:hAnsi="Verdana"/>
                <w:noProof/>
                <w:sz w:val="16"/>
              </w:rPr>
            </w:pPr>
          </w:p>
        </w:tc>
      </w:tr>
      <w:tr w:rsidR="00F8366E" w:rsidRPr="009B5734" w:rsidTr="00C84A99">
        <w:trPr>
          <w:trHeight w:val="608"/>
        </w:trPr>
        <w:tc>
          <w:tcPr>
            <w:tcW w:w="2268" w:type="dxa"/>
            <w:shd w:val="clear" w:color="auto" w:fill="F2F2F2" w:themeFill="background1" w:themeFillShade="F2"/>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0000"/>
                <w:sz w:val="16"/>
              </w:rPr>
              <w:t>Sustainable development and circular economy</w:t>
            </w:r>
          </w:p>
        </w:tc>
        <w:tc>
          <w:tcPr>
            <w:tcW w:w="1346" w:type="dxa"/>
            <w:shd w:val="clear" w:color="auto" w:fill="F2F2F2" w:themeFill="background1" w:themeFillShade="F2"/>
            <w:tcMar>
              <w:top w:w="15" w:type="dxa"/>
              <w:left w:w="450"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450"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Arial" w:hAnsi="Arial"/>
                <w:i/>
                <w:noProof/>
                <w:color w:val="1F497D" w:themeColor="text2"/>
                <w:sz w:val="20"/>
              </w:rPr>
              <w:t>●●●</w:t>
            </w:r>
          </w:p>
        </w:tc>
        <w:tc>
          <w:tcPr>
            <w:tcW w:w="1347" w:type="dxa"/>
            <w:shd w:val="clear" w:color="auto" w:fill="F2F2F2" w:themeFill="background1" w:themeFillShade="F2"/>
            <w:tcMar>
              <w:top w:w="15" w:type="dxa"/>
              <w:left w:w="450"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r w:rsidRPr="009B5734">
              <w:rPr>
                <w:rFonts w:ascii="Verdana" w:hAnsi="Verdana"/>
                <w:noProof/>
                <w:color w:val="002395"/>
                <w:sz w:val="24"/>
              </w:rPr>
              <w:sym w:font="Wingdings" w:char="F0FE"/>
            </w:r>
          </w:p>
        </w:tc>
        <w:tc>
          <w:tcPr>
            <w:tcW w:w="4961" w:type="dxa"/>
            <w:shd w:val="clear" w:color="auto" w:fill="F2F2F2" w:themeFill="background1" w:themeFillShade="F2"/>
            <w:tcMar>
              <w:top w:w="15" w:type="dxa"/>
              <w:left w:w="450" w:type="dxa"/>
              <w:bottom w:w="0" w:type="dxa"/>
              <w:right w:w="15" w:type="dxa"/>
            </w:tcMar>
            <w:vAlign w:val="center"/>
          </w:tcPr>
          <w:p w:rsidR="00F8366E" w:rsidRPr="009B5734" w:rsidRDefault="00F8366E" w:rsidP="00611D38">
            <w:pPr>
              <w:spacing w:before="120"/>
              <w:ind w:left="-303" w:firstLine="0"/>
              <w:jc w:val="left"/>
              <w:rPr>
                <w:rFonts w:ascii="Verdana" w:hAnsi="Verdana"/>
                <w:noProof/>
                <w:color w:val="002395"/>
                <w:sz w:val="16"/>
              </w:rPr>
            </w:pPr>
            <w:r w:rsidRPr="009B5734">
              <w:rPr>
                <w:rFonts w:ascii="Verdana" w:hAnsi="Verdana"/>
                <w:noProof/>
                <w:sz w:val="16"/>
              </w:rPr>
              <w:t>Options will contribute to the circular economy and to sustainable development (to one or more of the three pillars economic, environment and social) will potentially be indirectly impacted by a number of other impacts described above.</w:t>
            </w:r>
          </w:p>
        </w:tc>
        <w:tc>
          <w:tcPr>
            <w:tcW w:w="1134" w:type="dxa"/>
            <w:shd w:val="clear" w:color="auto" w:fill="D6E3BC" w:themeFill="accent3" w:themeFillTint="66"/>
            <w:vAlign w:val="center"/>
          </w:tcPr>
          <w:p w:rsidR="00F8366E" w:rsidRPr="009B5734" w:rsidRDefault="00F8366E" w:rsidP="00611D38">
            <w:pPr>
              <w:spacing w:before="120"/>
              <w:ind w:left="113" w:firstLine="0"/>
              <w:jc w:val="left"/>
              <w:rPr>
                <w:rFonts w:ascii="Verdana" w:hAnsi="Verdana"/>
                <w:noProof/>
                <w:sz w:val="16"/>
              </w:rPr>
            </w:pPr>
            <w:r w:rsidRPr="009B5734">
              <w:rPr>
                <w:rFonts w:ascii="Verdana" w:hAnsi="Verdana"/>
                <w:noProof/>
                <w:color w:val="002395"/>
                <w:sz w:val="24"/>
              </w:rPr>
              <w:sym w:font="Wingdings" w:char="F0FE"/>
            </w:r>
          </w:p>
        </w:tc>
      </w:tr>
      <w:tr w:rsidR="00F8366E" w:rsidRPr="009B5734" w:rsidTr="00C84A99">
        <w:trPr>
          <w:trHeight w:val="310"/>
        </w:trPr>
        <w:tc>
          <w:tcPr>
            <w:tcW w:w="2268" w:type="dxa"/>
            <w:shd w:val="clear" w:color="auto" w:fill="F2F2F2" w:themeFill="background1" w:themeFillShade="F2"/>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0000"/>
                <w:sz w:val="16"/>
              </w:rPr>
              <w:t>Fundamental Rights</w:t>
            </w:r>
          </w:p>
        </w:tc>
        <w:tc>
          <w:tcPr>
            <w:tcW w:w="1346" w:type="dxa"/>
            <w:shd w:val="clear" w:color="auto" w:fill="F2F2F2" w:themeFill="background1" w:themeFillShade="F2"/>
            <w:tcMar>
              <w:top w:w="15" w:type="dxa"/>
              <w:left w:w="450"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p>
        </w:tc>
        <w:tc>
          <w:tcPr>
            <w:tcW w:w="1347" w:type="dxa"/>
            <w:shd w:val="clear" w:color="auto" w:fill="F2F2F2" w:themeFill="background1" w:themeFillShade="F2"/>
            <w:tcMar>
              <w:top w:w="15" w:type="dxa"/>
              <w:left w:w="450"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p>
        </w:tc>
        <w:tc>
          <w:tcPr>
            <w:tcW w:w="1347" w:type="dxa"/>
            <w:shd w:val="clear" w:color="auto" w:fill="F2F2F2" w:themeFill="background1" w:themeFillShade="F2"/>
            <w:vAlign w:val="center"/>
          </w:tcPr>
          <w:p w:rsidR="00F8366E" w:rsidRPr="009B5734" w:rsidRDefault="00F8366E" w:rsidP="00611D38">
            <w:pPr>
              <w:spacing w:before="120"/>
              <w:ind w:left="113" w:firstLine="0"/>
              <w:jc w:val="left"/>
              <w:rPr>
                <w:rFonts w:ascii="Verdana" w:hAnsi="Verdana"/>
                <w:noProof/>
                <w:color w:val="002395"/>
                <w:sz w:val="16"/>
              </w:rPr>
            </w:pPr>
          </w:p>
        </w:tc>
        <w:tc>
          <w:tcPr>
            <w:tcW w:w="1347" w:type="dxa"/>
            <w:shd w:val="clear" w:color="auto" w:fill="F2F2F2" w:themeFill="background1" w:themeFillShade="F2"/>
            <w:tcMar>
              <w:top w:w="15" w:type="dxa"/>
              <w:left w:w="450" w:type="dxa"/>
              <w:bottom w:w="0" w:type="dxa"/>
              <w:right w:w="15" w:type="dxa"/>
            </w:tcMar>
            <w:vAlign w:val="center"/>
          </w:tcPr>
          <w:p w:rsidR="00F8366E" w:rsidRPr="009B5734" w:rsidRDefault="00F8366E" w:rsidP="00611D38">
            <w:pPr>
              <w:spacing w:before="120"/>
              <w:ind w:left="113" w:firstLine="0"/>
              <w:jc w:val="left"/>
              <w:rPr>
                <w:rFonts w:ascii="Verdana" w:hAnsi="Verdana"/>
                <w:noProof/>
                <w:color w:val="002395"/>
                <w:sz w:val="16"/>
              </w:rPr>
            </w:pPr>
          </w:p>
        </w:tc>
        <w:tc>
          <w:tcPr>
            <w:tcW w:w="4961" w:type="dxa"/>
            <w:shd w:val="clear" w:color="auto" w:fill="F2F2F2" w:themeFill="background1" w:themeFillShade="F2"/>
            <w:tcMar>
              <w:top w:w="15" w:type="dxa"/>
              <w:left w:w="450" w:type="dxa"/>
              <w:bottom w:w="0" w:type="dxa"/>
              <w:right w:w="15" w:type="dxa"/>
            </w:tcMar>
            <w:vAlign w:val="center"/>
          </w:tcPr>
          <w:p w:rsidR="00F8366E" w:rsidRPr="009B5734" w:rsidRDefault="00F8366E" w:rsidP="00611D38">
            <w:pPr>
              <w:spacing w:before="120"/>
              <w:ind w:left="-303" w:firstLine="0"/>
              <w:jc w:val="left"/>
              <w:rPr>
                <w:rFonts w:ascii="Verdana" w:hAnsi="Verdana"/>
                <w:noProof/>
                <w:color w:val="002395"/>
                <w:sz w:val="16"/>
              </w:rPr>
            </w:pPr>
            <w:r w:rsidRPr="009B5734">
              <w:rPr>
                <w:rFonts w:ascii="Verdana" w:hAnsi="Verdana"/>
                <w:noProof/>
                <w:sz w:val="16"/>
              </w:rPr>
              <w:t>Not identified as a potentially significant impact category in the literature or stakeholder consultations.</w:t>
            </w:r>
            <w:r w:rsidRPr="009B5734">
              <w:rPr>
                <w:rFonts w:ascii="Verdana" w:hAnsi="Verdana"/>
                <w:noProof/>
                <w:color w:val="002395"/>
                <w:sz w:val="16"/>
              </w:rPr>
              <w:t xml:space="preserve"> </w:t>
            </w:r>
          </w:p>
        </w:tc>
        <w:tc>
          <w:tcPr>
            <w:tcW w:w="1134" w:type="dxa"/>
            <w:shd w:val="clear" w:color="auto" w:fill="A6A6A6" w:themeFill="background1" w:themeFillShade="A6"/>
            <w:vAlign w:val="center"/>
          </w:tcPr>
          <w:p w:rsidR="00F8366E" w:rsidRPr="009B5734" w:rsidRDefault="00F8366E" w:rsidP="00611D38">
            <w:pPr>
              <w:spacing w:before="120"/>
              <w:ind w:left="113" w:firstLine="0"/>
              <w:jc w:val="left"/>
              <w:rPr>
                <w:rFonts w:ascii="Verdana" w:hAnsi="Verdana"/>
                <w:noProof/>
                <w:sz w:val="16"/>
              </w:rPr>
            </w:pPr>
          </w:p>
        </w:tc>
      </w:tr>
      <w:tr w:rsidR="00F8366E" w:rsidRPr="009B5734" w:rsidTr="00C84A99">
        <w:trPr>
          <w:trHeight w:val="570"/>
        </w:trPr>
        <w:tc>
          <w:tcPr>
            <w:tcW w:w="2268" w:type="dxa"/>
            <w:shd w:val="clear" w:color="auto" w:fill="F2F2F2" w:themeFill="background1" w:themeFillShade="F2"/>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0000"/>
                <w:sz w:val="16"/>
              </w:rPr>
              <w:t>Individuals, private and family life, freedom of conscience and expression</w:t>
            </w:r>
          </w:p>
        </w:tc>
        <w:tc>
          <w:tcPr>
            <w:tcW w:w="1346" w:type="dxa"/>
            <w:shd w:val="clear" w:color="auto" w:fill="F2F2F2" w:themeFill="background1" w:themeFillShade="F2"/>
            <w:tcMar>
              <w:top w:w="15" w:type="dxa"/>
              <w:left w:w="450"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p>
        </w:tc>
        <w:tc>
          <w:tcPr>
            <w:tcW w:w="1347" w:type="dxa"/>
            <w:shd w:val="clear" w:color="auto" w:fill="F2F2F2" w:themeFill="background1" w:themeFillShade="F2"/>
            <w:tcMar>
              <w:top w:w="15" w:type="dxa"/>
              <w:left w:w="450"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p>
        </w:tc>
        <w:tc>
          <w:tcPr>
            <w:tcW w:w="1347" w:type="dxa"/>
            <w:shd w:val="clear" w:color="auto" w:fill="F2F2F2" w:themeFill="background1" w:themeFillShade="F2"/>
            <w:vAlign w:val="center"/>
          </w:tcPr>
          <w:p w:rsidR="00F8366E" w:rsidRPr="009B5734" w:rsidRDefault="00F8366E" w:rsidP="00611D38">
            <w:pPr>
              <w:spacing w:before="120"/>
              <w:ind w:left="113" w:firstLine="0"/>
              <w:jc w:val="left"/>
              <w:rPr>
                <w:rFonts w:ascii="Wingdings" w:hAnsi="Wingdings"/>
                <w:noProof/>
                <w:color w:val="002395"/>
                <w:sz w:val="16"/>
              </w:rPr>
            </w:pPr>
          </w:p>
        </w:tc>
        <w:tc>
          <w:tcPr>
            <w:tcW w:w="1347" w:type="dxa"/>
            <w:shd w:val="clear" w:color="auto" w:fill="F2F2F2" w:themeFill="background1" w:themeFillShade="F2"/>
            <w:tcMar>
              <w:top w:w="15" w:type="dxa"/>
              <w:left w:w="450"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p>
        </w:tc>
        <w:tc>
          <w:tcPr>
            <w:tcW w:w="4961" w:type="dxa"/>
            <w:shd w:val="clear" w:color="auto" w:fill="F2F2F2" w:themeFill="background1" w:themeFillShade="F2"/>
            <w:tcMar>
              <w:top w:w="15" w:type="dxa"/>
              <w:left w:w="450" w:type="dxa"/>
              <w:bottom w:w="0" w:type="dxa"/>
              <w:right w:w="15" w:type="dxa"/>
            </w:tcMar>
            <w:vAlign w:val="center"/>
            <w:hideMark/>
          </w:tcPr>
          <w:p w:rsidR="00F8366E" w:rsidRPr="009B5734" w:rsidRDefault="00F8366E" w:rsidP="00611D38">
            <w:pPr>
              <w:spacing w:before="120"/>
              <w:ind w:left="-303" w:firstLine="0"/>
              <w:jc w:val="left"/>
              <w:rPr>
                <w:rFonts w:ascii="Wingdings" w:hAnsi="Wingdings"/>
                <w:noProof/>
                <w:color w:val="002395"/>
                <w:sz w:val="16"/>
              </w:rPr>
            </w:pPr>
            <w:r w:rsidRPr="009B5734">
              <w:rPr>
                <w:rFonts w:ascii="Verdana" w:hAnsi="Verdana"/>
                <w:noProof/>
                <w:sz w:val="16"/>
              </w:rPr>
              <w:t>Not identified as a potentially significant impact category in the literature or stakeholder consultations.</w:t>
            </w:r>
            <w:r w:rsidRPr="009B5734">
              <w:rPr>
                <w:rFonts w:ascii="Verdana" w:hAnsi="Verdana"/>
                <w:noProof/>
                <w:color w:val="002395"/>
                <w:sz w:val="16"/>
              </w:rPr>
              <w:t xml:space="preserve"> </w:t>
            </w:r>
          </w:p>
        </w:tc>
        <w:tc>
          <w:tcPr>
            <w:tcW w:w="1134" w:type="dxa"/>
            <w:shd w:val="clear" w:color="auto" w:fill="A6A6A6" w:themeFill="background1" w:themeFillShade="A6"/>
            <w:vAlign w:val="center"/>
          </w:tcPr>
          <w:p w:rsidR="00F8366E" w:rsidRPr="009B5734" w:rsidRDefault="00F8366E" w:rsidP="00611D38">
            <w:pPr>
              <w:spacing w:before="120"/>
              <w:ind w:left="113" w:firstLine="0"/>
              <w:jc w:val="left"/>
              <w:rPr>
                <w:rFonts w:ascii="Verdana" w:hAnsi="Verdana"/>
                <w:noProof/>
                <w:sz w:val="16"/>
              </w:rPr>
            </w:pPr>
          </w:p>
        </w:tc>
      </w:tr>
      <w:tr w:rsidR="00F8366E" w:rsidRPr="009B5734" w:rsidTr="00C84A99">
        <w:trPr>
          <w:trHeight w:val="580"/>
        </w:trPr>
        <w:tc>
          <w:tcPr>
            <w:tcW w:w="2268" w:type="dxa"/>
            <w:shd w:val="clear" w:color="auto" w:fill="F2F2F2" w:themeFill="background1" w:themeFillShade="F2"/>
            <w:tcMar>
              <w:top w:w="15" w:type="dxa"/>
              <w:left w:w="15" w:type="dxa"/>
              <w:bottom w:w="0" w:type="dxa"/>
              <w:right w:w="15" w:type="dxa"/>
            </w:tcMar>
            <w:vAlign w:val="center"/>
            <w:hideMark/>
          </w:tcPr>
          <w:p w:rsidR="00F8366E" w:rsidRPr="009B5734" w:rsidRDefault="00F8366E" w:rsidP="00611D38">
            <w:pPr>
              <w:spacing w:before="120"/>
              <w:ind w:left="113" w:firstLine="0"/>
              <w:jc w:val="left"/>
              <w:rPr>
                <w:rFonts w:ascii="Wingdings" w:hAnsi="Wingdings"/>
                <w:noProof/>
                <w:color w:val="002395"/>
                <w:sz w:val="16"/>
              </w:rPr>
            </w:pPr>
            <w:r w:rsidRPr="009B5734">
              <w:rPr>
                <w:rFonts w:ascii="Verdana" w:hAnsi="Verdana"/>
                <w:noProof/>
                <w:color w:val="000000"/>
                <w:sz w:val="16"/>
              </w:rPr>
              <w:t>Property rights and the right to conduct a business</w:t>
            </w:r>
          </w:p>
        </w:tc>
        <w:tc>
          <w:tcPr>
            <w:tcW w:w="1346" w:type="dxa"/>
            <w:shd w:val="clear" w:color="auto" w:fill="F2F2F2" w:themeFill="background1" w:themeFillShade="F2"/>
            <w:tcMar>
              <w:top w:w="15" w:type="dxa"/>
              <w:left w:w="450"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p>
        </w:tc>
        <w:tc>
          <w:tcPr>
            <w:tcW w:w="1347" w:type="dxa"/>
            <w:shd w:val="clear" w:color="auto" w:fill="F2F2F2" w:themeFill="background1" w:themeFillShade="F2"/>
            <w:tcMar>
              <w:top w:w="15" w:type="dxa"/>
              <w:left w:w="450"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p>
        </w:tc>
        <w:tc>
          <w:tcPr>
            <w:tcW w:w="1347" w:type="dxa"/>
            <w:shd w:val="clear" w:color="auto" w:fill="F2F2F2" w:themeFill="background1" w:themeFillShade="F2"/>
            <w:vAlign w:val="center"/>
          </w:tcPr>
          <w:p w:rsidR="00F8366E" w:rsidRPr="009B5734" w:rsidRDefault="00F8366E" w:rsidP="00611D38">
            <w:pPr>
              <w:spacing w:before="120"/>
              <w:ind w:left="113" w:firstLine="0"/>
              <w:jc w:val="left"/>
              <w:rPr>
                <w:rFonts w:ascii="Wingdings" w:hAnsi="Wingdings"/>
                <w:noProof/>
                <w:color w:val="002395"/>
                <w:sz w:val="16"/>
              </w:rPr>
            </w:pPr>
          </w:p>
        </w:tc>
        <w:tc>
          <w:tcPr>
            <w:tcW w:w="1347" w:type="dxa"/>
            <w:shd w:val="clear" w:color="auto" w:fill="F2F2F2" w:themeFill="background1" w:themeFillShade="F2"/>
            <w:tcMar>
              <w:top w:w="15" w:type="dxa"/>
              <w:left w:w="450" w:type="dxa"/>
              <w:bottom w:w="0" w:type="dxa"/>
              <w:right w:w="15" w:type="dxa"/>
            </w:tcMar>
            <w:vAlign w:val="center"/>
          </w:tcPr>
          <w:p w:rsidR="00F8366E" w:rsidRPr="009B5734" w:rsidRDefault="00F8366E" w:rsidP="00611D38">
            <w:pPr>
              <w:spacing w:before="120"/>
              <w:ind w:left="113" w:firstLine="0"/>
              <w:jc w:val="left"/>
              <w:rPr>
                <w:rFonts w:ascii="Wingdings" w:hAnsi="Wingdings"/>
                <w:noProof/>
                <w:color w:val="002395"/>
                <w:sz w:val="16"/>
              </w:rPr>
            </w:pPr>
          </w:p>
        </w:tc>
        <w:tc>
          <w:tcPr>
            <w:tcW w:w="4961" w:type="dxa"/>
            <w:shd w:val="clear" w:color="auto" w:fill="F2F2F2" w:themeFill="background1" w:themeFillShade="F2"/>
            <w:tcMar>
              <w:top w:w="15" w:type="dxa"/>
              <w:left w:w="450" w:type="dxa"/>
              <w:bottom w:w="0" w:type="dxa"/>
              <w:right w:w="15" w:type="dxa"/>
            </w:tcMar>
            <w:vAlign w:val="center"/>
            <w:hideMark/>
          </w:tcPr>
          <w:p w:rsidR="00F8366E" w:rsidRPr="009B5734" w:rsidRDefault="00F8366E" w:rsidP="00611D38">
            <w:pPr>
              <w:spacing w:before="120"/>
              <w:ind w:left="-303" w:firstLine="0"/>
              <w:jc w:val="left"/>
              <w:rPr>
                <w:rFonts w:ascii="Wingdings" w:hAnsi="Wingdings"/>
                <w:noProof/>
                <w:color w:val="002395"/>
                <w:sz w:val="16"/>
              </w:rPr>
            </w:pPr>
            <w:r w:rsidRPr="009B5734">
              <w:rPr>
                <w:rFonts w:ascii="Verdana" w:hAnsi="Verdana"/>
                <w:noProof/>
                <w:sz w:val="16"/>
              </w:rPr>
              <w:t>Not identified as a potentially significant impact category in the literature or stakeholder consultations.</w:t>
            </w:r>
            <w:r w:rsidRPr="009B5734">
              <w:rPr>
                <w:rFonts w:ascii="Verdana" w:hAnsi="Verdana"/>
                <w:noProof/>
                <w:color w:val="002395"/>
                <w:sz w:val="16"/>
              </w:rPr>
              <w:t xml:space="preserve"> </w:t>
            </w:r>
          </w:p>
        </w:tc>
        <w:tc>
          <w:tcPr>
            <w:tcW w:w="1134" w:type="dxa"/>
            <w:shd w:val="clear" w:color="auto" w:fill="A6A6A6" w:themeFill="background1" w:themeFillShade="A6"/>
            <w:vAlign w:val="center"/>
          </w:tcPr>
          <w:p w:rsidR="00F8366E" w:rsidRPr="009B5734" w:rsidRDefault="00F8366E" w:rsidP="00611D38">
            <w:pPr>
              <w:spacing w:before="120"/>
              <w:ind w:left="113" w:firstLine="0"/>
              <w:jc w:val="left"/>
              <w:rPr>
                <w:rFonts w:ascii="Verdana" w:hAnsi="Verdana"/>
                <w:noProof/>
                <w:sz w:val="16"/>
              </w:rPr>
            </w:pPr>
          </w:p>
        </w:tc>
      </w:tr>
    </w:tbl>
    <w:p w:rsidR="00EA45F9" w:rsidRPr="009B5734" w:rsidRDefault="00EA45F9" w:rsidP="00EA45F9">
      <w:pPr>
        <w:rPr>
          <w:rFonts w:ascii="Times New Roman" w:hAnsi="Times New Roman" w:cs="Times New Roman"/>
          <w:noProof/>
          <w:sz w:val="24"/>
          <w:szCs w:val="24"/>
        </w:rPr>
        <w:sectPr w:rsidR="00EA45F9" w:rsidRPr="009B5734" w:rsidSect="006F3A6F">
          <w:headerReference w:type="even" r:id="rId55"/>
          <w:headerReference w:type="default" r:id="rId56"/>
          <w:footerReference w:type="even" r:id="rId57"/>
          <w:footerReference w:type="default" r:id="rId58"/>
          <w:headerReference w:type="first" r:id="rId59"/>
          <w:footerReference w:type="first" r:id="rId60"/>
          <w:pgSz w:w="16838" w:h="11906" w:orient="landscape"/>
          <w:pgMar w:top="1701" w:right="1417" w:bottom="1417" w:left="1417" w:header="567" w:footer="340" w:gutter="0"/>
          <w:cols w:space="708"/>
          <w:docGrid w:linePitch="360"/>
        </w:sectPr>
      </w:pP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Based on the screening assessment, the following potentially significant impacts were identified as priorities for more detailed analysis: </w:t>
      </w:r>
    </w:p>
    <w:p w:rsidR="00EA45F9" w:rsidRPr="009B5734" w:rsidRDefault="00EA45F9" w:rsidP="00EA45F9">
      <w:pPr>
        <w:pStyle w:val="Bullet1"/>
        <w:numPr>
          <w:ilvl w:val="0"/>
          <w:numId w:val="117"/>
        </w:numPr>
        <w:spacing w:before="120" w:after="120" w:line="240" w:lineRule="auto"/>
        <w:ind w:left="0" w:firstLine="0"/>
        <w:contextualSpacing/>
        <w:rPr>
          <w:rFonts w:ascii="Times New Roman" w:hAnsi="Times New Roman"/>
          <w:noProof/>
          <w:sz w:val="24"/>
        </w:rPr>
      </w:pPr>
      <w:r w:rsidRPr="009B5734">
        <w:rPr>
          <w:rFonts w:ascii="Times New Roman" w:hAnsi="Times New Roman"/>
          <w:b/>
          <w:noProof/>
          <w:sz w:val="24"/>
        </w:rPr>
        <w:t>Consumer benefits and losses</w:t>
      </w:r>
      <w:r w:rsidRPr="009B5734">
        <w:rPr>
          <w:rFonts w:ascii="Times New Roman" w:hAnsi="Times New Roman"/>
          <w:noProof/>
          <w:sz w:val="24"/>
        </w:rPr>
        <w:t>, including the following sub-categories of impacts:</w:t>
      </w:r>
    </w:p>
    <w:p w:rsidR="00EA45F9" w:rsidRPr="009B5734" w:rsidRDefault="00EA45F9" w:rsidP="00EA45F9">
      <w:pPr>
        <w:pStyle w:val="Bullet1"/>
        <w:numPr>
          <w:ilvl w:val="0"/>
          <w:numId w:val="119"/>
        </w:numPr>
        <w:spacing w:before="120" w:after="120" w:line="240" w:lineRule="auto"/>
        <w:contextualSpacing/>
        <w:rPr>
          <w:rFonts w:ascii="Times New Roman" w:hAnsi="Times New Roman"/>
          <w:noProof/>
          <w:sz w:val="24"/>
        </w:rPr>
      </w:pPr>
      <w:r w:rsidRPr="009B5734">
        <w:rPr>
          <w:rFonts w:ascii="Times New Roman" w:hAnsi="Times New Roman"/>
          <w:noProof/>
          <w:sz w:val="24"/>
        </w:rPr>
        <w:t>Consumer detriment and other gains and losses (due, for example, to changes in prices and choices);</w:t>
      </w:r>
    </w:p>
    <w:p w:rsidR="00EA45F9" w:rsidRPr="009B5734" w:rsidRDefault="00EA45F9" w:rsidP="00EA45F9">
      <w:pPr>
        <w:pStyle w:val="Bullet1"/>
        <w:numPr>
          <w:ilvl w:val="0"/>
          <w:numId w:val="119"/>
        </w:numPr>
        <w:spacing w:before="120" w:after="120" w:line="240" w:lineRule="auto"/>
        <w:contextualSpacing/>
        <w:rPr>
          <w:rFonts w:ascii="Times New Roman" w:hAnsi="Times New Roman"/>
          <w:noProof/>
          <w:sz w:val="24"/>
        </w:rPr>
      </w:pPr>
      <w:r w:rsidRPr="009B5734">
        <w:rPr>
          <w:rFonts w:ascii="Times New Roman" w:hAnsi="Times New Roman"/>
          <w:noProof/>
          <w:sz w:val="24"/>
        </w:rPr>
        <w:t>Quality of the decision-making process;</w:t>
      </w:r>
    </w:p>
    <w:p w:rsidR="00EA45F9" w:rsidRPr="009B5734" w:rsidRDefault="00EA45F9" w:rsidP="00EA45F9">
      <w:pPr>
        <w:pStyle w:val="Bullet1"/>
        <w:numPr>
          <w:ilvl w:val="0"/>
          <w:numId w:val="119"/>
        </w:numPr>
        <w:spacing w:before="120" w:after="120" w:line="240" w:lineRule="auto"/>
        <w:contextualSpacing/>
        <w:rPr>
          <w:rFonts w:ascii="Times New Roman" w:hAnsi="Times New Roman"/>
          <w:noProof/>
          <w:sz w:val="24"/>
        </w:rPr>
      </w:pPr>
      <w:r w:rsidRPr="009B5734">
        <w:rPr>
          <w:rFonts w:ascii="Times New Roman" w:hAnsi="Times New Roman"/>
          <w:noProof/>
          <w:sz w:val="24"/>
        </w:rPr>
        <w:t>Consumer protection; and</w:t>
      </w:r>
    </w:p>
    <w:p w:rsidR="00EA45F9" w:rsidRPr="009B5734" w:rsidRDefault="00EA45F9" w:rsidP="00EA45F9">
      <w:pPr>
        <w:pStyle w:val="Bullet1"/>
        <w:numPr>
          <w:ilvl w:val="0"/>
          <w:numId w:val="119"/>
        </w:numPr>
        <w:spacing w:before="120" w:after="120" w:line="240" w:lineRule="auto"/>
        <w:contextualSpacing/>
        <w:rPr>
          <w:rFonts w:ascii="Times New Roman" w:hAnsi="Times New Roman"/>
          <w:noProof/>
          <w:sz w:val="24"/>
        </w:rPr>
      </w:pPr>
      <w:r w:rsidRPr="009B5734">
        <w:rPr>
          <w:rFonts w:ascii="Times New Roman" w:hAnsi="Times New Roman"/>
          <w:noProof/>
          <w:sz w:val="24"/>
        </w:rPr>
        <w:t>Consumer trust.</w:t>
      </w:r>
    </w:p>
    <w:p w:rsidR="00EA45F9" w:rsidRPr="009B5734" w:rsidRDefault="00EA45F9" w:rsidP="00EA45F9">
      <w:pPr>
        <w:pStyle w:val="Bullet1"/>
        <w:numPr>
          <w:ilvl w:val="0"/>
          <w:numId w:val="117"/>
        </w:numPr>
        <w:spacing w:before="120" w:after="120" w:line="240" w:lineRule="auto"/>
        <w:ind w:left="0" w:firstLine="0"/>
        <w:contextualSpacing/>
        <w:rPr>
          <w:rFonts w:ascii="Times New Roman" w:hAnsi="Times New Roman"/>
          <w:noProof/>
          <w:sz w:val="24"/>
        </w:rPr>
      </w:pPr>
      <w:r w:rsidRPr="009B5734">
        <w:rPr>
          <w:rFonts w:ascii="Times New Roman" w:hAnsi="Times New Roman"/>
          <w:b/>
          <w:noProof/>
          <w:sz w:val="24"/>
        </w:rPr>
        <w:t>Functioning of the Single Market</w:t>
      </w:r>
      <w:r w:rsidRPr="009B5734">
        <w:rPr>
          <w:rFonts w:ascii="Times New Roman" w:hAnsi="Times New Roman"/>
          <w:noProof/>
          <w:sz w:val="24"/>
        </w:rPr>
        <w:t>, which includes the following sub-categories of impacts:</w:t>
      </w:r>
    </w:p>
    <w:p w:rsidR="00EA45F9" w:rsidRPr="009B5734" w:rsidRDefault="00EA45F9" w:rsidP="00EA45F9">
      <w:pPr>
        <w:pStyle w:val="Bullet1"/>
        <w:numPr>
          <w:ilvl w:val="0"/>
          <w:numId w:val="119"/>
        </w:numPr>
        <w:spacing w:before="120" w:after="120" w:line="240" w:lineRule="auto"/>
        <w:contextualSpacing/>
        <w:rPr>
          <w:rFonts w:ascii="Times New Roman" w:hAnsi="Times New Roman"/>
          <w:noProof/>
          <w:sz w:val="24"/>
        </w:rPr>
      </w:pPr>
      <w:r w:rsidRPr="009B5734">
        <w:rPr>
          <w:rFonts w:ascii="Times New Roman" w:hAnsi="Times New Roman"/>
          <w:noProof/>
          <w:sz w:val="24"/>
        </w:rPr>
        <w:t>Impact on the level-playing field; and</w:t>
      </w:r>
    </w:p>
    <w:p w:rsidR="00EA45F9" w:rsidRPr="009B5734" w:rsidRDefault="00EA45F9" w:rsidP="00EA45F9">
      <w:pPr>
        <w:pStyle w:val="Bullet1"/>
        <w:numPr>
          <w:ilvl w:val="0"/>
          <w:numId w:val="119"/>
        </w:numPr>
        <w:spacing w:before="120" w:after="120" w:line="240" w:lineRule="auto"/>
        <w:contextualSpacing/>
        <w:rPr>
          <w:rFonts w:ascii="Times New Roman" w:hAnsi="Times New Roman"/>
          <w:noProof/>
          <w:sz w:val="24"/>
        </w:rPr>
      </w:pPr>
      <w:r w:rsidRPr="009B5734">
        <w:rPr>
          <w:rFonts w:ascii="Times New Roman" w:hAnsi="Times New Roman"/>
          <w:noProof/>
          <w:sz w:val="24"/>
        </w:rPr>
        <w:t>Reduction of barriers to cross-border trade.</w:t>
      </w:r>
    </w:p>
    <w:p w:rsidR="00EA45F9" w:rsidRPr="009B5734" w:rsidRDefault="00EA45F9" w:rsidP="00EA45F9">
      <w:pPr>
        <w:pStyle w:val="Bullet1"/>
        <w:numPr>
          <w:ilvl w:val="0"/>
          <w:numId w:val="117"/>
        </w:numPr>
        <w:spacing w:before="120" w:after="120" w:line="240" w:lineRule="auto"/>
        <w:ind w:left="0" w:firstLine="0"/>
        <w:contextualSpacing/>
        <w:rPr>
          <w:rFonts w:ascii="Times New Roman" w:hAnsi="Times New Roman"/>
          <w:noProof/>
          <w:sz w:val="24"/>
        </w:rPr>
      </w:pPr>
      <w:r w:rsidRPr="009B5734">
        <w:rPr>
          <w:rFonts w:ascii="Times New Roman" w:hAnsi="Times New Roman"/>
          <w:b/>
          <w:noProof/>
          <w:sz w:val="24"/>
        </w:rPr>
        <w:t>Costs to companies and impact on SMEs,</w:t>
      </w:r>
      <w:r w:rsidRPr="009B5734">
        <w:rPr>
          <w:rFonts w:ascii="Times New Roman" w:hAnsi="Times New Roman"/>
          <w:noProof/>
          <w:sz w:val="24"/>
        </w:rPr>
        <w:t xml:space="preserve"> which includes the following sub-categories of impacts:</w:t>
      </w:r>
    </w:p>
    <w:p w:rsidR="00EA45F9" w:rsidRPr="009B5734" w:rsidRDefault="00EA45F9" w:rsidP="00EA45F9">
      <w:pPr>
        <w:pStyle w:val="Bullet1"/>
        <w:numPr>
          <w:ilvl w:val="0"/>
          <w:numId w:val="119"/>
        </w:numPr>
        <w:spacing w:before="120" w:after="120" w:line="240" w:lineRule="auto"/>
        <w:contextualSpacing/>
        <w:rPr>
          <w:rFonts w:ascii="Times New Roman" w:hAnsi="Times New Roman"/>
          <w:noProof/>
          <w:sz w:val="24"/>
        </w:rPr>
      </w:pPr>
      <w:r w:rsidRPr="009B5734">
        <w:rPr>
          <w:rFonts w:ascii="Times New Roman" w:hAnsi="Times New Roman"/>
          <w:noProof/>
          <w:sz w:val="24"/>
        </w:rPr>
        <w:t>Administrative burdens;</w:t>
      </w:r>
    </w:p>
    <w:p w:rsidR="00EA45F9" w:rsidRPr="009B5734" w:rsidRDefault="00EA45F9" w:rsidP="00EA45F9">
      <w:pPr>
        <w:pStyle w:val="Bullet1"/>
        <w:numPr>
          <w:ilvl w:val="0"/>
          <w:numId w:val="119"/>
        </w:numPr>
        <w:spacing w:before="120" w:after="120" w:line="240" w:lineRule="auto"/>
        <w:contextualSpacing/>
        <w:rPr>
          <w:rFonts w:ascii="Times New Roman" w:hAnsi="Times New Roman"/>
          <w:noProof/>
          <w:sz w:val="24"/>
        </w:rPr>
      </w:pPr>
      <w:r w:rsidRPr="009B5734">
        <w:rPr>
          <w:rFonts w:ascii="Times New Roman" w:hAnsi="Times New Roman"/>
          <w:noProof/>
          <w:sz w:val="24"/>
        </w:rPr>
        <w:t>Substantive compliance costs;</w:t>
      </w:r>
    </w:p>
    <w:p w:rsidR="00EA45F9" w:rsidRPr="009B5734" w:rsidRDefault="00EA45F9" w:rsidP="00EA45F9">
      <w:pPr>
        <w:pStyle w:val="Bullet1"/>
        <w:numPr>
          <w:ilvl w:val="0"/>
          <w:numId w:val="119"/>
        </w:numPr>
        <w:spacing w:before="120" w:after="120" w:line="240" w:lineRule="auto"/>
        <w:contextualSpacing/>
        <w:rPr>
          <w:rFonts w:ascii="Times New Roman" w:hAnsi="Times New Roman"/>
          <w:noProof/>
          <w:sz w:val="24"/>
        </w:rPr>
      </w:pPr>
      <w:r w:rsidRPr="009B5734">
        <w:rPr>
          <w:rFonts w:ascii="Times New Roman" w:hAnsi="Times New Roman"/>
          <w:noProof/>
          <w:sz w:val="24"/>
        </w:rPr>
        <w:t>Indirect costs; and</w:t>
      </w:r>
    </w:p>
    <w:p w:rsidR="00EA45F9" w:rsidRPr="009B5734" w:rsidRDefault="00EA45F9" w:rsidP="00EA45F9">
      <w:pPr>
        <w:pStyle w:val="Bullet1"/>
        <w:numPr>
          <w:ilvl w:val="0"/>
          <w:numId w:val="119"/>
        </w:numPr>
        <w:spacing w:before="120" w:after="120" w:line="240" w:lineRule="auto"/>
        <w:contextualSpacing/>
        <w:rPr>
          <w:rFonts w:ascii="Times New Roman" w:hAnsi="Times New Roman"/>
          <w:noProof/>
          <w:sz w:val="24"/>
        </w:rPr>
      </w:pPr>
      <w:r w:rsidRPr="009B5734">
        <w:rPr>
          <w:rFonts w:ascii="Times New Roman" w:hAnsi="Times New Roman"/>
          <w:noProof/>
          <w:sz w:val="24"/>
        </w:rPr>
        <w:t>SME growth.</w:t>
      </w:r>
    </w:p>
    <w:p w:rsidR="00EA45F9" w:rsidRPr="009B5734" w:rsidRDefault="00EA45F9" w:rsidP="00EA45F9">
      <w:pPr>
        <w:pStyle w:val="Bullet1"/>
        <w:numPr>
          <w:ilvl w:val="0"/>
          <w:numId w:val="117"/>
        </w:numPr>
        <w:spacing w:before="120" w:after="120" w:line="240" w:lineRule="auto"/>
        <w:ind w:left="0" w:firstLine="0"/>
        <w:contextualSpacing/>
        <w:rPr>
          <w:rFonts w:ascii="Times New Roman" w:hAnsi="Times New Roman"/>
          <w:noProof/>
          <w:sz w:val="24"/>
        </w:rPr>
      </w:pPr>
      <w:r w:rsidRPr="009B5734">
        <w:rPr>
          <w:rFonts w:ascii="Times New Roman" w:hAnsi="Times New Roman"/>
          <w:b/>
          <w:noProof/>
          <w:sz w:val="24"/>
        </w:rPr>
        <w:t>Costs to public bodies</w:t>
      </w:r>
      <w:r w:rsidRPr="009B5734">
        <w:rPr>
          <w:rFonts w:ascii="Times New Roman" w:hAnsi="Times New Roman"/>
          <w:noProof/>
          <w:sz w:val="24"/>
        </w:rPr>
        <w:t>, including the following sub-categories of impacts:</w:t>
      </w:r>
    </w:p>
    <w:p w:rsidR="00EA45F9" w:rsidRPr="009B5734" w:rsidRDefault="00EA45F9" w:rsidP="00EA45F9">
      <w:pPr>
        <w:pStyle w:val="Bullet1"/>
        <w:numPr>
          <w:ilvl w:val="0"/>
          <w:numId w:val="119"/>
        </w:numPr>
        <w:spacing w:before="120" w:after="120" w:line="240" w:lineRule="auto"/>
        <w:contextualSpacing/>
        <w:rPr>
          <w:rFonts w:ascii="Times New Roman" w:hAnsi="Times New Roman"/>
          <w:noProof/>
          <w:sz w:val="24"/>
        </w:rPr>
      </w:pPr>
      <w:r w:rsidRPr="009B5734">
        <w:rPr>
          <w:rFonts w:ascii="Times New Roman" w:hAnsi="Times New Roman"/>
          <w:noProof/>
          <w:sz w:val="24"/>
        </w:rPr>
        <w:t>Enforcement costs; and</w:t>
      </w:r>
    </w:p>
    <w:p w:rsidR="00EA45F9" w:rsidRPr="009B5734" w:rsidRDefault="00EA45F9" w:rsidP="00EA45F9">
      <w:pPr>
        <w:pStyle w:val="Bullet1"/>
        <w:numPr>
          <w:ilvl w:val="0"/>
          <w:numId w:val="119"/>
        </w:numPr>
        <w:spacing w:before="120" w:after="120" w:line="240" w:lineRule="auto"/>
        <w:contextualSpacing/>
        <w:rPr>
          <w:rFonts w:ascii="Times New Roman" w:hAnsi="Times New Roman"/>
          <w:noProof/>
          <w:sz w:val="24"/>
        </w:rPr>
      </w:pPr>
      <w:r w:rsidRPr="009B5734">
        <w:rPr>
          <w:rFonts w:ascii="Times New Roman" w:hAnsi="Times New Roman"/>
          <w:noProof/>
          <w:sz w:val="24"/>
        </w:rPr>
        <w:t>Other costs</w:t>
      </w:r>
    </w:p>
    <w:p w:rsidR="00EA45F9" w:rsidRPr="009B5734" w:rsidRDefault="00EA45F9" w:rsidP="00EA45F9">
      <w:pPr>
        <w:pStyle w:val="Bullet1"/>
        <w:numPr>
          <w:ilvl w:val="0"/>
          <w:numId w:val="117"/>
        </w:numPr>
        <w:spacing w:before="120" w:after="120" w:line="240" w:lineRule="auto"/>
        <w:ind w:left="0" w:firstLine="0"/>
        <w:contextualSpacing/>
        <w:rPr>
          <w:rFonts w:ascii="Times New Roman" w:hAnsi="Times New Roman"/>
          <w:noProof/>
          <w:sz w:val="24"/>
        </w:rPr>
      </w:pPr>
      <w:r w:rsidRPr="009B5734">
        <w:rPr>
          <w:rFonts w:ascii="Times New Roman" w:hAnsi="Times New Roman"/>
          <w:b/>
          <w:noProof/>
          <w:sz w:val="24"/>
        </w:rPr>
        <w:t>Sustainability</w:t>
      </w:r>
      <w:r w:rsidRPr="009B5734">
        <w:rPr>
          <w:rFonts w:ascii="Times New Roman" w:hAnsi="Times New Roman"/>
          <w:noProof/>
          <w:sz w:val="24"/>
        </w:rPr>
        <w:t>, which includes the following sub-categories of impacts:</w:t>
      </w:r>
    </w:p>
    <w:p w:rsidR="00EA45F9" w:rsidRPr="009B5734" w:rsidRDefault="00EA45F9" w:rsidP="00EA45F9">
      <w:pPr>
        <w:pStyle w:val="Bullet1"/>
        <w:numPr>
          <w:ilvl w:val="0"/>
          <w:numId w:val="119"/>
        </w:numPr>
        <w:spacing w:before="120" w:after="120" w:line="240" w:lineRule="auto"/>
        <w:contextualSpacing/>
        <w:rPr>
          <w:rFonts w:ascii="Times New Roman" w:hAnsi="Times New Roman"/>
          <w:noProof/>
          <w:sz w:val="24"/>
        </w:rPr>
      </w:pPr>
      <w:r w:rsidRPr="009B5734">
        <w:rPr>
          <w:rFonts w:ascii="Times New Roman" w:hAnsi="Times New Roman"/>
          <w:noProof/>
          <w:sz w:val="24"/>
        </w:rPr>
        <w:t>Circularity and Sustainable Consumption;</w:t>
      </w:r>
    </w:p>
    <w:p w:rsidR="00EA45F9" w:rsidRPr="009B5734" w:rsidRDefault="00EA45F9" w:rsidP="00EA45F9">
      <w:pPr>
        <w:pStyle w:val="Bullet1"/>
        <w:numPr>
          <w:ilvl w:val="0"/>
          <w:numId w:val="119"/>
        </w:numPr>
        <w:spacing w:before="120" w:after="120" w:line="240" w:lineRule="auto"/>
        <w:contextualSpacing/>
        <w:rPr>
          <w:rFonts w:ascii="Times New Roman" w:hAnsi="Times New Roman"/>
          <w:noProof/>
          <w:sz w:val="24"/>
        </w:rPr>
      </w:pPr>
      <w:r w:rsidRPr="009B5734">
        <w:rPr>
          <w:rFonts w:ascii="Times New Roman" w:hAnsi="Times New Roman"/>
          <w:noProof/>
          <w:sz w:val="24"/>
        </w:rPr>
        <w:t>Climate change; and</w:t>
      </w:r>
    </w:p>
    <w:p w:rsidR="00EA45F9" w:rsidRPr="009B5734" w:rsidRDefault="00EA45F9" w:rsidP="00EA45F9">
      <w:pPr>
        <w:pStyle w:val="Bullet1"/>
        <w:numPr>
          <w:ilvl w:val="0"/>
          <w:numId w:val="119"/>
        </w:numPr>
        <w:spacing w:before="120" w:after="120" w:line="240" w:lineRule="auto"/>
        <w:contextualSpacing/>
        <w:rPr>
          <w:rFonts w:ascii="Times New Roman" w:hAnsi="Times New Roman"/>
          <w:noProof/>
          <w:sz w:val="24"/>
        </w:rPr>
      </w:pPr>
      <w:r w:rsidRPr="009B5734">
        <w:rPr>
          <w:rFonts w:ascii="Times New Roman" w:hAnsi="Times New Roman"/>
          <w:noProof/>
          <w:sz w:val="24"/>
        </w:rPr>
        <w:t>Other environmental impacts.</w:t>
      </w:r>
    </w:p>
    <w:p w:rsidR="00EA45F9" w:rsidRPr="009B5734" w:rsidRDefault="00EA45F9" w:rsidP="00EA45F9">
      <w:pPr>
        <w:pStyle w:val="Bullet1"/>
        <w:numPr>
          <w:ilvl w:val="0"/>
          <w:numId w:val="117"/>
        </w:numPr>
        <w:spacing w:before="120" w:after="120" w:line="240" w:lineRule="auto"/>
        <w:ind w:left="0" w:firstLine="0"/>
        <w:contextualSpacing/>
        <w:rPr>
          <w:rFonts w:ascii="Times New Roman" w:hAnsi="Times New Roman"/>
          <w:b/>
          <w:noProof/>
          <w:sz w:val="24"/>
        </w:rPr>
      </w:pPr>
      <w:r w:rsidRPr="009B5734">
        <w:rPr>
          <w:rFonts w:ascii="Times New Roman" w:hAnsi="Times New Roman"/>
          <w:b/>
          <w:noProof/>
          <w:sz w:val="24"/>
        </w:rPr>
        <w:t>Application of the EU legal consumer framework</w:t>
      </w:r>
      <w:r w:rsidRPr="009B5734">
        <w:rPr>
          <w:rFonts w:ascii="Times New Roman" w:hAnsi="Times New Roman"/>
          <w:noProof/>
          <w:sz w:val="24"/>
        </w:rPr>
        <w:t>, which includes:</w:t>
      </w:r>
    </w:p>
    <w:p w:rsidR="00EA45F9" w:rsidRPr="009B5734" w:rsidRDefault="00EA45F9" w:rsidP="00EA45F9">
      <w:pPr>
        <w:pStyle w:val="Bullet1"/>
        <w:numPr>
          <w:ilvl w:val="0"/>
          <w:numId w:val="119"/>
        </w:numPr>
        <w:spacing w:before="120" w:after="120" w:line="240" w:lineRule="auto"/>
        <w:contextualSpacing/>
        <w:rPr>
          <w:rFonts w:ascii="Times New Roman" w:hAnsi="Times New Roman"/>
          <w:noProof/>
          <w:sz w:val="24"/>
        </w:rPr>
      </w:pPr>
      <w:r w:rsidRPr="009B5734">
        <w:rPr>
          <w:rFonts w:ascii="Times New Roman" w:hAnsi="Times New Roman"/>
          <w:noProof/>
          <w:sz w:val="24"/>
        </w:rPr>
        <w:t>Any impact on enforcement and harmonisation of approaches across the EU.</w:t>
      </w:r>
    </w:p>
    <w:p w:rsidR="00EA45F9" w:rsidRPr="009B5734" w:rsidRDefault="00EA45F9" w:rsidP="00EA45F9">
      <w:pPr>
        <w:pStyle w:val="NormalIndent1"/>
        <w:ind w:left="0"/>
        <w:jc w:val="both"/>
        <w:rPr>
          <w:rFonts w:ascii="Times New Roman" w:hAnsi="Times New Roman" w:cs="Times New Roman"/>
          <w:noProof/>
          <w:sz w:val="24"/>
          <w:szCs w:val="24"/>
        </w:rPr>
        <w:sectPr w:rsidR="00EA45F9" w:rsidRPr="009B5734" w:rsidSect="006F3A6F">
          <w:headerReference w:type="even" r:id="rId61"/>
          <w:headerReference w:type="default" r:id="rId62"/>
          <w:footerReference w:type="even" r:id="rId63"/>
          <w:footerReference w:type="default" r:id="rId64"/>
          <w:headerReference w:type="first" r:id="rId65"/>
          <w:footerReference w:type="first" r:id="rId66"/>
          <w:pgSz w:w="11906" w:h="16838"/>
          <w:pgMar w:top="1417" w:right="1417" w:bottom="1417" w:left="1701" w:header="567" w:footer="340" w:gutter="0"/>
          <w:cols w:space="708"/>
          <w:docGrid w:linePitch="360"/>
        </w:sectPr>
      </w:pPr>
      <w:r w:rsidRPr="009B5734">
        <w:rPr>
          <w:rFonts w:ascii="Times New Roman" w:hAnsi="Times New Roman" w:cs="Times New Roman"/>
          <w:noProof/>
          <w:sz w:val="24"/>
          <w:szCs w:val="24"/>
        </w:rPr>
        <w:t>The table below sets out the impacts that were selected, the stakeholder group(s) affected and the general approach used to assess them. It is important to highlight that the impacts of the options might differ between product categories. This is highlighted when relevant.</w:t>
      </w:r>
    </w:p>
    <w:p w:rsidR="00EA45F9" w:rsidRPr="004931D3" w:rsidRDefault="00EA45F9">
      <w:pPr>
        <w:pStyle w:val="Heading5"/>
        <w:rPr>
          <w:rFonts w:ascii="Times New Roman" w:hAnsi="Times New Roman" w:cs="Times New Roman"/>
          <w:b w:val="0"/>
          <w:i w:val="0"/>
          <w:noProof/>
          <w:sz w:val="24"/>
        </w:rPr>
      </w:pPr>
      <w:r w:rsidRPr="6B053803">
        <w:rPr>
          <w:rFonts w:ascii="Times New Roman" w:hAnsi="Times New Roman" w:cs="Times New Roman"/>
          <w:b w:val="0"/>
          <w:i w:val="0"/>
          <w:noProof/>
          <w:sz w:val="24"/>
        </w:rPr>
        <w:t>Table 3. Selected significant impacts</w:t>
      </w:r>
    </w:p>
    <w:tbl>
      <w:tblPr>
        <w:tblW w:w="13759" w:type="dxa"/>
        <w:tblBorders>
          <w:top w:val="single" w:sz="4" w:space="0" w:color="auto"/>
          <w:bottom w:val="single" w:sz="4" w:space="0" w:color="auto"/>
          <w:insideH w:val="single" w:sz="4" w:space="0" w:color="auto"/>
        </w:tblBorders>
        <w:shd w:val="solid" w:color="F2F2F2" w:fill="F2F2F2"/>
        <w:tblLayout w:type="fixed"/>
        <w:tblCellMar>
          <w:left w:w="0" w:type="dxa"/>
          <w:right w:w="0" w:type="dxa"/>
        </w:tblCellMar>
        <w:tblLook w:val="04A0" w:firstRow="1" w:lastRow="0" w:firstColumn="1" w:lastColumn="0" w:noHBand="0" w:noVBand="1"/>
        <w:tblDescription w:val="False|True|True"/>
      </w:tblPr>
      <w:tblGrid>
        <w:gridCol w:w="4819"/>
        <w:gridCol w:w="84"/>
        <w:gridCol w:w="922"/>
        <w:gridCol w:w="923"/>
        <w:gridCol w:w="923"/>
        <w:gridCol w:w="923"/>
        <w:gridCol w:w="923"/>
        <w:gridCol w:w="923"/>
        <w:gridCol w:w="923"/>
        <w:gridCol w:w="6"/>
        <w:gridCol w:w="96"/>
        <w:gridCol w:w="6"/>
        <w:gridCol w:w="1137"/>
        <w:gridCol w:w="1144"/>
        <w:gridCol w:w="7"/>
      </w:tblGrid>
      <w:tr w:rsidR="00EA45F9" w:rsidRPr="009B5734" w:rsidTr="00C84A99">
        <w:trPr>
          <w:cantSplit/>
          <w:trHeight w:val="233"/>
          <w:tblHeader/>
        </w:trPr>
        <w:tc>
          <w:tcPr>
            <w:tcW w:w="4819" w:type="dxa"/>
            <w:vMerge w:val="restart"/>
            <w:shd w:val="clear" w:color="auto" w:fill="002395"/>
            <w:noWrap/>
            <w:vAlign w:val="center"/>
          </w:tcPr>
          <w:p w:rsidR="00EA45F9" w:rsidRPr="009B5734" w:rsidRDefault="00EA45F9" w:rsidP="00981615">
            <w:pPr>
              <w:pStyle w:val="TableHeadingWhite"/>
              <w:rPr>
                <w:rFonts w:ascii="Times New Roman" w:hAnsi="Times New Roman" w:cs="Times New Roman"/>
                <w:b/>
                <w:bCs/>
                <w:noProof/>
                <w:sz w:val="24"/>
                <w:szCs w:val="24"/>
              </w:rPr>
            </w:pPr>
            <w:bookmarkStart w:id="561" w:name="_Hlk56000821"/>
            <w:r w:rsidRPr="009B5734">
              <w:rPr>
                <w:rFonts w:ascii="Times New Roman" w:hAnsi="Times New Roman" w:cs="Times New Roman"/>
                <w:bCs/>
                <w:noProof/>
                <w:sz w:val="24"/>
                <w:szCs w:val="24"/>
              </w:rPr>
              <w:t>Main category of impacts</w:t>
            </w:r>
          </w:p>
        </w:tc>
        <w:tc>
          <w:tcPr>
            <w:tcW w:w="84" w:type="dxa"/>
            <w:tcBorders>
              <w:top w:val="nil"/>
              <w:bottom w:val="nil"/>
            </w:tcBorders>
            <w:shd w:val="clear" w:color="auto" w:fill="FFFFFF" w:themeFill="background1"/>
          </w:tcPr>
          <w:p w:rsidR="00EA45F9" w:rsidRPr="009B5734" w:rsidRDefault="00EA45F9" w:rsidP="00981615">
            <w:pPr>
              <w:pStyle w:val="TableHeadingWhite"/>
              <w:rPr>
                <w:rFonts w:ascii="Times New Roman" w:hAnsi="Times New Roman" w:cs="Times New Roman"/>
                <w:b/>
                <w:bCs/>
                <w:noProof/>
                <w:sz w:val="24"/>
                <w:szCs w:val="24"/>
              </w:rPr>
            </w:pPr>
          </w:p>
        </w:tc>
        <w:tc>
          <w:tcPr>
            <w:tcW w:w="6466" w:type="dxa"/>
            <w:gridSpan w:val="8"/>
            <w:shd w:val="clear" w:color="auto" w:fill="002395"/>
            <w:vAlign w:val="center"/>
          </w:tcPr>
          <w:p w:rsidR="00EA45F9" w:rsidRPr="009B5734" w:rsidRDefault="00EA45F9" w:rsidP="00981615">
            <w:pPr>
              <w:pStyle w:val="TableHeadingWhite"/>
              <w:jc w:val="center"/>
              <w:rPr>
                <w:rFonts w:ascii="Times New Roman" w:hAnsi="Times New Roman" w:cs="Times New Roman"/>
                <w:b/>
                <w:bCs/>
                <w:noProof/>
                <w:sz w:val="24"/>
                <w:szCs w:val="24"/>
              </w:rPr>
            </w:pPr>
            <w:r w:rsidRPr="009B5734">
              <w:rPr>
                <w:rFonts w:ascii="Times New Roman" w:hAnsi="Times New Roman" w:cs="Times New Roman"/>
                <w:bCs/>
                <w:noProof/>
                <w:sz w:val="24"/>
                <w:szCs w:val="24"/>
              </w:rPr>
              <w:t>Affected parties</w:t>
            </w:r>
          </w:p>
        </w:tc>
        <w:tc>
          <w:tcPr>
            <w:tcW w:w="102" w:type="dxa"/>
            <w:gridSpan w:val="2"/>
            <w:tcBorders>
              <w:top w:val="nil"/>
              <w:bottom w:val="nil"/>
            </w:tcBorders>
            <w:shd w:val="clear" w:color="auto" w:fill="FFFFFF" w:themeFill="background1"/>
          </w:tcPr>
          <w:p w:rsidR="00EA45F9" w:rsidRPr="009B5734" w:rsidRDefault="00EA45F9" w:rsidP="00981615">
            <w:pPr>
              <w:pStyle w:val="TableHeadingWhite"/>
              <w:rPr>
                <w:rFonts w:ascii="Times New Roman" w:hAnsi="Times New Roman" w:cs="Times New Roman"/>
                <w:b/>
                <w:bCs/>
                <w:noProof/>
                <w:sz w:val="24"/>
                <w:szCs w:val="24"/>
              </w:rPr>
            </w:pPr>
          </w:p>
        </w:tc>
        <w:tc>
          <w:tcPr>
            <w:tcW w:w="2288" w:type="dxa"/>
            <w:gridSpan w:val="3"/>
            <w:shd w:val="clear" w:color="auto" w:fill="002395"/>
            <w:vAlign w:val="center"/>
          </w:tcPr>
          <w:p w:rsidR="00EA45F9" w:rsidRPr="009B5734" w:rsidRDefault="00EA45F9" w:rsidP="00981615">
            <w:pPr>
              <w:pStyle w:val="TableHeadingWhite"/>
              <w:jc w:val="center"/>
              <w:rPr>
                <w:rFonts w:ascii="Times New Roman" w:hAnsi="Times New Roman" w:cs="Times New Roman"/>
                <w:b/>
                <w:bCs/>
                <w:noProof/>
                <w:sz w:val="24"/>
                <w:szCs w:val="24"/>
              </w:rPr>
            </w:pPr>
            <w:r w:rsidRPr="009B5734">
              <w:rPr>
                <w:rFonts w:ascii="Times New Roman" w:hAnsi="Times New Roman" w:cs="Times New Roman"/>
                <w:bCs/>
                <w:noProof/>
                <w:sz w:val="24"/>
                <w:szCs w:val="24"/>
              </w:rPr>
              <w:t>Assessment</w:t>
            </w:r>
          </w:p>
        </w:tc>
      </w:tr>
      <w:tr w:rsidR="00EA45F9" w:rsidRPr="009B5734" w:rsidTr="00C84A99">
        <w:trPr>
          <w:gridAfter w:val="1"/>
          <w:wAfter w:w="7" w:type="dxa"/>
          <w:cantSplit/>
          <w:trHeight w:val="2826"/>
          <w:tblHeader/>
        </w:trPr>
        <w:tc>
          <w:tcPr>
            <w:tcW w:w="4819" w:type="dxa"/>
            <w:vMerge/>
            <w:shd w:val="solid" w:color="002395" w:fill="002395"/>
            <w:noWrap/>
            <w:vAlign w:val="center"/>
            <w:hideMark/>
          </w:tcPr>
          <w:p w:rsidR="00EA45F9" w:rsidRPr="009B5734" w:rsidRDefault="00EA45F9" w:rsidP="00981615">
            <w:pPr>
              <w:pStyle w:val="TableHeadingWhite"/>
              <w:rPr>
                <w:rFonts w:ascii="Times New Roman" w:hAnsi="Times New Roman" w:cs="Times New Roman"/>
                <w:b/>
                <w:bCs/>
                <w:noProof/>
                <w:sz w:val="24"/>
                <w:szCs w:val="24"/>
              </w:rPr>
            </w:pPr>
          </w:p>
        </w:tc>
        <w:tc>
          <w:tcPr>
            <w:tcW w:w="84" w:type="dxa"/>
            <w:tcBorders>
              <w:top w:val="nil"/>
              <w:bottom w:val="nil"/>
            </w:tcBorders>
            <w:shd w:val="clear" w:color="auto" w:fill="FFFFFF" w:themeFill="background1"/>
            <w:textDirection w:val="btLr"/>
          </w:tcPr>
          <w:p w:rsidR="00EA45F9" w:rsidRPr="009B5734" w:rsidRDefault="00EA45F9" w:rsidP="00981615">
            <w:pPr>
              <w:pStyle w:val="TableHeadingWhite"/>
              <w:rPr>
                <w:rFonts w:ascii="Times New Roman" w:hAnsi="Times New Roman" w:cs="Times New Roman"/>
                <w:b/>
                <w:bCs/>
                <w:noProof/>
                <w:sz w:val="24"/>
                <w:szCs w:val="24"/>
              </w:rPr>
            </w:pPr>
          </w:p>
        </w:tc>
        <w:tc>
          <w:tcPr>
            <w:tcW w:w="922" w:type="dxa"/>
            <w:shd w:val="clear" w:color="auto" w:fill="002395"/>
            <w:textDirection w:val="btLr"/>
            <w:vAlign w:val="center"/>
            <w:hideMark/>
          </w:tcPr>
          <w:p w:rsidR="00EA45F9" w:rsidRPr="009B5734" w:rsidRDefault="00EA45F9" w:rsidP="00981615">
            <w:pPr>
              <w:pStyle w:val="TableHeadingWhite"/>
              <w:jc w:val="center"/>
              <w:rPr>
                <w:rFonts w:ascii="Times New Roman" w:hAnsi="Times New Roman" w:cs="Times New Roman"/>
                <w:b/>
                <w:bCs/>
                <w:noProof/>
                <w:sz w:val="24"/>
                <w:szCs w:val="24"/>
              </w:rPr>
            </w:pPr>
            <w:r w:rsidRPr="009B5734">
              <w:rPr>
                <w:rFonts w:ascii="Times New Roman" w:hAnsi="Times New Roman" w:cs="Times New Roman"/>
                <w:bCs/>
                <w:noProof/>
                <w:sz w:val="24"/>
                <w:szCs w:val="24"/>
              </w:rPr>
              <w:t>Citizens</w:t>
            </w:r>
          </w:p>
        </w:tc>
        <w:tc>
          <w:tcPr>
            <w:tcW w:w="923" w:type="dxa"/>
            <w:shd w:val="clear" w:color="auto" w:fill="002395"/>
            <w:textDirection w:val="btLr"/>
            <w:vAlign w:val="center"/>
            <w:hideMark/>
          </w:tcPr>
          <w:p w:rsidR="00EA45F9" w:rsidRPr="009B5734" w:rsidRDefault="00EA45F9" w:rsidP="00981615">
            <w:pPr>
              <w:pStyle w:val="TableHeadingWhite"/>
              <w:jc w:val="center"/>
              <w:rPr>
                <w:rFonts w:ascii="Times New Roman" w:hAnsi="Times New Roman" w:cs="Times New Roman"/>
                <w:b/>
                <w:bCs/>
                <w:noProof/>
                <w:sz w:val="24"/>
                <w:szCs w:val="24"/>
              </w:rPr>
            </w:pPr>
            <w:r w:rsidRPr="009B5734">
              <w:rPr>
                <w:rFonts w:ascii="Times New Roman" w:hAnsi="Times New Roman" w:cs="Times New Roman"/>
                <w:bCs/>
                <w:noProof/>
                <w:sz w:val="24"/>
                <w:szCs w:val="24"/>
              </w:rPr>
              <w:t>Consumers</w:t>
            </w:r>
          </w:p>
        </w:tc>
        <w:tc>
          <w:tcPr>
            <w:tcW w:w="923" w:type="dxa"/>
            <w:shd w:val="clear" w:color="auto" w:fill="002395"/>
            <w:textDirection w:val="btLr"/>
            <w:vAlign w:val="center"/>
            <w:hideMark/>
          </w:tcPr>
          <w:p w:rsidR="00EA45F9" w:rsidRPr="009B5734" w:rsidRDefault="00EA45F9" w:rsidP="00981615">
            <w:pPr>
              <w:pStyle w:val="TableHeadingWhite"/>
              <w:jc w:val="center"/>
              <w:rPr>
                <w:rFonts w:ascii="Times New Roman" w:hAnsi="Times New Roman" w:cs="Times New Roman"/>
                <w:b/>
                <w:bCs/>
                <w:noProof/>
                <w:sz w:val="24"/>
                <w:szCs w:val="24"/>
              </w:rPr>
            </w:pPr>
            <w:r w:rsidRPr="009B5734">
              <w:rPr>
                <w:rFonts w:ascii="Times New Roman" w:hAnsi="Times New Roman" w:cs="Times New Roman"/>
                <w:bCs/>
                <w:noProof/>
                <w:sz w:val="24"/>
                <w:szCs w:val="24"/>
              </w:rPr>
              <w:t>Complying enterprises (SMEs and large enterprises)</w:t>
            </w:r>
          </w:p>
        </w:tc>
        <w:tc>
          <w:tcPr>
            <w:tcW w:w="923" w:type="dxa"/>
            <w:shd w:val="clear" w:color="auto" w:fill="002395"/>
            <w:textDirection w:val="btLr"/>
            <w:vAlign w:val="center"/>
            <w:hideMark/>
          </w:tcPr>
          <w:p w:rsidR="00EA45F9" w:rsidRPr="009B5734" w:rsidRDefault="00EA45F9" w:rsidP="00981615">
            <w:pPr>
              <w:pStyle w:val="TableHeadingWhite"/>
              <w:jc w:val="center"/>
              <w:rPr>
                <w:rFonts w:ascii="Times New Roman" w:hAnsi="Times New Roman" w:cs="Times New Roman"/>
                <w:b/>
                <w:bCs/>
                <w:noProof/>
                <w:sz w:val="24"/>
                <w:szCs w:val="24"/>
              </w:rPr>
            </w:pPr>
            <w:r w:rsidRPr="009B5734">
              <w:rPr>
                <w:rFonts w:ascii="Times New Roman" w:hAnsi="Times New Roman" w:cs="Times New Roman"/>
                <w:bCs/>
                <w:noProof/>
                <w:sz w:val="24"/>
                <w:szCs w:val="24"/>
              </w:rPr>
              <w:t>Non-complying enterprises (SMEs and large</w:t>
            </w:r>
          </w:p>
        </w:tc>
        <w:tc>
          <w:tcPr>
            <w:tcW w:w="923" w:type="dxa"/>
            <w:shd w:val="clear" w:color="auto" w:fill="002395"/>
            <w:textDirection w:val="btLr"/>
            <w:vAlign w:val="center"/>
            <w:hideMark/>
          </w:tcPr>
          <w:p w:rsidR="00EA45F9" w:rsidRPr="009B5734" w:rsidRDefault="00EA45F9" w:rsidP="00981615">
            <w:pPr>
              <w:pStyle w:val="TableHeadingWhite"/>
              <w:jc w:val="center"/>
              <w:rPr>
                <w:rFonts w:ascii="Times New Roman" w:hAnsi="Times New Roman" w:cs="Times New Roman"/>
                <w:b/>
                <w:bCs/>
                <w:noProof/>
                <w:sz w:val="24"/>
                <w:szCs w:val="24"/>
              </w:rPr>
            </w:pPr>
            <w:r w:rsidRPr="009B5734">
              <w:rPr>
                <w:rFonts w:ascii="Times New Roman" w:hAnsi="Times New Roman" w:cs="Times New Roman"/>
                <w:bCs/>
                <w:noProof/>
                <w:sz w:val="24"/>
                <w:szCs w:val="24"/>
              </w:rPr>
              <w:t>Public administrations (EU, national)</w:t>
            </w:r>
          </w:p>
        </w:tc>
        <w:tc>
          <w:tcPr>
            <w:tcW w:w="923" w:type="dxa"/>
            <w:shd w:val="clear" w:color="auto" w:fill="002395"/>
            <w:textDirection w:val="btLr"/>
            <w:vAlign w:val="center"/>
          </w:tcPr>
          <w:p w:rsidR="00EA45F9" w:rsidRPr="009B5734" w:rsidRDefault="00EA45F9" w:rsidP="007A6C72">
            <w:pPr>
              <w:pStyle w:val="TableHeadingWhite"/>
              <w:jc w:val="center"/>
              <w:rPr>
                <w:rFonts w:ascii="Times New Roman" w:hAnsi="Times New Roman" w:cs="Times New Roman"/>
                <w:b/>
                <w:bCs/>
                <w:noProof/>
                <w:sz w:val="24"/>
                <w:szCs w:val="24"/>
              </w:rPr>
            </w:pPr>
            <w:r w:rsidRPr="005D7BE7">
              <w:rPr>
                <w:rFonts w:ascii="Times New Roman" w:hAnsi="Times New Roman" w:cs="Times New Roman"/>
                <w:noProof/>
                <w:sz w:val="24"/>
                <w:szCs w:val="24"/>
              </w:rPr>
              <w:t>Third countries</w:t>
            </w:r>
          </w:p>
        </w:tc>
        <w:tc>
          <w:tcPr>
            <w:tcW w:w="923" w:type="dxa"/>
            <w:shd w:val="clear" w:color="auto" w:fill="002395"/>
            <w:textDirection w:val="btLr"/>
            <w:vAlign w:val="center"/>
          </w:tcPr>
          <w:p w:rsidR="00EA45F9" w:rsidRPr="009B5734" w:rsidDel="001C54AA" w:rsidRDefault="00EA45F9" w:rsidP="00981615">
            <w:pPr>
              <w:pStyle w:val="TableHeadingWhite"/>
              <w:jc w:val="center"/>
              <w:rPr>
                <w:rFonts w:ascii="Times New Roman" w:hAnsi="Times New Roman" w:cs="Times New Roman"/>
                <w:b/>
                <w:bCs/>
                <w:noProof/>
                <w:sz w:val="24"/>
                <w:szCs w:val="24"/>
              </w:rPr>
            </w:pPr>
            <w:r w:rsidRPr="009B5734">
              <w:rPr>
                <w:rFonts w:ascii="Times New Roman" w:hAnsi="Times New Roman" w:cs="Times New Roman"/>
                <w:bCs/>
                <w:noProof/>
                <w:sz w:val="24"/>
                <w:szCs w:val="24"/>
              </w:rPr>
              <w:t>Nature</w:t>
            </w:r>
          </w:p>
        </w:tc>
        <w:tc>
          <w:tcPr>
            <w:tcW w:w="102" w:type="dxa"/>
            <w:gridSpan w:val="2"/>
            <w:tcBorders>
              <w:top w:val="nil"/>
              <w:bottom w:val="nil"/>
            </w:tcBorders>
            <w:shd w:val="clear" w:color="auto" w:fill="FFFFFF" w:themeFill="background1"/>
            <w:textDirection w:val="btLr"/>
          </w:tcPr>
          <w:p w:rsidR="00EA45F9" w:rsidRPr="009B5734" w:rsidRDefault="00EA45F9" w:rsidP="00981615">
            <w:pPr>
              <w:pStyle w:val="TableHeadingWhite"/>
              <w:rPr>
                <w:rFonts w:ascii="Times New Roman" w:hAnsi="Times New Roman" w:cs="Times New Roman"/>
                <w:b/>
                <w:bCs/>
                <w:noProof/>
                <w:sz w:val="24"/>
                <w:szCs w:val="24"/>
              </w:rPr>
            </w:pPr>
          </w:p>
        </w:tc>
        <w:tc>
          <w:tcPr>
            <w:tcW w:w="1143" w:type="dxa"/>
            <w:gridSpan w:val="2"/>
            <w:shd w:val="clear" w:color="auto" w:fill="002395"/>
            <w:textDirection w:val="btLr"/>
            <w:vAlign w:val="center"/>
          </w:tcPr>
          <w:p w:rsidR="00EA45F9" w:rsidRPr="009B5734" w:rsidRDefault="00EA45F9" w:rsidP="00981615">
            <w:pPr>
              <w:pStyle w:val="TableHeadingWhite"/>
              <w:jc w:val="center"/>
              <w:rPr>
                <w:rFonts w:ascii="Times New Roman" w:hAnsi="Times New Roman" w:cs="Times New Roman"/>
                <w:b/>
                <w:bCs/>
                <w:noProof/>
                <w:sz w:val="24"/>
                <w:szCs w:val="24"/>
              </w:rPr>
            </w:pPr>
            <w:r w:rsidRPr="009B5734">
              <w:rPr>
                <w:rFonts w:ascii="Times New Roman" w:hAnsi="Times New Roman" w:cs="Times New Roman"/>
                <w:bCs/>
                <w:noProof/>
                <w:sz w:val="24"/>
                <w:szCs w:val="24"/>
              </w:rPr>
              <w:t>Qualitative</w:t>
            </w:r>
          </w:p>
        </w:tc>
        <w:tc>
          <w:tcPr>
            <w:tcW w:w="1144" w:type="dxa"/>
            <w:shd w:val="clear" w:color="auto" w:fill="002395"/>
            <w:textDirection w:val="btLr"/>
            <w:vAlign w:val="center"/>
          </w:tcPr>
          <w:p w:rsidR="00EA45F9" w:rsidRPr="009B5734" w:rsidRDefault="00EA45F9" w:rsidP="00981615">
            <w:pPr>
              <w:pStyle w:val="TableHeadingWhite"/>
              <w:jc w:val="center"/>
              <w:rPr>
                <w:rFonts w:ascii="Times New Roman" w:hAnsi="Times New Roman" w:cs="Times New Roman"/>
                <w:b/>
                <w:bCs/>
                <w:noProof/>
                <w:sz w:val="24"/>
                <w:szCs w:val="24"/>
              </w:rPr>
            </w:pPr>
            <w:r w:rsidRPr="009B5734">
              <w:rPr>
                <w:rFonts w:ascii="Times New Roman" w:hAnsi="Times New Roman" w:cs="Times New Roman"/>
                <w:bCs/>
                <w:noProof/>
                <w:sz w:val="24"/>
                <w:szCs w:val="24"/>
              </w:rPr>
              <w:t>Quantitative</w:t>
            </w:r>
          </w:p>
        </w:tc>
      </w:tr>
      <w:tr w:rsidR="00EA45F9" w:rsidRPr="009B5734" w:rsidTr="00C84A99">
        <w:trPr>
          <w:gridAfter w:val="1"/>
          <w:wAfter w:w="7" w:type="dxa"/>
          <w:trHeight w:val="341"/>
        </w:trPr>
        <w:tc>
          <w:tcPr>
            <w:tcW w:w="4819" w:type="dxa"/>
            <w:shd w:val="clear" w:color="auto" w:fill="auto"/>
            <w:noWrap/>
            <w:vAlign w:val="center"/>
            <w:hideMark/>
          </w:tcPr>
          <w:p w:rsidR="00EA45F9" w:rsidRPr="009B5734" w:rsidRDefault="00EA45F9" w:rsidP="00981615">
            <w:pPr>
              <w:pStyle w:val="TableTextNoSpace"/>
              <w:ind w:left="142" w:firstLine="0"/>
              <w:rPr>
                <w:rFonts w:ascii="Times New Roman" w:hAnsi="Times New Roman"/>
                <w:noProof/>
                <w:color w:val="000000"/>
                <w:sz w:val="24"/>
              </w:rPr>
            </w:pPr>
            <w:r w:rsidRPr="009B5734">
              <w:rPr>
                <w:rFonts w:ascii="Times New Roman" w:hAnsi="Times New Roman"/>
                <w:noProof/>
                <w:color w:val="000000"/>
                <w:sz w:val="24"/>
              </w:rPr>
              <w:t>Consumer benefits and losses</w:t>
            </w:r>
          </w:p>
        </w:tc>
        <w:tc>
          <w:tcPr>
            <w:tcW w:w="84" w:type="dxa"/>
            <w:tcBorders>
              <w:top w:val="nil"/>
              <w:bottom w:val="nil"/>
            </w:tcBorders>
            <w:shd w:val="clear" w:color="auto" w:fill="FFFFFF" w:themeFill="background1"/>
          </w:tcPr>
          <w:p w:rsidR="00EA45F9" w:rsidRPr="009B5734" w:rsidRDefault="00EA45F9" w:rsidP="00981615">
            <w:pPr>
              <w:pStyle w:val="TableTextNoSpace"/>
              <w:rPr>
                <w:rFonts w:ascii="Times New Roman" w:hAnsi="Times New Roman"/>
                <w:noProof/>
                <w:color w:val="1F497D" w:themeColor="text2"/>
                <w:sz w:val="24"/>
              </w:rPr>
            </w:pPr>
          </w:p>
        </w:tc>
        <w:tc>
          <w:tcPr>
            <w:tcW w:w="922" w:type="dxa"/>
            <w:shd w:val="clear" w:color="auto" w:fill="auto"/>
            <w:vAlign w:val="center"/>
            <w:hideMark/>
          </w:tcPr>
          <w:p w:rsidR="00EA45F9" w:rsidRPr="009B5734" w:rsidRDefault="00EA45F9" w:rsidP="00981615">
            <w:pPr>
              <w:pStyle w:val="TableTextNoSpace"/>
              <w:jc w:val="center"/>
              <w:rPr>
                <w:rFonts w:ascii="Times New Roman" w:hAnsi="Times New Roman"/>
                <w:noProof/>
                <w:color w:val="1F497D" w:themeColor="text2"/>
                <w:sz w:val="24"/>
              </w:rPr>
            </w:pPr>
          </w:p>
        </w:tc>
        <w:tc>
          <w:tcPr>
            <w:tcW w:w="923" w:type="dxa"/>
            <w:shd w:val="clear" w:color="auto" w:fill="auto"/>
            <w:vAlign w:val="center"/>
            <w:hideMark/>
          </w:tcPr>
          <w:p w:rsidR="00EA45F9" w:rsidRPr="009B5734" w:rsidRDefault="00EA45F9" w:rsidP="00981615">
            <w:pPr>
              <w:pStyle w:val="TableTextNoSpace"/>
              <w:jc w:val="center"/>
              <w:rPr>
                <w:rFonts w:ascii="Times New Roman" w:hAnsi="Times New Roman"/>
                <w:noProof/>
                <w:color w:val="1F497D" w:themeColor="text2"/>
                <w:sz w:val="24"/>
              </w:rPr>
            </w:pPr>
            <w:r w:rsidRPr="009B5734">
              <w:rPr>
                <w:rFonts w:ascii="Times New Roman" w:eastAsia="Wingdings" w:hAnsi="Times New Roman"/>
                <w:noProof/>
                <w:color w:val="9BBB59" w:themeColor="accent3"/>
                <w:sz w:val="24"/>
              </w:rPr>
              <w:t>X</w:t>
            </w:r>
          </w:p>
        </w:tc>
        <w:tc>
          <w:tcPr>
            <w:tcW w:w="923" w:type="dxa"/>
            <w:shd w:val="clear" w:color="auto" w:fill="auto"/>
            <w:vAlign w:val="center"/>
            <w:hideMark/>
          </w:tcPr>
          <w:p w:rsidR="00EA45F9" w:rsidRPr="009B5734" w:rsidRDefault="00EA45F9" w:rsidP="00981615">
            <w:pPr>
              <w:pStyle w:val="TableTextNoSpace"/>
              <w:jc w:val="center"/>
              <w:rPr>
                <w:rFonts w:ascii="Times New Roman" w:hAnsi="Times New Roman"/>
                <w:noProof/>
                <w:color w:val="1F497D" w:themeColor="text2"/>
                <w:sz w:val="24"/>
              </w:rPr>
            </w:pPr>
          </w:p>
        </w:tc>
        <w:tc>
          <w:tcPr>
            <w:tcW w:w="923" w:type="dxa"/>
            <w:shd w:val="clear" w:color="auto" w:fill="auto"/>
            <w:vAlign w:val="center"/>
            <w:hideMark/>
          </w:tcPr>
          <w:p w:rsidR="00EA45F9" w:rsidRPr="009B5734" w:rsidRDefault="00EA45F9" w:rsidP="00981615">
            <w:pPr>
              <w:pStyle w:val="TableTextNoSpace"/>
              <w:jc w:val="center"/>
              <w:rPr>
                <w:rFonts w:ascii="Times New Roman" w:hAnsi="Times New Roman"/>
                <w:noProof/>
                <w:color w:val="1F497D" w:themeColor="text2"/>
                <w:sz w:val="24"/>
              </w:rPr>
            </w:pPr>
          </w:p>
        </w:tc>
        <w:tc>
          <w:tcPr>
            <w:tcW w:w="923" w:type="dxa"/>
            <w:shd w:val="clear" w:color="auto" w:fill="auto"/>
            <w:vAlign w:val="center"/>
            <w:hideMark/>
          </w:tcPr>
          <w:p w:rsidR="00EA45F9" w:rsidRPr="009B5734" w:rsidRDefault="00EA45F9" w:rsidP="00981615">
            <w:pPr>
              <w:pStyle w:val="TableTextNoSpace"/>
              <w:jc w:val="center"/>
              <w:rPr>
                <w:rFonts w:ascii="Times New Roman" w:hAnsi="Times New Roman"/>
                <w:noProof/>
                <w:color w:val="1F497D" w:themeColor="text2"/>
                <w:sz w:val="24"/>
              </w:rPr>
            </w:pPr>
          </w:p>
        </w:tc>
        <w:tc>
          <w:tcPr>
            <w:tcW w:w="923" w:type="dxa"/>
            <w:shd w:val="clear" w:color="auto" w:fill="auto"/>
            <w:vAlign w:val="center"/>
          </w:tcPr>
          <w:p w:rsidR="00EA45F9" w:rsidRPr="009B5734" w:rsidRDefault="00EA45F9" w:rsidP="00981615">
            <w:pPr>
              <w:pStyle w:val="TableTextNoSpace"/>
              <w:jc w:val="center"/>
              <w:rPr>
                <w:rFonts w:ascii="Times New Roman" w:hAnsi="Times New Roman"/>
                <w:noProof/>
                <w:color w:val="1F497D" w:themeColor="text2"/>
                <w:sz w:val="24"/>
              </w:rPr>
            </w:pPr>
          </w:p>
        </w:tc>
        <w:tc>
          <w:tcPr>
            <w:tcW w:w="923" w:type="dxa"/>
            <w:shd w:val="clear" w:color="auto" w:fill="auto"/>
            <w:vAlign w:val="center"/>
          </w:tcPr>
          <w:p w:rsidR="00EA45F9" w:rsidRPr="009B5734" w:rsidRDefault="00EA45F9" w:rsidP="00981615">
            <w:pPr>
              <w:pStyle w:val="TableTextNoSpace"/>
              <w:jc w:val="center"/>
              <w:rPr>
                <w:rFonts w:ascii="Times New Roman" w:hAnsi="Times New Roman"/>
                <w:noProof/>
                <w:color w:val="1F497D" w:themeColor="text2"/>
                <w:sz w:val="24"/>
              </w:rPr>
            </w:pPr>
          </w:p>
        </w:tc>
        <w:tc>
          <w:tcPr>
            <w:tcW w:w="102" w:type="dxa"/>
            <w:gridSpan w:val="2"/>
            <w:tcBorders>
              <w:top w:val="nil"/>
              <w:bottom w:val="nil"/>
            </w:tcBorders>
            <w:shd w:val="clear" w:color="auto" w:fill="FFFFFF" w:themeFill="background1"/>
            <w:vAlign w:val="center"/>
          </w:tcPr>
          <w:p w:rsidR="00EA45F9" w:rsidRPr="009B5734" w:rsidRDefault="00EA45F9" w:rsidP="00981615">
            <w:pPr>
              <w:pStyle w:val="TableTextNoSpace"/>
              <w:jc w:val="center"/>
              <w:rPr>
                <w:rFonts w:ascii="Times New Roman" w:eastAsia="Wingdings" w:hAnsi="Times New Roman"/>
                <w:noProof/>
                <w:color w:val="1F497D" w:themeColor="text2"/>
                <w:sz w:val="24"/>
              </w:rPr>
            </w:pPr>
          </w:p>
        </w:tc>
        <w:tc>
          <w:tcPr>
            <w:tcW w:w="1143" w:type="dxa"/>
            <w:gridSpan w:val="2"/>
            <w:shd w:val="clear" w:color="auto" w:fill="auto"/>
            <w:vAlign w:val="center"/>
          </w:tcPr>
          <w:p w:rsidR="00EA45F9" w:rsidRPr="009B5734" w:rsidRDefault="00EA45F9" w:rsidP="00981615">
            <w:pPr>
              <w:pStyle w:val="TableTextNoSpace"/>
              <w:jc w:val="center"/>
              <w:rPr>
                <w:rFonts w:ascii="Times New Roman" w:hAnsi="Times New Roman"/>
                <w:noProof/>
                <w:sz w:val="24"/>
              </w:rPr>
            </w:pPr>
            <w:r w:rsidRPr="009B5734">
              <w:rPr>
                <w:rFonts w:ascii="Times New Roman" w:eastAsia="Wingdings" w:hAnsi="Times New Roman"/>
                <w:noProof/>
                <w:color w:val="1F497D" w:themeColor="text2"/>
                <w:sz w:val="24"/>
              </w:rPr>
              <w:t>X</w:t>
            </w:r>
          </w:p>
        </w:tc>
        <w:tc>
          <w:tcPr>
            <w:tcW w:w="1144" w:type="dxa"/>
            <w:shd w:val="clear" w:color="auto" w:fill="auto"/>
            <w:vAlign w:val="center"/>
          </w:tcPr>
          <w:p w:rsidR="00EA45F9" w:rsidRPr="009B5734" w:rsidRDefault="00EA45F9" w:rsidP="00981615">
            <w:pPr>
              <w:pStyle w:val="TableTextNoSpace"/>
              <w:jc w:val="center"/>
              <w:rPr>
                <w:rFonts w:ascii="Times New Roman" w:hAnsi="Times New Roman"/>
                <w:noProof/>
                <w:sz w:val="24"/>
              </w:rPr>
            </w:pPr>
            <w:r w:rsidRPr="009B5734">
              <w:rPr>
                <w:rFonts w:ascii="Times New Roman" w:eastAsia="Wingdings" w:hAnsi="Times New Roman"/>
                <w:noProof/>
                <w:color w:val="1F497D" w:themeColor="text2"/>
                <w:sz w:val="24"/>
              </w:rPr>
              <w:t>partial</w:t>
            </w:r>
          </w:p>
        </w:tc>
      </w:tr>
      <w:tr w:rsidR="00EA45F9" w:rsidRPr="009B5734" w:rsidTr="00C84A99">
        <w:trPr>
          <w:gridAfter w:val="1"/>
          <w:wAfter w:w="7" w:type="dxa"/>
          <w:trHeight w:val="341"/>
        </w:trPr>
        <w:tc>
          <w:tcPr>
            <w:tcW w:w="4819" w:type="dxa"/>
            <w:shd w:val="clear" w:color="auto" w:fill="auto"/>
            <w:noWrap/>
            <w:vAlign w:val="center"/>
            <w:hideMark/>
          </w:tcPr>
          <w:p w:rsidR="00EA45F9" w:rsidRPr="009B5734" w:rsidRDefault="00EA45F9" w:rsidP="00981615">
            <w:pPr>
              <w:pStyle w:val="TableTextNoSpace"/>
              <w:ind w:left="142" w:firstLine="0"/>
              <w:rPr>
                <w:rFonts w:ascii="Times New Roman" w:hAnsi="Times New Roman"/>
                <w:noProof/>
                <w:color w:val="000000"/>
                <w:sz w:val="24"/>
              </w:rPr>
            </w:pPr>
            <w:r w:rsidRPr="009B5734">
              <w:rPr>
                <w:rFonts w:ascii="Times New Roman" w:hAnsi="Times New Roman"/>
                <w:noProof/>
                <w:color w:val="000000"/>
                <w:sz w:val="24"/>
              </w:rPr>
              <w:t>Functioning of the EU internal market</w:t>
            </w:r>
          </w:p>
        </w:tc>
        <w:tc>
          <w:tcPr>
            <w:tcW w:w="84" w:type="dxa"/>
            <w:tcBorders>
              <w:top w:val="nil"/>
              <w:bottom w:val="nil"/>
            </w:tcBorders>
            <w:shd w:val="clear" w:color="auto" w:fill="FFFFFF" w:themeFill="background1"/>
          </w:tcPr>
          <w:p w:rsidR="00EA45F9" w:rsidRPr="009B5734" w:rsidRDefault="00EA45F9" w:rsidP="00981615">
            <w:pPr>
              <w:pStyle w:val="TableTextNoSpace"/>
              <w:rPr>
                <w:rFonts w:ascii="Times New Roman" w:hAnsi="Times New Roman"/>
                <w:noProof/>
                <w:color w:val="1F497D" w:themeColor="text2"/>
                <w:sz w:val="24"/>
              </w:rPr>
            </w:pPr>
          </w:p>
        </w:tc>
        <w:tc>
          <w:tcPr>
            <w:tcW w:w="922" w:type="dxa"/>
            <w:shd w:val="clear" w:color="auto" w:fill="auto"/>
            <w:vAlign w:val="center"/>
            <w:hideMark/>
          </w:tcPr>
          <w:p w:rsidR="00EA45F9" w:rsidRPr="009B5734" w:rsidRDefault="00EA45F9" w:rsidP="00981615">
            <w:pPr>
              <w:pStyle w:val="TableTextNoSpace"/>
              <w:jc w:val="center"/>
              <w:rPr>
                <w:rFonts w:ascii="Times New Roman" w:hAnsi="Times New Roman"/>
                <w:noProof/>
                <w:color w:val="1F497D" w:themeColor="text2"/>
                <w:sz w:val="24"/>
              </w:rPr>
            </w:pPr>
          </w:p>
        </w:tc>
        <w:tc>
          <w:tcPr>
            <w:tcW w:w="923" w:type="dxa"/>
            <w:shd w:val="clear" w:color="auto" w:fill="auto"/>
            <w:vAlign w:val="center"/>
            <w:hideMark/>
          </w:tcPr>
          <w:p w:rsidR="00EA45F9" w:rsidRPr="009B5734" w:rsidRDefault="00EA45F9" w:rsidP="00981615">
            <w:pPr>
              <w:pStyle w:val="TableTextNoSpace"/>
              <w:jc w:val="center"/>
              <w:rPr>
                <w:rFonts w:ascii="Times New Roman" w:hAnsi="Times New Roman"/>
                <w:noProof/>
                <w:color w:val="1F497D" w:themeColor="text2"/>
                <w:sz w:val="24"/>
              </w:rPr>
            </w:pPr>
            <w:r w:rsidRPr="009B5734">
              <w:rPr>
                <w:rFonts w:ascii="Times New Roman" w:eastAsia="Wingdings" w:hAnsi="Times New Roman"/>
                <w:noProof/>
                <w:color w:val="9BBB59" w:themeColor="accent3"/>
                <w:sz w:val="24"/>
              </w:rPr>
              <w:t>X</w:t>
            </w:r>
          </w:p>
        </w:tc>
        <w:tc>
          <w:tcPr>
            <w:tcW w:w="923" w:type="dxa"/>
            <w:shd w:val="clear" w:color="auto" w:fill="auto"/>
            <w:vAlign w:val="center"/>
            <w:hideMark/>
          </w:tcPr>
          <w:p w:rsidR="00EA45F9" w:rsidRPr="009B5734" w:rsidRDefault="00EA45F9" w:rsidP="00981615">
            <w:pPr>
              <w:pStyle w:val="TableTextNoSpace"/>
              <w:jc w:val="center"/>
              <w:rPr>
                <w:rFonts w:ascii="Times New Roman" w:hAnsi="Times New Roman"/>
                <w:noProof/>
                <w:color w:val="1F497D" w:themeColor="text2"/>
                <w:sz w:val="24"/>
              </w:rPr>
            </w:pPr>
            <w:r w:rsidRPr="009B5734">
              <w:rPr>
                <w:rFonts w:ascii="Times New Roman" w:eastAsia="Wingdings" w:hAnsi="Times New Roman"/>
                <w:noProof/>
                <w:color w:val="9BBB59" w:themeColor="accent3"/>
                <w:sz w:val="24"/>
              </w:rPr>
              <w:t>X</w:t>
            </w:r>
          </w:p>
        </w:tc>
        <w:tc>
          <w:tcPr>
            <w:tcW w:w="923" w:type="dxa"/>
            <w:shd w:val="clear" w:color="auto" w:fill="auto"/>
            <w:vAlign w:val="center"/>
            <w:hideMark/>
          </w:tcPr>
          <w:p w:rsidR="00EA45F9" w:rsidRPr="009B5734" w:rsidRDefault="00EA45F9" w:rsidP="00981615">
            <w:pPr>
              <w:pStyle w:val="TableTextNoSpace"/>
              <w:jc w:val="center"/>
              <w:rPr>
                <w:rFonts w:ascii="Times New Roman" w:hAnsi="Times New Roman"/>
                <w:noProof/>
                <w:color w:val="1F497D" w:themeColor="text2"/>
                <w:sz w:val="24"/>
              </w:rPr>
            </w:pPr>
            <w:r w:rsidRPr="009B5734">
              <w:rPr>
                <w:rFonts w:ascii="Times New Roman" w:eastAsia="Wingdings" w:hAnsi="Times New Roman"/>
                <w:noProof/>
                <w:color w:val="C0504D" w:themeColor="accent2"/>
                <w:sz w:val="24"/>
              </w:rPr>
              <w:t>X</w:t>
            </w:r>
          </w:p>
        </w:tc>
        <w:tc>
          <w:tcPr>
            <w:tcW w:w="923" w:type="dxa"/>
            <w:shd w:val="clear" w:color="auto" w:fill="auto"/>
            <w:vAlign w:val="center"/>
            <w:hideMark/>
          </w:tcPr>
          <w:p w:rsidR="00EA45F9" w:rsidRPr="009B5734" w:rsidRDefault="00EA45F9" w:rsidP="00981615">
            <w:pPr>
              <w:pStyle w:val="TableTextNoSpace"/>
              <w:jc w:val="center"/>
              <w:rPr>
                <w:rFonts w:ascii="Times New Roman" w:hAnsi="Times New Roman"/>
                <w:noProof/>
                <w:color w:val="1F497D" w:themeColor="text2"/>
                <w:sz w:val="24"/>
              </w:rPr>
            </w:pPr>
          </w:p>
        </w:tc>
        <w:tc>
          <w:tcPr>
            <w:tcW w:w="923" w:type="dxa"/>
            <w:shd w:val="clear" w:color="auto" w:fill="auto"/>
            <w:vAlign w:val="center"/>
          </w:tcPr>
          <w:p w:rsidR="00EA45F9" w:rsidRPr="009B5734" w:rsidRDefault="00EA45F9" w:rsidP="00981615">
            <w:pPr>
              <w:pStyle w:val="TableTextNoSpace"/>
              <w:jc w:val="center"/>
              <w:rPr>
                <w:rFonts w:ascii="Times New Roman" w:hAnsi="Times New Roman"/>
                <w:noProof/>
                <w:color w:val="1F497D" w:themeColor="text2"/>
                <w:sz w:val="24"/>
              </w:rPr>
            </w:pPr>
          </w:p>
        </w:tc>
        <w:tc>
          <w:tcPr>
            <w:tcW w:w="923" w:type="dxa"/>
            <w:shd w:val="clear" w:color="auto" w:fill="auto"/>
            <w:vAlign w:val="center"/>
          </w:tcPr>
          <w:p w:rsidR="00EA45F9" w:rsidRPr="009B5734" w:rsidRDefault="00EA45F9" w:rsidP="00981615">
            <w:pPr>
              <w:pStyle w:val="TableTextNoSpace"/>
              <w:jc w:val="center"/>
              <w:rPr>
                <w:rFonts w:ascii="Times New Roman" w:hAnsi="Times New Roman"/>
                <w:noProof/>
                <w:color w:val="1F497D" w:themeColor="text2"/>
                <w:sz w:val="24"/>
              </w:rPr>
            </w:pPr>
          </w:p>
        </w:tc>
        <w:tc>
          <w:tcPr>
            <w:tcW w:w="102" w:type="dxa"/>
            <w:gridSpan w:val="2"/>
            <w:tcBorders>
              <w:top w:val="nil"/>
              <w:bottom w:val="nil"/>
            </w:tcBorders>
            <w:shd w:val="clear" w:color="auto" w:fill="FFFFFF" w:themeFill="background1"/>
            <w:vAlign w:val="center"/>
          </w:tcPr>
          <w:p w:rsidR="00EA45F9" w:rsidRPr="009B5734" w:rsidRDefault="00EA45F9" w:rsidP="00981615">
            <w:pPr>
              <w:pStyle w:val="TableTextNoSpace"/>
              <w:jc w:val="center"/>
              <w:rPr>
                <w:rFonts w:ascii="Times New Roman" w:eastAsia="Wingdings" w:hAnsi="Times New Roman"/>
                <w:noProof/>
                <w:color w:val="1F497D" w:themeColor="text2"/>
                <w:sz w:val="24"/>
              </w:rPr>
            </w:pPr>
          </w:p>
        </w:tc>
        <w:tc>
          <w:tcPr>
            <w:tcW w:w="1143" w:type="dxa"/>
            <w:gridSpan w:val="2"/>
            <w:shd w:val="clear" w:color="auto" w:fill="auto"/>
            <w:vAlign w:val="center"/>
          </w:tcPr>
          <w:p w:rsidR="00EA45F9" w:rsidRPr="009B5734" w:rsidRDefault="00EA45F9" w:rsidP="00981615">
            <w:pPr>
              <w:pStyle w:val="TableTextNoSpace"/>
              <w:jc w:val="center"/>
              <w:rPr>
                <w:rFonts w:ascii="Times New Roman" w:hAnsi="Times New Roman"/>
                <w:noProof/>
                <w:sz w:val="24"/>
              </w:rPr>
            </w:pPr>
            <w:r w:rsidRPr="009B5734">
              <w:rPr>
                <w:rFonts w:ascii="Times New Roman" w:eastAsia="Wingdings" w:hAnsi="Times New Roman"/>
                <w:noProof/>
                <w:color w:val="1F497D" w:themeColor="text2"/>
                <w:sz w:val="24"/>
              </w:rPr>
              <w:t>X</w:t>
            </w:r>
          </w:p>
        </w:tc>
        <w:tc>
          <w:tcPr>
            <w:tcW w:w="1144" w:type="dxa"/>
            <w:shd w:val="clear" w:color="auto" w:fill="auto"/>
            <w:vAlign w:val="center"/>
          </w:tcPr>
          <w:p w:rsidR="00EA45F9" w:rsidRPr="009B5734" w:rsidRDefault="00EA45F9" w:rsidP="00981615">
            <w:pPr>
              <w:pStyle w:val="TableTextNoSpace"/>
              <w:jc w:val="center"/>
              <w:rPr>
                <w:rFonts w:ascii="Times New Roman" w:hAnsi="Times New Roman"/>
                <w:noProof/>
                <w:sz w:val="24"/>
              </w:rPr>
            </w:pPr>
          </w:p>
        </w:tc>
      </w:tr>
      <w:tr w:rsidR="00EA45F9" w:rsidRPr="009B5734" w:rsidTr="00C84A99">
        <w:trPr>
          <w:gridAfter w:val="1"/>
          <w:wAfter w:w="7" w:type="dxa"/>
          <w:trHeight w:val="341"/>
        </w:trPr>
        <w:tc>
          <w:tcPr>
            <w:tcW w:w="4819" w:type="dxa"/>
            <w:shd w:val="clear" w:color="auto" w:fill="auto"/>
            <w:noWrap/>
            <w:vAlign w:val="center"/>
            <w:hideMark/>
          </w:tcPr>
          <w:p w:rsidR="00EA45F9" w:rsidRPr="009B5734" w:rsidRDefault="00EA45F9" w:rsidP="00981615">
            <w:pPr>
              <w:pStyle w:val="TableTextNoSpace"/>
              <w:ind w:left="142" w:firstLine="0"/>
              <w:rPr>
                <w:rFonts w:ascii="Times New Roman" w:hAnsi="Times New Roman"/>
                <w:noProof/>
                <w:color w:val="000000"/>
                <w:sz w:val="24"/>
              </w:rPr>
            </w:pPr>
            <w:r w:rsidRPr="009B5734">
              <w:rPr>
                <w:rFonts w:ascii="Times New Roman" w:hAnsi="Times New Roman"/>
                <w:noProof/>
                <w:color w:val="000000"/>
                <w:sz w:val="24"/>
              </w:rPr>
              <w:t>Costs to companies and impact on SMEs</w:t>
            </w:r>
          </w:p>
        </w:tc>
        <w:tc>
          <w:tcPr>
            <w:tcW w:w="84" w:type="dxa"/>
            <w:tcBorders>
              <w:top w:val="nil"/>
              <w:bottom w:val="nil"/>
            </w:tcBorders>
            <w:shd w:val="clear" w:color="auto" w:fill="FFFFFF" w:themeFill="background1"/>
          </w:tcPr>
          <w:p w:rsidR="00EA45F9" w:rsidRPr="009B5734" w:rsidRDefault="00EA45F9" w:rsidP="00981615">
            <w:pPr>
              <w:pStyle w:val="TableTextNoSpace"/>
              <w:rPr>
                <w:rFonts w:ascii="Times New Roman" w:eastAsia="Wingdings" w:hAnsi="Times New Roman"/>
                <w:noProof/>
                <w:color w:val="1F497D" w:themeColor="text2"/>
                <w:sz w:val="24"/>
              </w:rPr>
            </w:pPr>
          </w:p>
        </w:tc>
        <w:tc>
          <w:tcPr>
            <w:tcW w:w="922" w:type="dxa"/>
            <w:shd w:val="clear" w:color="auto" w:fill="auto"/>
            <w:vAlign w:val="center"/>
            <w:hideMark/>
          </w:tcPr>
          <w:p w:rsidR="00EA45F9" w:rsidRPr="009B5734" w:rsidRDefault="00EA45F9" w:rsidP="00981615">
            <w:pPr>
              <w:pStyle w:val="TableTextNoSpace"/>
              <w:jc w:val="center"/>
              <w:rPr>
                <w:rFonts w:ascii="Times New Roman" w:hAnsi="Times New Roman"/>
                <w:noProof/>
                <w:color w:val="1F497D" w:themeColor="text2"/>
                <w:sz w:val="24"/>
              </w:rPr>
            </w:pPr>
          </w:p>
        </w:tc>
        <w:tc>
          <w:tcPr>
            <w:tcW w:w="923" w:type="dxa"/>
            <w:shd w:val="clear" w:color="auto" w:fill="auto"/>
            <w:vAlign w:val="center"/>
            <w:hideMark/>
          </w:tcPr>
          <w:p w:rsidR="00EA45F9" w:rsidRPr="009B5734" w:rsidRDefault="00EA45F9" w:rsidP="00981615">
            <w:pPr>
              <w:pStyle w:val="TableTextNoSpace"/>
              <w:jc w:val="center"/>
              <w:rPr>
                <w:rFonts w:ascii="Times New Roman" w:hAnsi="Times New Roman"/>
                <w:noProof/>
                <w:color w:val="1F497D" w:themeColor="text2"/>
                <w:sz w:val="24"/>
              </w:rPr>
            </w:pPr>
          </w:p>
        </w:tc>
        <w:tc>
          <w:tcPr>
            <w:tcW w:w="923" w:type="dxa"/>
            <w:shd w:val="clear" w:color="auto" w:fill="auto"/>
            <w:vAlign w:val="center"/>
            <w:hideMark/>
          </w:tcPr>
          <w:p w:rsidR="00EA45F9" w:rsidRPr="009B5734" w:rsidRDefault="00EA45F9" w:rsidP="00981615">
            <w:pPr>
              <w:pStyle w:val="TableTextNoSpace"/>
              <w:jc w:val="center"/>
              <w:rPr>
                <w:rFonts w:ascii="Times New Roman" w:hAnsi="Times New Roman"/>
                <w:noProof/>
                <w:color w:val="C0504D" w:themeColor="accent2"/>
                <w:sz w:val="24"/>
              </w:rPr>
            </w:pPr>
            <w:r w:rsidRPr="009B5734">
              <w:rPr>
                <w:rFonts w:ascii="Times New Roman" w:eastAsia="Wingdings" w:hAnsi="Times New Roman"/>
                <w:noProof/>
                <w:color w:val="C0504D" w:themeColor="accent2"/>
                <w:sz w:val="24"/>
              </w:rPr>
              <w:t>X</w:t>
            </w:r>
          </w:p>
        </w:tc>
        <w:tc>
          <w:tcPr>
            <w:tcW w:w="923" w:type="dxa"/>
            <w:shd w:val="clear" w:color="auto" w:fill="auto"/>
            <w:vAlign w:val="center"/>
            <w:hideMark/>
          </w:tcPr>
          <w:p w:rsidR="00EA45F9" w:rsidRPr="009B5734" w:rsidRDefault="00EA45F9" w:rsidP="00981615">
            <w:pPr>
              <w:pStyle w:val="TableTextNoSpace"/>
              <w:jc w:val="center"/>
              <w:rPr>
                <w:rFonts w:ascii="Times New Roman" w:hAnsi="Times New Roman"/>
                <w:noProof/>
                <w:color w:val="1F497D" w:themeColor="text2"/>
                <w:sz w:val="24"/>
              </w:rPr>
            </w:pPr>
            <w:r w:rsidRPr="009B5734">
              <w:rPr>
                <w:rFonts w:ascii="Times New Roman" w:eastAsia="Wingdings" w:hAnsi="Times New Roman"/>
                <w:noProof/>
                <w:color w:val="C0504D" w:themeColor="accent2"/>
                <w:sz w:val="24"/>
              </w:rPr>
              <w:t>X</w:t>
            </w:r>
          </w:p>
        </w:tc>
        <w:tc>
          <w:tcPr>
            <w:tcW w:w="923" w:type="dxa"/>
            <w:shd w:val="clear" w:color="auto" w:fill="auto"/>
            <w:vAlign w:val="center"/>
            <w:hideMark/>
          </w:tcPr>
          <w:p w:rsidR="00EA45F9" w:rsidRPr="009B5734" w:rsidRDefault="00EA45F9" w:rsidP="00981615">
            <w:pPr>
              <w:pStyle w:val="TableTextNoSpace"/>
              <w:jc w:val="center"/>
              <w:rPr>
                <w:rFonts w:ascii="Times New Roman" w:hAnsi="Times New Roman"/>
                <w:noProof/>
                <w:color w:val="1F497D" w:themeColor="text2"/>
                <w:sz w:val="24"/>
              </w:rPr>
            </w:pPr>
          </w:p>
        </w:tc>
        <w:tc>
          <w:tcPr>
            <w:tcW w:w="923" w:type="dxa"/>
            <w:shd w:val="clear" w:color="auto" w:fill="auto"/>
            <w:vAlign w:val="center"/>
          </w:tcPr>
          <w:p w:rsidR="00EA45F9" w:rsidRPr="009B5734" w:rsidRDefault="00EA45F9" w:rsidP="00981615">
            <w:pPr>
              <w:pStyle w:val="TableTextNoSpace"/>
              <w:jc w:val="center"/>
              <w:rPr>
                <w:rFonts w:ascii="Times New Roman" w:hAnsi="Times New Roman"/>
                <w:noProof/>
                <w:color w:val="1F497D" w:themeColor="text2"/>
                <w:sz w:val="24"/>
              </w:rPr>
            </w:pPr>
          </w:p>
        </w:tc>
        <w:tc>
          <w:tcPr>
            <w:tcW w:w="923" w:type="dxa"/>
            <w:shd w:val="clear" w:color="auto" w:fill="auto"/>
            <w:vAlign w:val="center"/>
          </w:tcPr>
          <w:p w:rsidR="00EA45F9" w:rsidRPr="009B5734" w:rsidRDefault="00EA45F9" w:rsidP="00981615">
            <w:pPr>
              <w:pStyle w:val="TableTextNoSpace"/>
              <w:jc w:val="center"/>
              <w:rPr>
                <w:rFonts w:ascii="Times New Roman" w:hAnsi="Times New Roman"/>
                <w:noProof/>
                <w:color w:val="1F497D" w:themeColor="text2"/>
                <w:sz w:val="24"/>
              </w:rPr>
            </w:pPr>
          </w:p>
        </w:tc>
        <w:tc>
          <w:tcPr>
            <w:tcW w:w="102" w:type="dxa"/>
            <w:gridSpan w:val="2"/>
            <w:tcBorders>
              <w:top w:val="nil"/>
              <w:bottom w:val="nil"/>
            </w:tcBorders>
            <w:shd w:val="clear" w:color="auto" w:fill="FFFFFF" w:themeFill="background1"/>
            <w:vAlign w:val="center"/>
          </w:tcPr>
          <w:p w:rsidR="00EA45F9" w:rsidRPr="009B5734" w:rsidRDefault="00EA45F9" w:rsidP="00981615">
            <w:pPr>
              <w:pStyle w:val="TableTextNoSpace"/>
              <w:jc w:val="center"/>
              <w:rPr>
                <w:rFonts w:ascii="Times New Roman" w:eastAsia="Wingdings" w:hAnsi="Times New Roman"/>
                <w:noProof/>
                <w:color w:val="1F497D" w:themeColor="text2"/>
                <w:sz w:val="24"/>
              </w:rPr>
            </w:pPr>
          </w:p>
        </w:tc>
        <w:tc>
          <w:tcPr>
            <w:tcW w:w="1143" w:type="dxa"/>
            <w:gridSpan w:val="2"/>
            <w:shd w:val="clear" w:color="auto" w:fill="auto"/>
            <w:vAlign w:val="center"/>
          </w:tcPr>
          <w:p w:rsidR="00EA45F9" w:rsidRPr="009B5734" w:rsidRDefault="00EA45F9" w:rsidP="00981615">
            <w:pPr>
              <w:pStyle w:val="TableTextNoSpace"/>
              <w:jc w:val="center"/>
              <w:rPr>
                <w:rFonts w:ascii="Times New Roman" w:hAnsi="Times New Roman"/>
                <w:noProof/>
                <w:sz w:val="24"/>
              </w:rPr>
            </w:pPr>
            <w:r w:rsidRPr="009B5734">
              <w:rPr>
                <w:rFonts w:ascii="Times New Roman" w:eastAsia="Wingdings" w:hAnsi="Times New Roman"/>
                <w:noProof/>
                <w:color w:val="1F497D" w:themeColor="text2"/>
                <w:sz w:val="24"/>
              </w:rPr>
              <w:t>X</w:t>
            </w:r>
          </w:p>
        </w:tc>
        <w:tc>
          <w:tcPr>
            <w:tcW w:w="1144" w:type="dxa"/>
            <w:shd w:val="clear" w:color="auto" w:fill="auto"/>
            <w:vAlign w:val="center"/>
          </w:tcPr>
          <w:p w:rsidR="00EA45F9" w:rsidRPr="009B5734" w:rsidRDefault="00EA45F9" w:rsidP="00981615">
            <w:pPr>
              <w:pStyle w:val="TableTextNoSpace"/>
              <w:jc w:val="center"/>
              <w:rPr>
                <w:rFonts w:ascii="Times New Roman" w:hAnsi="Times New Roman"/>
                <w:noProof/>
                <w:sz w:val="24"/>
              </w:rPr>
            </w:pPr>
            <w:r w:rsidRPr="009B5734">
              <w:rPr>
                <w:rFonts w:ascii="Times New Roman" w:eastAsia="Wingdings" w:hAnsi="Times New Roman"/>
                <w:noProof/>
                <w:color w:val="1F497D" w:themeColor="text2"/>
                <w:sz w:val="24"/>
              </w:rPr>
              <w:t>partial</w:t>
            </w:r>
          </w:p>
        </w:tc>
      </w:tr>
      <w:tr w:rsidR="00EA45F9" w:rsidRPr="009B5734" w:rsidTr="00C84A99">
        <w:trPr>
          <w:gridAfter w:val="1"/>
          <w:wAfter w:w="7" w:type="dxa"/>
          <w:trHeight w:val="341"/>
        </w:trPr>
        <w:tc>
          <w:tcPr>
            <w:tcW w:w="4819" w:type="dxa"/>
            <w:shd w:val="clear" w:color="auto" w:fill="auto"/>
            <w:noWrap/>
            <w:vAlign w:val="center"/>
            <w:hideMark/>
          </w:tcPr>
          <w:p w:rsidR="00EA45F9" w:rsidRPr="009B5734" w:rsidRDefault="00EA45F9" w:rsidP="00981615">
            <w:pPr>
              <w:pStyle w:val="TableTextNoSpace"/>
              <w:ind w:left="142" w:firstLine="0"/>
              <w:rPr>
                <w:rFonts w:ascii="Times New Roman" w:hAnsi="Times New Roman"/>
                <w:noProof/>
                <w:color w:val="000000"/>
                <w:sz w:val="24"/>
              </w:rPr>
            </w:pPr>
            <w:r w:rsidRPr="009B5734">
              <w:rPr>
                <w:rFonts w:ascii="Times New Roman" w:hAnsi="Times New Roman"/>
                <w:noProof/>
                <w:color w:val="000000"/>
                <w:sz w:val="24"/>
              </w:rPr>
              <w:t>Costs to public bodies</w:t>
            </w:r>
          </w:p>
        </w:tc>
        <w:tc>
          <w:tcPr>
            <w:tcW w:w="84" w:type="dxa"/>
            <w:tcBorders>
              <w:top w:val="nil"/>
              <w:bottom w:val="nil"/>
            </w:tcBorders>
            <w:shd w:val="clear" w:color="auto" w:fill="FFFFFF" w:themeFill="background1"/>
          </w:tcPr>
          <w:p w:rsidR="00EA45F9" w:rsidRPr="009B5734" w:rsidRDefault="00EA45F9" w:rsidP="00981615">
            <w:pPr>
              <w:pStyle w:val="TableTextNoSpace"/>
              <w:rPr>
                <w:rFonts w:ascii="Times New Roman" w:eastAsia="Wingdings" w:hAnsi="Times New Roman"/>
                <w:noProof/>
                <w:color w:val="1F497D" w:themeColor="text2"/>
                <w:sz w:val="24"/>
              </w:rPr>
            </w:pPr>
          </w:p>
        </w:tc>
        <w:tc>
          <w:tcPr>
            <w:tcW w:w="922" w:type="dxa"/>
            <w:shd w:val="clear" w:color="auto" w:fill="auto"/>
            <w:vAlign w:val="center"/>
            <w:hideMark/>
          </w:tcPr>
          <w:p w:rsidR="00EA45F9" w:rsidRPr="009B5734" w:rsidRDefault="00EA45F9" w:rsidP="00981615">
            <w:pPr>
              <w:pStyle w:val="TableTextNoSpace"/>
              <w:jc w:val="center"/>
              <w:rPr>
                <w:rFonts w:ascii="Times New Roman" w:hAnsi="Times New Roman"/>
                <w:noProof/>
                <w:color w:val="1F497D" w:themeColor="text2"/>
                <w:sz w:val="24"/>
              </w:rPr>
            </w:pPr>
          </w:p>
        </w:tc>
        <w:tc>
          <w:tcPr>
            <w:tcW w:w="923" w:type="dxa"/>
            <w:shd w:val="clear" w:color="auto" w:fill="auto"/>
            <w:vAlign w:val="center"/>
            <w:hideMark/>
          </w:tcPr>
          <w:p w:rsidR="00EA45F9" w:rsidRPr="009B5734" w:rsidRDefault="00EA45F9" w:rsidP="00981615">
            <w:pPr>
              <w:pStyle w:val="TableTextNoSpace"/>
              <w:jc w:val="center"/>
              <w:rPr>
                <w:rFonts w:ascii="Times New Roman" w:hAnsi="Times New Roman"/>
                <w:noProof/>
                <w:color w:val="1F497D" w:themeColor="text2"/>
                <w:sz w:val="24"/>
              </w:rPr>
            </w:pPr>
          </w:p>
        </w:tc>
        <w:tc>
          <w:tcPr>
            <w:tcW w:w="923" w:type="dxa"/>
            <w:shd w:val="clear" w:color="auto" w:fill="auto"/>
            <w:vAlign w:val="center"/>
            <w:hideMark/>
          </w:tcPr>
          <w:p w:rsidR="00EA45F9" w:rsidRPr="009B5734" w:rsidRDefault="00EA45F9" w:rsidP="00981615">
            <w:pPr>
              <w:pStyle w:val="TableTextNoSpace"/>
              <w:jc w:val="center"/>
              <w:rPr>
                <w:rFonts w:ascii="Times New Roman" w:hAnsi="Times New Roman"/>
                <w:noProof/>
                <w:color w:val="1F497D" w:themeColor="text2"/>
                <w:sz w:val="24"/>
              </w:rPr>
            </w:pPr>
          </w:p>
        </w:tc>
        <w:tc>
          <w:tcPr>
            <w:tcW w:w="923" w:type="dxa"/>
            <w:shd w:val="clear" w:color="auto" w:fill="auto"/>
            <w:vAlign w:val="center"/>
            <w:hideMark/>
          </w:tcPr>
          <w:p w:rsidR="00EA45F9" w:rsidRPr="009B5734" w:rsidRDefault="00EA45F9" w:rsidP="00981615">
            <w:pPr>
              <w:pStyle w:val="TableTextNoSpace"/>
              <w:jc w:val="center"/>
              <w:rPr>
                <w:rFonts w:ascii="Times New Roman" w:hAnsi="Times New Roman"/>
                <w:noProof/>
                <w:color w:val="1F497D" w:themeColor="text2"/>
                <w:sz w:val="24"/>
              </w:rPr>
            </w:pPr>
          </w:p>
        </w:tc>
        <w:tc>
          <w:tcPr>
            <w:tcW w:w="923" w:type="dxa"/>
            <w:shd w:val="clear" w:color="auto" w:fill="auto"/>
            <w:vAlign w:val="center"/>
            <w:hideMark/>
          </w:tcPr>
          <w:p w:rsidR="00EA45F9" w:rsidRPr="009B5734" w:rsidRDefault="00EA45F9" w:rsidP="00981615">
            <w:pPr>
              <w:pStyle w:val="TableTextNoSpace"/>
              <w:jc w:val="center"/>
              <w:rPr>
                <w:rFonts w:ascii="Times New Roman" w:hAnsi="Times New Roman"/>
                <w:noProof/>
                <w:color w:val="1F497D" w:themeColor="text2"/>
                <w:sz w:val="24"/>
              </w:rPr>
            </w:pPr>
            <w:r w:rsidRPr="009B5734">
              <w:rPr>
                <w:rFonts w:ascii="Times New Roman" w:eastAsia="Wingdings" w:hAnsi="Times New Roman"/>
                <w:noProof/>
                <w:color w:val="C0504D" w:themeColor="accent2"/>
                <w:sz w:val="24"/>
              </w:rPr>
              <w:t>X</w:t>
            </w:r>
          </w:p>
        </w:tc>
        <w:tc>
          <w:tcPr>
            <w:tcW w:w="923" w:type="dxa"/>
            <w:shd w:val="clear" w:color="auto" w:fill="auto"/>
            <w:vAlign w:val="center"/>
          </w:tcPr>
          <w:p w:rsidR="00EA45F9" w:rsidRPr="009B5734" w:rsidRDefault="00EA45F9" w:rsidP="00981615">
            <w:pPr>
              <w:pStyle w:val="TableTextNoSpace"/>
              <w:jc w:val="center"/>
              <w:rPr>
                <w:rFonts w:ascii="Times New Roman" w:hAnsi="Times New Roman"/>
                <w:noProof/>
                <w:color w:val="1F497D" w:themeColor="text2"/>
                <w:sz w:val="24"/>
              </w:rPr>
            </w:pPr>
          </w:p>
        </w:tc>
        <w:tc>
          <w:tcPr>
            <w:tcW w:w="923" w:type="dxa"/>
            <w:shd w:val="clear" w:color="auto" w:fill="auto"/>
            <w:vAlign w:val="center"/>
          </w:tcPr>
          <w:p w:rsidR="00EA45F9" w:rsidRPr="009B5734" w:rsidRDefault="00EA45F9" w:rsidP="00981615">
            <w:pPr>
              <w:pStyle w:val="TableTextNoSpace"/>
              <w:jc w:val="center"/>
              <w:rPr>
                <w:rFonts w:ascii="Times New Roman" w:hAnsi="Times New Roman"/>
                <w:noProof/>
                <w:color w:val="1F497D" w:themeColor="text2"/>
                <w:sz w:val="24"/>
              </w:rPr>
            </w:pPr>
          </w:p>
        </w:tc>
        <w:tc>
          <w:tcPr>
            <w:tcW w:w="102" w:type="dxa"/>
            <w:gridSpan w:val="2"/>
            <w:tcBorders>
              <w:top w:val="nil"/>
              <w:bottom w:val="nil"/>
            </w:tcBorders>
            <w:shd w:val="clear" w:color="auto" w:fill="FFFFFF" w:themeFill="background1"/>
            <w:vAlign w:val="center"/>
          </w:tcPr>
          <w:p w:rsidR="00EA45F9" w:rsidRPr="009B5734" w:rsidRDefault="00EA45F9" w:rsidP="00981615">
            <w:pPr>
              <w:pStyle w:val="TableTextNoSpace"/>
              <w:jc w:val="center"/>
              <w:rPr>
                <w:rFonts w:ascii="Times New Roman" w:eastAsia="Wingdings" w:hAnsi="Times New Roman"/>
                <w:noProof/>
                <w:color w:val="1F497D" w:themeColor="text2"/>
                <w:sz w:val="24"/>
              </w:rPr>
            </w:pPr>
          </w:p>
        </w:tc>
        <w:tc>
          <w:tcPr>
            <w:tcW w:w="1143" w:type="dxa"/>
            <w:gridSpan w:val="2"/>
            <w:shd w:val="clear" w:color="auto" w:fill="auto"/>
            <w:vAlign w:val="center"/>
          </w:tcPr>
          <w:p w:rsidR="00EA45F9" w:rsidRPr="009B5734" w:rsidRDefault="00EA45F9" w:rsidP="00981615">
            <w:pPr>
              <w:pStyle w:val="TableTextNoSpace"/>
              <w:jc w:val="center"/>
              <w:rPr>
                <w:rFonts w:ascii="Times New Roman" w:hAnsi="Times New Roman"/>
                <w:noProof/>
                <w:sz w:val="24"/>
              </w:rPr>
            </w:pPr>
            <w:r w:rsidRPr="009B5734">
              <w:rPr>
                <w:rFonts w:ascii="Times New Roman" w:eastAsia="Wingdings" w:hAnsi="Times New Roman"/>
                <w:noProof/>
                <w:color w:val="1F497D" w:themeColor="text2"/>
                <w:sz w:val="24"/>
              </w:rPr>
              <w:t>X</w:t>
            </w:r>
          </w:p>
        </w:tc>
        <w:tc>
          <w:tcPr>
            <w:tcW w:w="1144" w:type="dxa"/>
            <w:shd w:val="clear" w:color="auto" w:fill="auto"/>
            <w:vAlign w:val="center"/>
          </w:tcPr>
          <w:p w:rsidR="00EA45F9" w:rsidRPr="009B5734" w:rsidRDefault="00EA45F9" w:rsidP="00981615">
            <w:pPr>
              <w:pStyle w:val="TableTextNoSpace"/>
              <w:jc w:val="center"/>
              <w:rPr>
                <w:rFonts w:ascii="Times New Roman" w:hAnsi="Times New Roman"/>
                <w:noProof/>
                <w:sz w:val="24"/>
              </w:rPr>
            </w:pPr>
            <w:r w:rsidRPr="009B5734">
              <w:rPr>
                <w:rFonts w:ascii="Times New Roman" w:eastAsia="Wingdings" w:hAnsi="Times New Roman"/>
                <w:noProof/>
                <w:color w:val="1F497D" w:themeColor="text2"/>
                <w:sz w:val="24"/>
              </w:rPr>
              <w:t>partial</w:t>
            </w:r>
          </w:p>
        </w:tc>
      </w:tr>
      <w:tr w:rsidR="00EA45F9" w:rsidRPr="009B5734" w:rsidTr="00C84A99">
        <w:trPr>
          <w:gridAfter w:val="1"/>
          <w:wAfter w:w="7" w:type="dxa"/>
          <w:trHeight w:val="341"/>
        </w:trPr>
        <w:tc>
          <w:tcPr>
            <w:tcW w:w="4819" w:type="dxa"/>
            <w:shd w:val="clear" w:color="auto" w:fill="auto"/>
            <w:noWrap/>
            <w:vAlign w:val="center"/>
            <w:hideMark/>
          </w:tcPr>
          <w:p w:rsidR="00EA45F9" w:rsidRPr="009B5734" w:rsidRDefault="00EA45F9" w:rsidP="00981615">
            <w:pPr>
              <w:pStyle w:val="TableTextNoSpace"/>
              <w:ind w:left="142" w:firstLine="0"/>
              <w:rPr>
                <w:rFonts w:ascii="Times New Roman" w:hAnsi="Times New Roman"/>
                <w:b/>
                <w:bCs/>
                <w:noProof/>
                <w:sz w:val="24"/>
              </w:rPr>
            </w:pPr>
            <w:r w:rsidRPr="009B5734">
              <w:rPr>
                <w:rFonts w:ascii="Times New Roman" w:hAnsi="Times New Roman"/>
                <w:noProof/>
                <w:sz w:val="24"/>
              </w:rPr>
              <w:t>Sustainability</w:t>
            </w:r>
          </w:p>
        </w:tc>
        <w:tc>
          <w:tcPr>
            <w:tcW w:w="84" w:type="dxa"/>
            <w:tcBorders>
              <w:top w:val="nil"/>
              <w:bottom w:val="nil"/>
            </w:tcBorders>
            <w:shd w:val="clear" w:color="auto" w:fill="FFFFFF" w:themeFill="background1"/>
          </w:tcPr>
          <w:p w:rsidR="00EA45F9" w:rsidRPr="009B5734" w:rsidRDefault="00EA45F9" w:rsidP="00981615">
            <w:pPr>
              <w:pStyle w:val="TableTextNoSpace"/>
              <w:rPr>
                <w:rFonts w:ascii="Times New Roman" w:eastAsia="Wingdings" w:hAnsi="Times New Roman"/>
                <w:noProof/>
                <w:color w:val="1F497D" w:themeColor="text2"/>
                <w:sz w:val="24"/>
              </w:rPr>
            </w:pPr>
          </w:p>
        </w:tc>
        <w:tc>
          <w:tcPr>
            <w:tcW w:w="922" w:type="dxa"/>
            <w:shd w:val="clear" w:color="auto" w:fill="auto"/>
            <w:vAlign w:val="center"/>
            <w:hideMark/>
          </w:tcPr>
          <w:p w:rsidR="00EA45F9" w:rsidRPr="009B5734" w:rsidRDefault="00EA45F9" w:rsidP="00981615">
            <w:pPr>
              <w:pStyle w:val="TableTextNoSpace"/>
              <w:jc w:val="center"/>
              <w:rPr>
                <w:rFonts w:ascii="Times New Roman" w:hAnsi="Times New Roman"/>
                <w:noProof/>
                <w:color w:val="9BBB59" w:themeColor="accent3"/>
                <w:sz w:val="24"/>
              </w:rPr>
            </w:pPr>
            <w:r w:rsidRPr="009B5734">
              <w:rPr>
                <w:rFonts w:ascii="Times New Roman" w:eastAsia="Wingdings" w:hAnsi="Times New Roman"/>
                <w:noProof/>
                <w:color w:val="9BBB59" w:themeColor="accent3"/>
                <w:sz w:val="24"/>
              </w:rPr>
              <w:t>X</w:t>
            </w:r>
          </w:p>
        </w:tc>
        <w:tc>
          <w:tcPr>
            <w:tcW w:w="923" w:type="dxa"/>
            <w:shd w:val="clear" w:color="auto" w:fill="auto"/>
            <w:hideMark/>
          </w:tcPr>
          <w:p w:rsidR="00EA45F9" w:rsidRPr="009B5734" w:rsidRDefault="00EA45F9" w:rsidP="00981615">
            <w:pPr>
              <w:pStyle w:val="TableTextNoSpace"/>
              <w:jc w:val="center"/>
              <w:rPr>
                <w:rFonts w:ascii="Times New Roman" w:hAnsi="Times New Roman"/>
                <w:noProof/>
                <w:color w:val="9BBB59" w:themeColor="accent3"/>
                <w:sz w:val="24"/>
              </w:rPr>
            </w:pPr>
            <w:r w:rsidRPr="009B5734">
              <w:rPr>
                <w:rFonts w:ascii="Times New Roman" w:eastAsia="Wingdings" w:hAnsi="Times New Roman"/>
                <w:noProof/>
                <w:color w:val="9BBB59" w:themeColor="accent3"/>
                <w:sz w:val="24"/>
              </w:rPr>
              <w:t>X</w:t>
            </w:r>
          </w:p>
        </w:tc>
        <w:tc>
          <w:tcPr>
            <w:tcW w:w="923" w:type="dxa"/>
            <w:shd w:val="clear" w:color="auto" w:fill="auto"/>
            <w:hideMark/>
          </w:tcPr>
          <w:p w:rsidR="00EA45F9" w:rsidRPr="009B5734" w:rsidRDefault="00EA45F9" w:rsidP="00981615">
            <w:pPr>
              <w:pStyle w:val="TableTextNoSpace"/>
              <w:jc w:val="center"/>
              <w:rPr>
                <w:rFonts w:ascii="Times New Roman" w:hAnsi="Times New Roman"/>
                <w:noProof/>
                <w:color w:val="9BBB59" w:themeColor="accent3"/>
                <w:sz w:val="24"/>
              </w:rPr>
            </w:pPr>
            <w:r w:rsidRPr="009B5734">
              <w:rPr>
                <w:rFonts w:ascii="Times New Roman" w:eastAsia="Wingdings" w:hAnsi="Times New Roman"/>
                <w:noProof/>
                <w:color w:val="9BBB59" w:themeColor="accent3"/>
                <w:sz w:val="24"/>
              </w:rPr>
              <w:t>X</w:t>
            </w:r>
          </w:p>
        </w:tc>
        <w:tc>
          <w:tcPr>
            <w:tcW w:w="923" w:type="dxa"/>
            <w:shd w:val="clear" w:color="auto" w:fill="auto"/>
            <w:hideMark/>
          </w:tcPr>
          <w:p w:rsidR="00EA45F9" w:rsidRPr="009B5734" w:rsidRDefault="00EA45F9" w:rsidP="00981615">
            <w:pPr>
              <w:pStyle w:val="TableTextNoSpace"/>
              <w:jc w:val="center"/>
              <w:rPr>
                <w:rFonts w:ascii="Times New Roman" w:hAnsi="Times New Roman"/>
                <w:noProof/>
                <w:color w:val="9BBB59" w:themeColor="accent3"/>
                <w:sz w:val="24"/>
              </w:rPr>
            </w:pPr>
            <w:r w:rsidRPr="009B5734">
              <w:rPr>
                <w:rFonts w:ascii="Times New Roman" w:eastAsia="Wingdings" w:hAnsi="Times New Roman"/>
                <w:noProof/>
                <w:color w:val="C0504D" w:themeColor="accent2"/>
                <w:sz w:val="24"/>
              </w:rPr>
              <w:t>X</w:t>
            </w:r>
          </w:p>
        </w:tc>
        <w:tc>
          <w:tcPr>
            <w:tcW w:w="923" w:type="dxa"/>
            <w:shd w:val="clear" w:color="auto" w:fill="auto"/>
            <w:vAlign w:val="center"/>
            <w:hideMark/>
          </w:tcPr>
          <w:p w:rsidR="00EA45F9" w:rsidRPr="009B5734" w:rsidRDefault="00EA45F9" w:rsidP="00981615">
            <w:pPr>
              <w:pStyle w:val="TableTextNoSpace"/>
              <w:jc w:val="center"/>
              <w:rPr>
                <w:rFonts w:ascii="Times New Roman" w:hAnsi="Times New Roman"/>
                <w:noProof/>
                <w:color w:val="9BBB59" w:themeColor="accent3"/>
                <w:sz w:val="24"/>
              </w:rPr>
            </w:pPr>
            <w:r w:rsidRPr="009B5734">
              <w:rPr>
                <w:rFonts w:ascii="Times New Roman" w:eastAsia="Wingdings" w:hAnsi="Times New Roman"/>
                <w:noProof/>
                <w:color w:val="9BBB59" w:themeColor="accent3"/>
                <w:sz w:val="24"/>
              </w:rPr>
              <w:t>X</w:t>
            </w:r>
          </w:p>
        </w:tc>
        <w:tc>
          <w:tcPr>
            <w:tcW w:w="923" w:type="dxa"/>
            <w:shd w:val="clear" w:color="auto" w:fill="auto"/>
            <w:vAlign w:val="center"/>
          </w:tcPr>
          <w:p w:rsidR="00EA45F9" w:rsidRPr="009B5734" w:rsidRDefault="00EA45F9" w:rsidP="00981615">
            <w:pPr>
              <w:pStyle w:val="TableTextNoSpace"/>
              <w:jc w:val="center"/>
              <w:rPr>
                <w:rFonts w:ascii="Times New Roman" w:hAnsi="Times New Roman"/>
                <w:noProof/>
                <w:color w:val="9BBB59" w:themeColor="accent3"/>
                <w:sz w:val="24"/>
              </w:rPr>
            </w:pPr>
            <w:r w:rsidRPr="009B5734">
              <w:rPr>
                <w:rFonts w:ascii="Times New Roman" w:eastAsia="Wingdings" w:hAnsi="Times New Roman"/>
                <w:noProof/>
                <w:color w:val="9BBB59" w:themeColor="accent3"/>
                <w:sz w:val="24"/>
              </w:rPr>
              <w:t>X</w:t>
            </w:r>
          </w:p>
        </w:tc>
        <w:tc>
          <w:tcPr>
            <w:tcW w:w="923" w:type="dxa"/>
            <w:shd w:val="clear" w:color="auto" w:fill="auto"/>
            <w:vAlign w:val="center"/>
          </w:tcPr>
          <w:p w:rsidR="00EA45F9" w:rsidRPr="009B5734" w:rsidRDefault="00EA45F9" w:rsidP="00981615">
            <w:pPr>
              <w:pStyle w:val="TableTextNoSpace"/>
              <w:jc w:val="center"/>
              <w:rPr>
                <w:rFonts w:ascii="Times New Roman" w:hAnsi="Times New Roman"/>
                <w:noProof/>
                <w:color w:val="9BBB59" w:themeColor="accent3"/>
                <w:sz w:val="24"/>
              </w:rPr>
            </w:pPr>
            <w:r w:rsidRPr="009B5734">
              <w:rPr>
                <w:rFonts w:ascii="Times New Roman" w:eastAsia="Wingdings" w:hAnsi="Times New Roman"/>
                <w:noProof/>
                <w:color w:val="9BBB59" w:themeColor="accent3"/>
                <w:sz w:val="24"/>
              </w:rPr>
              <w:t>X</w:t>
            </w:r>
          </w:p>
        </w:tc>
        <w:tc>
          <w:tcPr>
            <w:tcW w:w="102" w:type="dxa"/>
            <w:gridSpan w:val="2"/>
            <w:tcBorders>
              <w:top w:val="nil"/>
              <w:bottom w:val="nil"/>
            </w:tcBorders>
            <w:shd w:val="clear" w:color="auto" w:fill="FFFFFF" w:themeFill="background1"/>
            <w:vAlign w:val="center"/>
          </w:tcPr>
          <w:p w:rsidR="00EA45F9" w:rsidRPr="009B5734" w:rsidRDefault="00EA45F9" w:rsidP="00981615">
            <w:pPr>
              <w:pStyle w:val="TableTextNoSpace"/>
              <w:jc w:val="center"/>
              <w:rPr>
                <w:rFonts w:ascii="Times New Roman" w:eastAsia="Wingdings" w:hAnsi="Times New Roman"/>
                <w:noProof/>
                <w:color w:val="1F497D" w:themeColor="text2"/>
                <w:sz w:val="24"/>
              </w:rPr>
            </w:pPr>
          </w:p>
        </w:tc>
        <w:tc>
          <w:tcPr>
            <w:tcW w:w="1143" w:type="dxa"/>
            <w:gridSpan w:val="2"/>
            <w:shd w:val="clear" w:color="auto" w:fill="auto"/>
            <w:vAlign w:val="center"/>
          </w:tcPr>
          <w:p w:rsidR="00EA45F9" w:rsidRPr="009B5734" w:rsidRDefault="00EA45F9" w:rsidP="00981615">
            <w:pPr>
              <w:pStyle w:val="TableTextNoSpace"/>
              <w:jc w:val="center"/>
              <w:rPr>
                <w:rFonts w:ascii="Times New Roman" w:hAnsi="Times New Roman"/>
                <w:noProof/>
                <w:sz w:val="24"/>
              </w:rPr>
            </w:pPr>
            <w:r w:rsidRPr="009B5734">
              <w:rPr>
                <w:rFonts w:ascii="Times New Roman" w:eastAsia="Wingdings" w:hAnsi="Times New Roman"/>
                <w:noProof/>
                <w:color w:val="1F497D" w:themeColor="text2"/>
                <w:sz w:val="24"/>
              </w:rPr>
              <w:t>X</w:t>
            </w:r>
          </w:p>
        </w:tc>
        <w:tc>
          <w:tcPr>
            <w:tcW w:w="1144" w:type="dxa"/>
            <w:shd w:val="clear" w:color="auto" w:fill="auto"/>
            <w:vAlign w:val="center"/>
          </w:tcPr>
          <w:p w:rsidR="00EA45F9" w:rsidRPr="009B5734" w:rsidRDefault="00EA45F9" w:rsidP="00981615">
            <w:pPr>
              <w:pStyle w:val="TableTextNoSpace"/>
              <w:jc w:val="center"/>
              <w:rPr>
                <w:rFonts w:ascii="Times New Roman" w:hAnsi="Times New Roman"/>
                <w:noProof/>
                <w:sz w:val="24"/>
              </w:rPr>
            </w:pPr>
            <w:r w:rsidRPr="009B5734">
              <w:rPr>
                <w:rFonts w:ascii="Times New Roman" w:eastAsia="Wingdings" w:hAnsi="Times New Roman"/>
                <w:noProof/>
                <w:color w:val="1F497D" w:themeColor="text2"/>
                <w:sz w:val="24"/>
              </w:rPr>
              <w:t>partial</w:t>
            </w:r>
          </w:p>
        </w:tc>
      </w:tr>
      <w:tr w:rsidR="00EA45F9" w:rsidRPr="009B5734" w:rsidTr="00C84A99">
        <w:trPr>
          <w:gridAfter w:val="1"/>
          <w:wAfter w:w="7" w:type="dxa"/>
          <w:trHeight w:val="387"/>
        </w:trPr>
        <w:tc>
          <w:tcPr>
            <w:tcW w:w="4819" w:type="dxa"/>
            <w:shd w:val="clear" w:color="auto" w:fill="auto"/>
            <w:noWrap/>
            <w:vAlign w:val="center"/>
            <w:hideMark/>
          </w:tcPr>
          <w:p w:rsidR="00EA45F9" w:rsidRPr="009B5734" w:rsidRDefault="00EA45F9" w:rsidP="00981615">
            <w:pPr>
              <w:pStyle w:val="TableTextNoSpace"/>
              <w:ind w:left="142" w:firstLine="0"/>
              <w:rPr>
                <w:rFonts w:ascii="Times New Roman" w:hAnsi="Times New Roman"/>
                <w:noProof/>
                <w:color w:val="000000"/>
                <w:sz w:val="24"/>
              </w:rPr>
            </w:pPr>
            <w:r w:rsidRPr="009B5734">
              <w:rPr>
                <w:rFonts w:ascii="Times New Roman" w:hAnsi="Times New Roman"/>
                <w:noProof/>
                <w:color w:val="000000"/>
                <w:sz w:val="24"/>
              </w:rPr>
              <w:t>Application of the EU legal consumer framework</w:t>
            </w:r>
          </w:p>
        </w:tc>
        <w:tc>
          <w:tcPr>
            <w:tcW w:w="84" w:type="dxa"/>
            <w:tcBorders>
              <w:top w:val="nil"/>
              <w:bottom w:val="nil"/>
            </w:tcBorders>
            <w:shd w:val="clear" w:color="auto" w:fill="FFFFFF" w:themeFill="background1"/>
          </w:tcPr>
          <w:p w:rsidR="00EA45F9" w:rsidRPr="009B5734" w:rsidRDefault="00EA45F9" w:rsidP="00981615">
            <w:pPr>
              <w:pStyle w:val="TableTextNoSpace"/>
              <w:rPr>
                <w:rFonts w:ascii="Times New Roman" w:eastAsia="Wingdings" w:hAnsi="Times New Roman"/>
                <w:noProof/>
                <w:color w:val="1F497D" w:themeColor="text2"/>
                <w:sz w:val="24"/>
              </w:rPr>
            </w:pPr>
          </w:p>
        </w:tc>
        <w:tc>
          <w:tcPr>
            <w:tcW w:w="922" w:type="dxa"/>
            <w:shd w:val="clear" w:color="auto" w:fill="auto"/>
            <w:vAlign w:val="center"/>
            <w:hideMark/>
          </w:tcPr>
          <w:p w:rsidR="00EA45F9" w:rsidRPr="009B5734" w:rsidRDefault="00EA45F9" w:rsidP="00981615">
            <w:pPr>
              <w:pStyle w:val="TableTextNoSpace"/>
              <w:jc w:val="center"/>
              <w:rPr>
                <w:rFonts w:ascii="Times New Roman" w:hAnsi="Times New Roman"/>
                <w:noProof/>
                <w:color w:val="9BBB59" w:themeColor="accent3"/>
                <w:sz w:val="24"/>
              </w:rPr>
            </w:pPr>
            <w:r w:rsidRPr="009B5734">
              <w:rPr>
                <w:rFonts w:ascii="Times New Roman" w:eastAsia="Wingdings" w:hAnsi="Times New Roman"/>
                <w:noProof/>
                <w:color w:val="9BBB59" w:themeColor="accent3"/>
                <w:sz w:val="24"/>
              </w:rPr>
              <w:t>X</w:t>
            </w:r>
          </w:p>
        </w:tc>
        <w:tc>
          <w:tcPr>
            <w:tcW w:w="923" w:type="dxa"/>
            <w:shd w:val="clear" w:color="auto" w:fill="auto"/>
            <w:vAlign w:val="center"/>
            <w:hideMark/>
          </w:tcPr>
          <w:p w:rsidR="00EA45F9" w:rsidRPr="009B5734" w:rsidRDefault="00EA45F9" w:rsidP="00981615">
            <w:pPr>
              <w:pStyle w:val="TableTextNoSpace"/>
              <w:jc w:val="center"/>
              <w:rPr>
                <w:rFonts w:ascii="Times New Roman" w:hAnsi="Times New Roman"/>
                <w:noProof/>
                <w:color w:val="9BBB59" w:themeColor="accent3"/>
                <w:sz w:val="24"/>
              </w:rPr>
            </w:pPr>
            <w:r w:rsidRPr="009B5734">
              <w:rPr>
                <w:rFonts w:ascii="Times New Roman" w:eastAsia="Wingdings" w:hAnsi="Times New Roman"/>
                <w:noProof/>
                <w:color w:val="9BBB59" w:themeColor="accent3"/>
                <w:sz w:val="24"/>
              </w:rPr>
              <w:t>X</w:t>
            </w:r>
          </w:p>
        </w:tc>
        <w:tc>
          <w:tcPr>
            <w:tcW w:w="923" w:type="dxa"/>
            <w:shd w:val="clear" w:color="auto" w:fill="auto"/>
            <w:vAlign w:val="center"/>
            <w:hideMark/>
          </w:tcPr>
          <w:p w:rsidR="00EA45F9" w:rsidRPr="009B5734" w:rsidRDefault="00EA45F9" w:rsidP="00981615">
            <w:pPr>
              <w:pStyle w:val="TableTextNoSpace"/>
              <w:jc w:val="center"/>
              <w:rPr>
                <w:rFonts w:ascii="Times New Roman" w:hAnsi="Times New Roman"/>
                <w:noProof/>
                <w:color w:val="9BBB59" w:themeColor="accent3"/>
                <w:sz w:val="24"/>
              </w:rPr>
            </w:pPr>
            <w:r w:rsidRPr="009B5734">
              <w:rPr>
                <w:rFonts w:ascii="Times New Roman" w:eastAsia="Wingdings" w:hAnsi="Times New Roman"/>
                <w:noProof/>
                <w:color w:val="9BBB59" w:themeColor="accent3"/>
                <w:sz w:val="24"/>
              </w:rPr>
              <w:t>X</w:t>
            </w:r>
          </w:p>
        </w:tc>
        <w:tc>
          <w:tcPr>
            <w:tcW w:w="923" w:type="dxa"/>
            <w:shd w:val="clear" w:color="auto" w:fill="auto"/>
            <w:vAlign w:val="center"/>
            <w:hideMark/>
          </w:tcPr>
          <w:p w:rsidR="00EA45F9" w:rsidRPr="009B5734" w:rsidRDefault="00EA45F9" w:rsidP="00981615">
            <w:pPr>
              <w:pStyle w:val="TableTextNoSpace"/>
              <w:jc w:val="center"/>
              <w:rPr>
                <w:rFonts w:ascii="Times New Roman" w:hAnsi="Times New Roman"/>
                <w:noProof/>
                <w:color w:val="9BBB59" w:themeColor="accent3"/>
                <w:sz w:val="24"/>
              </w:rPr>
            </w:pPr>
            <w:r w:rsidRPr="009B5734">
              <w:rPr>
                <w:rFonts w:ascii="Times New Roman" w:eastAsia="Wingdings" w:hAnsi="Times New Roman"/>
                <w:noProof/>
                <w:color w:val="C0504D" w:themeColor="accent2"/>
                <w:sz w:val="24"/>
              </w:rPr>
              <w:t>X</w:t>
            </w:r>
          </w:p>
        </w:tc>
        <w:tc>
          <w:tcPr>
            <w:tcW w:w="923" w:type="dxa"/>
            <w:shd w:val="clear" w:color="auto" w:fill="auto"/>
            <w:vAlign w:val="center"/>
          </w:tcPr>
          <w:p w:rsidR="00EA45F9" w:rsidRPr="009B5734" w:rsidRDefault="00EA45F9" w:rsidP="00981615">
            <w:pPr>
              <w:pStyle w:val="TableTextNoSpace"/>
              <w:jc w:val="center"/>
              <w:rPr>
                <w:rFonts w:ascii="Times New Roman" w:hAnsi="Times New Roman"/>
                <w:noProof/>
                <w:color w:val="1F497D" w:themeColor="text2"/>
                <w:sz w:val="24"/>
              </w:rPr>
            </w:pPr>
            <w:r w:rsidRPr="009B5734">
              <w:rPr>
                <w:rFonts w:ascii="Times New Roman" w:eastAsia="Wingdings" w:hAnsi="Times New Roman"/>
                <w:noProof/>
                <w:color w:val="9BBB59" w:themeColor="accent3"/>
                <w:sz w:val="24"/>
              </w:rPr>
              <w:t>X</w:t>
            </w:r>
          </w:p>
        </w:tc>
        <w:tc>
          <w:tcPr>
            <w:tcW w:w="923" w:type="dxa"/>
            <w:shd w:val="clear" w:color="auto" w:fill="auto"/>
            <w:vAlign w:val="center"/>
          </w:tcPr>
          <w:p w:rsidR="00EA45F9" w:rsidRPr="009B5734" w:rsidRDefault="00EA45F9" w:rsidP="00981615">
            <w:pPr>
              <w:pStyle w:val="TableTextNoSpace"/>
              <w:jc w:val="center"/>
              <w:rPr>
                <w:rFonts w:ascii="Times New Roman" w:hAnsi="Times New Roman"/>
                <w:noProof/>
                <w:color w:val="1F497D" w:themeColor="text2"/>
                <w:sz w:val="24"/>
              </w:rPr>
            </w:pPr>
          </w:p>
        </w:tc>
        <w:tc>
          <w:tcPr>
            <w:tcW w:w="923" w:type="dxa"/>
            <w:shd w:val="clear" w:color="auto" w:fill="auto"/>
            <w:vAlign w:val="center"/>
          </w:tcPr>
          <w:p w:rsidR="00EA45F9" w:rsidRPr="009B5734" w:rsidRDefault="00EA45F9" w:rsidP="00981615">
            <w:pPr>
              <w:pStyle w:val="TableTextNoSpace"/>
              <w:jc w:val="center"/>
              <w:rPr>
                <w:rFonts w:ascii="Times New Roman" w:hAnsi="Times New Roman"/>
                <w:noProof/>
                <w:color w:val="1F497D" w:themeColor="text2"/>
                <w:sz w:val="24"/>
              </w:rPr>
            </w:pPr>
          </w:p>
        </w:tc>
        <w:tc>
          <w:tcPr>
            <w:tcW w:w="102" w:type="dxa"/>
            <w:gridSpan w:val="2"/>
            <w:tcBorders>
              <w:top w:val="nil"/>
              <w:bottom w:val="nil"/>
            </w:tcBorders>
            <w:shd w:val="clear" w:color="auto" w:fill="FFFFFF" w:themeFill="background1"/>
            <w:vAlign w:val="center"/>
          </w:tcPr>
          <w:p w:rsidR="00EA45F9" w:rsidRPr="009B5734" w:rsidRDefault="00EA45F9" w:rsidP="00981615">
            <w:pPr>
              <w:pStyle w:val="TableTextNoSpace"/>
              <w:jc w:val="center"/>
              <w:rPr>
                <w:rFonts w:ascii="Times New Roman" w:eastAsia="Wingdings" w:hAnsi="Times New Roman"/>
                <w:noProof/>
                <w:color w:val="1F497D" w:themeColor="text2"/>
                <w:sz w:val="24"/>
              </w:rPr>
            </w:pPr>
          </w:p>
        </w:tc>
        <w:tc>
          <w:tcPr>
            <w:tcW w:w="1143" w:type="dxa"/>
            <w:gridSpan w:val="2"/>
            <w:shd w:val="clear" w:color="auto" w:fill="auto"/>
            <w:vAlign w:val="center"/>
          </w:tcPr>
          <w:p w:rsidR="00EA45F9" w:rsidRPr="009B5734" w:rsidRDefault="00EA45F9" w:rsidP="00981615">
            <w:pPr>
              <w:pStyle w:val="TableTextNoSpace"/>
              <w:jc w:val="center"/>
              <w:rPr>
                <w:rFonts w:ascii="Times New Roman" w:hAnsi="Times New Roman"/>
                <w:noProof/>
                <w:sz w:val="24"/>
              </w:rPr>
            </w:pPr>
            <w:r w:rsidRPr="009B5734">
              <w:rPr>
                <w:rFonts w:ascii="Times New Roman" w:eastAsia="Wingdings" w:hAnsi="Times New Roman"/>
                <w:noProof/>
                <w:color w:val="1F497D" w:themeColor="text2"/>
                <w:sz w:val="24"/>
              </w:rPr>
              <w:t>X</w:t>
            </w:r>
          </w:p>
        </w:tc>
        <w:tc>
          <w:tcPr>
            <w:tcW w:w="1144" w:type="dxa"/>
            <w:shd w:val="clear" w:color="auto" w:fill="auto"/>
            <w:vAlign w:val="center"/>
          </w:tcPr>
          <w:p w:rsidR="00EA45F9" w:rsidRPr="009B5734" w:rsidRDefault="00EA45F9" w:rsidP="00981615">
            <w:pPr>
              <w:pStyle w:val="TableTextNoSpace"/>
              <w:jc w:val="center"/>
              <w:rPr>
                <w:rFonts w:ascii="Times New Roman" w:eastAsia="Wingdings" w:hAnsi="Times New Roman"/>
                <w:noProof/>
                <w:color w:val="1F497D" w:themeColor="text2"/>
                <w:sz w:val="24"/>
              </w:rPr>
            </w:pPr>
          </w:p>
        </w:tc>
      </w:tr>
      <w:bookmarkEnd w:id="561"/>
    </w:tbl>
    <w:p w:rsidR="007A6C72" w:rsidRDefault="007A6C72" w:rsidP="00EA45F9">
      <w:pPr>
        <w:pStyle w:val="Table"/>
        <w:ind w:left="1077" w:hanging="1077"/>
        <w:rPr>
          <w:noProof/>
        </w:rPr>
      </w:pPr>
    </w:p>
    <w:p w:rsidR="00EA45F9" w:rsidRDefault="00EA45F9" w:rsidP="008D65D2">
      <w:pPr>
        <w:rPr>
          <w:noProof/>
        </w:rPr>
      </w:pPr>
    </w:p>
    <w:p w:rsidR="00257218" w:rsidRPr="008D65D2" w:rsidRDefault="00257218" w:rsidP="008D65D2">
      <w:pPr>
        <w:ind w:left="0" w:firstLine="0"/>
        <w:rPr>
          <w:rFonts w:ascii="Times New Roman" w:hAnsi="Times New Roman"/>
          <w:b/>
          <w:noProof/>
          <w:sz w:val="24"/>
        </w:rPr>
      </w:pPr>
      <w:r w:rsidRPr="008D65D2">
        <w:rPr>
          <w:rFonts w:ascii="Times New Roman" w:hAnsi="Times New Roman" w:cs="Times New Roman"/>
          <w:b/>
          <w:noProof/>
          <w:sz w:val="24"/>
          <w:szCs w:val="24"/>
        </w:rPr>
        <w:t>Impacts on Third Countries</w:t>
      </w:r>
    </w:p>
    <w:p w:rsidR="00257218" w:rsidRDefault="00257218" w:rsidP="008D65D2">
      <w:pPr>
        <w:ind w:left="0" w:firstLine="0"/>
        <w:rPr>
          <w:rFonts w:ascii="Times New Roman" w:hAnsi="Times New Roman"/>
          <w:noProof/>
          <w:sz w:val="24"/>
        </w:rPr>
      </w:pPr>
    </w:p>
    <w:p w:rsidR="002A55F3" w:rsidRPr="00B44081" w:rsidRDefault="007A6C72" w:rsidP="008D65D2">
      <w:pPr>
        <w:ind w:left="0" w:firstLine="0"/>
        <w:rPr>
          <w:rFonts w:ascii="Times New Roman" w:hAnsi="Times New Roman"/>
          <w:noProof/>
          <w:sz w:val="24"/>
        </w:rPr>
        <w:sectPr w:rsidR="002A55F3" w:rsidRPr="00B44081" w:rsidSect="006F3A6F">
          <w:headerReference w:type="even" r:id="rId67"/>
          <w:headerReference w:type="default" r:id="rId68"/>
          <w:footerReference w:type="even" r:id="rId69"/>
          <w:footerReference w:type="default" r:id="rId70"/>
          <w:headerReference w:type="first" r:id="rId71"/>
          <w:footerReference w:type="first" r:id="rId72"/>
          <w:pgSz w:w="16838" w:h="11906" w:orient="landscape"/>
          <w:pgMar w:top="1701" w:right="1417" w:bottom="1417" w:left="1417" w:header="567" w:footer="340" w:gutter="0"/>
          <w:cols w:space="708"/>
          <w:docGrid w:linePitch="360"/>
        </w:sectPr>
      </w:pPr>
      <w:r w:rsidRPr="008D65D2">
        <w:rPr>
          <w:rFonts w:ascii="Times New Roman" w:hAnsi="Times New Roman" w:cs="Times New Roman"/>
          <w:noProof/>
          <w:sz w:val="24"/>
          <w:szCs w:val="24"/>
        </w:rPr>
        <w:t>As c</w:t>
      </w:r>
      <w:r w:rsidR="00257218">
        <w:rPr>
          <w:rFonts w:ascii="Times New Roman" w:hAnsi="Times New Roman" w:cs="Times New Roman"/>
          <w:noProof/>
          <w:sz w:val="24"/>
          <w:szCs w:val="24"/>
        </w:rPr>
        <w:t>an be seen from the above</w:t>
      </w:r>
      <w:r w:rsidRPr="008D65D2">
        <w:rPr>
          <w:rFonts w:ascii="Times New Roman" w:hAnsi="Times New Roman" w:cs="Times New Roman"/>
          <w:noProof/>
          <w:sz w:val="24"/>
          <w:szCs w:val="24"/>
        </w:rPr>
        <w:t xml:space="preserve"> table,</w:t>
      </w:r>
      <w:r w:rsidR="00B06988">
        <w:rPr>
          <w:rFonts w:ascii="Times New Roman" w:hAnsi="Times New Roman" w:cs="Times New Roman"/>
          <w:noProof/>
          <w:sz w:val="24"/>
          <w:szCs w:val="24"/>
        </w:rPr>
        <w:t xml:space="preserve"> apart from the impacts on sustainability,</w:t>
      </w:r>
      <w:r w:rsidRPr="008D65D2">
        <w:rPr>
          <w:rFonts w:ascii="Times New Roman" w:hAnsi="Times New Roman" w:cs="Times New Roman"/>
          <w:noProof/>
          <w:sz w:val="24"/>
          <w:szCs w:val="24"/>
        </w:rPr>
        <w:t xml:space="preserve"> t</w:t>
      </w:r>
      <w:r w:rsidR="00B06988" w:rsidRPr="00B06988">
        <w:rPr>
          <w:rFonts w:ascii="Times New Roman" w:hAnsi="Times New Roman" w:cs="Times New Roman"/>
          <w:noProof/>
          <w:sz w:val="24"/>
          <w:szCs w:val="24"/>
        </w:rPr>
        <w:t xml:space="preserve">he corresponding impacts on </w:t>
      </w:r>
      <w:r w:rsidR="00B06988">
        <w:rPr>
          <w:rFonts w:ascii="Times New Roman" w:hAnsi="Times New Roman" w:cs="Times New Roman"/>
          <w:noProof/>
          <w:sz w:val="24"/>
          <w:szCs w:val="24"/>
        </w:rPr>
        <w:t>T</w:t>
      </w:r>
      <w:r w:rsidR="00B06988" w:rsidRPr="00B06988">
        <w:rPr>
          <w:rFonts w:ascii="Times New Roman" w:hAnsi="Times New Roman" w:cs="Times New Roman"/>
          <w:noProof/>
          <w:sz w:val="24"/>
          <w:szCs w:val="24"/>
        </w:rPr>
        <w:t xml:space="preserve">hird </w:t>
      </w:r>
      <w:r w:rsidR="00B06988">
        <w:rPr>
          <w:rFonts w:ascii="Times New Roman" w:hAnsi="Times New Roman" w:cs="Times New Roman"/>
          <w:noProof/>
          <w:sz w:val="24"/>
          <w:szCs w:val="24"/>
        </w:rPr>
        <w:t>C</w:t>
      </w:r>
      <w:r w:rsidRPr="008D65D2">
        <w:rPr>
          <w:rFonts w:ascii="Times New Roman" w:hAnsi="Times New Roman" w:cs="Times New Roman"/>
          <w:noProof/>
          <w:sz w:val="24"/>
          <w:szCs w:val="24"/>
        </w:rPr>
        <w:t xml:space="preserve">ountries were considered minor and therefore not selected in the screening of the impacts. </w:t>
      </w:r>
      <w:r>
        <w:rPr>
          <w:rFonts w:ascii="Times New Roman" w:hAnsi="Times New Roman" w:cs="Times New Roman"/>
          <w:noProof/>
          <w:sz w:val="24"/>
          <w:szCs w:val="24"/>
        </w:rPr>
        <w:t xml:space="preserve">This is due to the fact that it </w:t>
      </w:r>
      <w:r w:rsidRPr="002E4933">
        <w:rPr>
          <w:rFonts w:ascii="Times New Roman" w:hAnsi="Times New Roman" w:cs="Times New Roman"/>
          <w:noProof/>
          <w:sz w:val="24"/>
          <w:szCs w:val="24"/>
        </w:rPr>
        <w:t xml:space="preserve">can be estimated that the level playing field established by </w:t>
      </w:r>
      <w:r>
        <w:rPr>
          <w:rFonts w:ascii="Times New Roman" w:hAnsi="Times New Roman" w:cs="Times New Roman"/>
          <w:noProof/>
          <w:sz w:val="24"/>
          <w:szCs w:val="24"/>
        </w:rPr>
        <w:t>this initiative</w:t>
      </w:r>
      <w:r w:rsidRPr="002E4933">
        <w:rPr>
          <w:rFonts w:ascii="Times New Roman" w:hAnsi="Times New Roman" w:cs="Times New Roman"/>
          <w:noProof/>
          <w:sz w:val="24"/>
          <w:szCs w:val="24"/>
        </w:rPr>
        <w:t xml:space="preserve"> would also bring benef</w:t>
      </w:r>
      <w:r w:rsidR="00B06988">
        <w:rPr>
          <w:rFonts w:ascii="Times New Roman" w:hAnsi="Times New Roman" w:cs="Times New Roman"/>
          <w:noProof/>
          <w:sz w:val="24"/>
          <w:szCs w:val="24"/>
        </w:rPr>
        <w:t>its to businesses located in T</w:t>
      </w:r>
      <w:r w:rsidRPr="002E4933">
        <w:rPr>
          <w:rFonts w:ascii="Times New Roman" w:hAnsi="Times New Roman" w:cs="Times New Roman"/>
          <w:noProof/>
          <w:sz w:val="24"/>
          <w:szCs w:val="24"/>
        </w:rPr>
        <w:t xml:space="preserve">hird Countries, as those </w:t>
      </w:r>
      <w:r>
        <w:rPr>
          <w:rFonts w:ascii="Times New Roman" w:hAnsi="Times New Roman" w:cs="Times New Roman"/>
          <w:noProof/>
          <w:sz w:val="24"/>
          <w:szCs w:val="24"/>
        </w:rPr>
        <w:t>businesses that currently misle</w:t>
      </w:r>
      <w:r w:rsidR="00B06988">
        <w:rPr>
          <w:rFonts w:ascii="Times New Roman" w:hAnsi="Times New Roman" w:cs="Times New Roman"/>
          <w:noProof/>
          <w:sz w:val="24"/>
          <w:szCs w:val="24"/>
        </w:rPr>
        <w:t>a</w:t>
      </w:r>
      <w:r w:rsidRPr="002E4933">
        <w:rPr>
          <w:rFonts w:ascii="Times New Roman" w:hAnsi="Times New Roman" w:cs="Times New Roman"/>
          <w:noProof/>
          <w:sz w:val="24"/>
          <w:szCs w:val="24"/>
        </w:rPr>
        <w:t xml:space="preserve">d consumers would also have to align their practices with those that are truly sustainable in order to sell their products on the EU market in conformity with the measures </w:t>
      </w:r>
      <w:r>
        <w:rPr>
          <w:rFonts w:ascii="Times New Roman" w:hAnsi="Times New Roman" w:cs="Times New Roman"/>
          <w:noProof/>
          <w:sz w:val="24"/>
          <w:szCs w:val="24"/>
        </w:rPr>
        <w:t>selected</w:t>
      </w:r>
      <w:r w:rsidRPr="002E4933">
        <w:rPr>
          <w:rFonts w:ascii="Times New Roman" w:hAnsi="Times New Roman" w:cs="Times New Roman"/>
          <w:noProof/>
          <w:sz w:val="24"/>
          <w:szCs w:val="24"/>
        </w:rPr>
        <w:t>.</w:t>
      </w:r>
      <w:r>
        <w:rPr>
          <w:rFonts w:ascii="Times New Roman" w:hAnsi="Times New Roman" w:cs="Times New Roman"/>
          <w:noProof/>
          <w:sz w:val="24"/>
          <w:szCs w:val="24"/>
        </w:rPr>
        <w:t xml:space="preserve"> Furthermore, none of the policy options </w:t>
      </w:r>
      <w:r w:rsidR="00B06988">
        <w:rPr>
          <w:rFonts w:ascii="Times New Roman" w:hAnsi="Times New Roman" w:cs="Times New Roman"/>
          <w:noProof/>
          <w:sz w:val="24"/>
          <w:szCs w:val="24"/>
        </w:rPr>
        <w:t>considered</w:t>
      </w:r>
      <w:r>
        <w:rPr>
          <w:rFonts w:ascii="Times New Roman" w:hAnsi="Times New Roman" w:cs="Times New Roman"/>
          <w:noProof/>
          <w:sz w:val="24"/>
          <w:szCs w:val="24"/>
        </w:rPr>
        <w:t xml:space="preserve"> would negatively impact </w:t>
      </w:r>
      <w:r w:rsidR="00B06988">
        <w:rPr>
          <w:rFonts w:ascii="Times New Roman" w:hAnsi="Times New Roman" w:cs="Times New Roman"/>
          <w:noProof/>
          <w:sz w:val="24"/>
          <w:szCs w:val="24"/>
        </w:rPr>
        <w:t xml:space="preserve">trade from </w:t>
      </w:r>
      <w:r>
        <w:rPr>
          <w:rFonts w:ascii="Times New Roman" w:hAnsi="Times New Roman" w:cs="Times New Roman"/>
          <w:noProof/>
          <w:sz w:val="24"/>
          <w:szCs w:val="24"/>
        </w:rPr>
        <w:t>Third Count</w:t>
      </w:r>
      <w:r w:rsidR="00B06988">
        <w:rPr>
          <w:rFonts w:ascii="Times New Roman" w:hAnsi="Times New Roman" w:cs="Times New Roman"/>
          <w:noProof/>
          <w:sz w:val="24"/>
          <w:szCs w:val="24"/>
        </w:rPr>
        <w:t>ries</w:t>
      </w:r>
      <w:r>
        <w:rPr>
          <w:rFonts w:ascii="Times New Roman" w:hAnsi="Times New Roman" w:cs="Times New Roman"/>
          <w:noProof/>
          <w:sz w:val="24"/>
          <w:szCs w:val="24"/>
        </w:rPr>
        <w:t xml:space="preserve">, as the </w:t>
      </w:r>
      <w:r w:rsidR="00B06988">
        <w:rPr>
          <w:rFonts w:ascii="Times New Roman" w:hAnsi="Times New Roman" w:cs="Times New Roman"/>
          <w:noProof/>
          <w:sz w:val="24"/>
          <w:szCs w:val="24"/>
        </w:rPr>
        <w:t>options</w:t>
      </w:r>
      <w:r>
        <w:rPr>
          <w:rFonts w:ascii="Times New Roman" w:hAnsi="Times New Roman" w:cs="Times New Roman"/>
          <w:noProof/>
          <w:sz w:val="24"/>
          <w:szCs w:val="24"/>
        </w:rPr>
        <w:t xml:space="preserve"> </w:t>
      </w:r>
      <w:r w:rsidR="00B06988">
        <w:rPr>
          <w:rFonts w:ascii="Times New Roman" w:hAnsi="Times New Roman" w:cs="Times New Roman"/>
          <w:noProof/>
          <w:sz w:val="24"/>
          <w:szCs w:val="24"/>
        </w:rPr>
        <w:t xml:space="preserve">considered </w:t>
      </w:r>
      <w:r>
        <w:rPr>
          <w:rFonts w:ascii="Times New Roman" w:hAnsi="Times New Roman" w:cs="Times New Roman"/>
          <w:noProof/>
          <w:sz w:val="24"/>
          <w:szCs w:val="24"/>
        </w:rPr>
        <w:t xml:space="preserve">are of such a nature as to be </w:t>
      </w:r>
      <w:r w:rsidR="00B06988">
        <w:rPr>
          <w:rFonts w:ascii="Times New Roman" w:hAnsi="Times New Roman" w:cs="Times New Roman"/>
          <w:noProof/>
          <w:sz w:val="24"/>
          <w:szCs w:val="24"/>
        </w:rPr>
        <w:t xml:space="preserve">able to be </w:t>
      </w:r>
      <w:r>
        <w:rPr>
          <w:rFonts w:ascii="Times New Roman" w:hAnsi="Times New Roman" w:cs="Times New Roman"/>
          <w:noProof/>
          <w:sz w:val="24"/>
          <w:szCs w:val="24"/>
        </w:rPr>
        <w:t>complied with by traders located in Third Countries</w:t>
      </w:r>
      <w:r w:rsidR="00B06988">
        <w:rPr>
          <w:rFonts w:ascii="Times New Roman" w:hAnsi="Times New Roman" w:cs="Times New Roman"/>
          <w:noProof/>
          <w:sz w:val="24"/>
          <w:szCs w:val="24"/>
        </w:rPr>
        <w:t xml:space="preserve"> on the same basis as traders located within the EU</w:t>
      </w:r>
      <w:r>
        <w:rPr>
          <w:rFonts w:ascii="Times New Roman" w:hAnsi="Times New Roman" w:cs="Times New Roman"/>
          <w:noProof/>
          <w:sz w:val="24"/>
          <w:szCs w:val="24"/>
        </w:rPr>
        <w:t xml:space="preserve">. </w:t>
      </w:r>
    </w:p>
    <w:p w:rsidR="00EA45F9" w:rsidRPr="009B5734" w:rsidRDefault="00A00208" w:rsidP="00A00208">
      <w:pPr>
        <w:pStyle w:val="Heading2"/>
        <w:rPr>
          <w:noProof/>
        </w:rPr>
      </w:pPr>
      <w:bookmarkStart w:id="562" w:name="_Toc58603280"/>
      <w:bookmarkStart w:id="563" w:name="_Toc58604140"/>
      <w:bookmarkStart w:id="564" w:name="_Toc58605458"/>
      <w:bookmarkStart w:id="565" w:name="_Toc60734094"/>
      <w:bookmarkStart w:id="566" w:name="_Toc75440988"/>
      <w:bookmarkStart w:id="567" w:name="_Toc75446987"/>
      <w:bookmarkStart w:id="568" w:name="_Toc75448860"/>
      <w:bookmarkStart w:id="569" w:name="_Toc77844258"/>
      <w:bookmarkStart w:id="570" w:name="_Toc86391761"/>
      <w:r w:rsidRPr="00A00208">
        <w:t>2.</w:t>
      </w:r>
      <w:r w:rsidRPr="00A00208">
        <w:tab/>
      </w:r>
      <w:r w:rsidR="00EA45F9" w:rsidRPr="009B5734">
        <w:rPr>
          <w:noProof/>
        </w:rPr>
        <w:t>General approach to assess the various impacts</w:t>
      </w:r>
      <w:bookmarkEnd w:id="562"/>
      <w:bookmarkEnd w:id="563"/>
      <w:bookmarkEnd w:id="564"/>
      <w:bookmarkEnd w:id="565"/>
      <w:bookmarkEnd w:id="566"/>
      <w:bookmarkEnd w:id="567"/>
      <w:bookmarkEnd w:id="568"/>
      <w:bookmarkEnd w:id="569"/>
      <w:bookmarkEnd w:id="570"/>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All selected impacts were assessed in a qualitative and quantitative way. The quantitative assessment was done by monetisation when possible and otherwise by scores.</w:t>
      </w:r>
    </w:p>
    <w:p w:rsidR="00EA45F9" w:rsidRPr="009B5734" w:rsidRDefault="00EA45F9" w:rsidP="00EA45F9">
      <w:pPr>
        <w:ind w:left="0" w:firstLine="0"/>
        <w:rPr>
          <w:rFonts w:ascii="Times New Roman" w:hAnsi="Times New Roman" w:cs="Times New Roman"/>
          <w:noProof/>
          <w:sz w:val="24"/>
          <w:szCs w:val="24"/>
        </w:rPr>
      </w:pP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The monetisation involved assigning a monetary value to benefits or losses experienced by stakeholders. When possible, the analysis relied on data from various sources, including statistics, studies, the consumer survey, the CATI survey and the mystery shopping exercise carried out in the context of this study. The available data frequently did not (entirely) cover the needs of the analysis, and in that situation, it was necessary to extrapolate the data or fill in data gaps using expert judgment by the supporting study core team and a panel of experts, drawing from other sources of information such as the results of the surveys, interviews, and workshops with stakeholders. </w:t>
      </w:r>
    </w:p>
    <w:p w:rsidR="00EA45F9" w:rsidRPr="009B5734" w:rsidRDefault="00EA45F9" w:rsidP="00EA45F9">
      <w:pPr>
        <w:ind w:left="0" w:firstLine="0"/>
        <w:rPr>
          <w:rFonts w:ascii="Times New Roman" w:hAnsi="Times New Roman" w:cs="Times New Roman"/>
          <w:noProof/>
          <w:sz w:val="24"/>
          <w:szCs w:val="24"/>
        </w:rPr>
      </w:pP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Given the uncertainty surrounding many parameters, in the analysis, they were defined as distribution functions rather than single values</w:t>
      </w:r>
      <w:r w:rsidRPr="009B5734">
        <w:rPr>
          <w:rFonts w:ascii="Times New Roman" w:hAnsi="Times New Roman" w:cs="Times New Roman"/>
          <w:noProof/>
          <w:sz w:val="24"/>
          <w:szCs w:val="24"/>
          <w:vertAlign w:val="superscript"/>
        </w:rPr>
        <w:footnoteReference w:id="146"/>
      </w:r>
      <w:r w:rsidRPr="009B5734">
        <w:rPr>
          <w:rFonts w:ascii="Times New Roman" w:hAnsi="Times New Roman" w:cs="Times New Roman"/>
          <w:noProof/>
          <w:sz w:val="24"/>
          <w:szCs w:val="24"/>
        </w:rPr>
        <w:t xml:space="preserve">. In addition, scenarios were defined for most of the measures to describe possible responses of consumers and/or businesses, and the monetised impacts were obtained by running Monte Carlo simulations. The input data limitations were reflected in the analysis by presenting the output as a range rather than single values; nevertheless, the results should be taken with caution and seen as indicative of the scale of the impacts.    </w:t>
      </w:r>
    </w:p>
    <w:p w:rsidR="00EA45F9" w:rsidRPr="009B5734" w:rsidRDefault="00EA45F9" w:rsidP="00EA45F9">
      <w:pPr>
        <w:ind w:left="0" w:firstLine="0"/>
        <w:rPr>
          <w:rFonts w:ascii="Times New Roman" w:hAnsi="Times New Roman" w:cs="Times New Roman"/>
          <w:noProof/>
          <w:sz w:val="24"/>
          <w:szCs w:val="24"/>
        </w:rPr>
      </w:pP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The approach and assumptions to the monetisation of benefits and costs of each measure are described below. </w:t>
      </w:r>
    </w:p>
    <w:p w:rsidR="00EA45F9" w:rsidRPr="009B5734" w:rsidRDefault="00EA45F9" w:rsidP="00EA45F9">
      <w:pPr>
        <w:ind w:left="0" w:firstLine="0"/>
        <w:rPr>
          <w:rFonts w:ascii="Times New Roman" w:hAnsi="Times New Roman" w:cs="Times New Roman"/>
          <w:noProof/>
          <w:sz w:val="24"/>
          <w:szCs w:val="24"/>
        </w:rPr>
      </w:pP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scores were assigned with input of the supporting study core team, and validated by a panel of experts, reflecting the findings of desk research and stakeholder consultations, including targeted interviews, consumer survey and the results of the stakeholder workshop.</w:t>
      </w:r>
    </w:p>
    <w:p w:rsidR="00EA45F9" w:rsidRPr="009B5734" w:rsidRDefault="00EA45F9" w:rsidP="00EA45F9">
      <w:pPr>
        <w:ind w:left="0" w:firstLine="0"/>
        <w:rPr>
          <w:rFonts w:ascii="Times New Roman" w:hAnsi="Times New Roman"/>
          <w:noProof/>
          <w:sz w:val="24"/>
        </w:rPr>
      </w:pPr>
    </w:p>
    <w:p w:rsidR="00EA45F9" w:rsidRPr="009B5734" w:rsidRDefault="00A00208" w:rsidP="00A00208">
      <w:pPr>
        <w:pStyle w:val="Heading2"/>
        <w:rPr>
          <w:noProof/>
        </w:rPr>
      </w:pPr>
      <w:bookmarkStart w:id="571" w:name="_Toc58603281"/>
      <w:bookmarkStart w:id="572" w:name="_Toc58604141"/>
      <w:bookmarkStart w:id="573" w:name="_Toc58605459"/>
      <w:bookmarkStart w:id="574" w:name="_Toc60734095"/>
      <w:bookmarkStart w:id="575" w:name="_Toc75440989"/>
      <w:bookmarkStart w:id="576" w:name="_Toc75446988"/>
      <w:bookmarkStart w:id="577" w:name="_Toc75448861"/>
      <w:bookmarkStart w:id="578" w:name="_Toc77844259"/>
      <w:bookmarkStart w:id="579" w:name="_Toc86391762"/>
      <w:r w:rsidRPr="00A00208">
        <w:t>3.</w:t>
      </w:r>
      <w:r w:rsidRPr="00A00208">
        <w:tab/>
      </w:r>
      <w:r w:rsidR="00EA45F9" w:rsidRPr="009B5734">
        <w:rPr>
          <w:noProof/>
        </w:rPr>
        <w:t>Socio-economic impacts</w:t>
      </w:r>
      <w:bookmarkEnd w:id="571"/>
      <w:bookmarkEnd w:id="572"/>
      <w:bookmarkEnd w:id="573"/>
      <w:bookmarkEnd w:id="574"/>
      <w:bookmarkEnd w:id="575"/>
      <w:bookmarkEnd w:id="576"/>
      <w:bookmarkEnd w:id="577"/>
      <w:bookmarkEnd w:id="578"/>
      <w:bookmarkEnd w:id="579"/>
      <w:r w:rsidR="00EA45F9" w:rsidRPr="009B5734">
        <w:rPr>
          <w:noProof/>
        </w:rPr>
        <w:t xml:space="preserve"> </w:t>
      </w:r>
    </w:p>
    <w:p w:rsidR="00EA45F9" w:rsidRPr="009B5734" w:rsidRDefault="00EA45F9" w:rsidP="00EA45F9">
      <w:pPr>
        <w:pStyle w:val="Heading4"/>
        <w:rPr>
          <w:b/>
          <w:noProof/>
        </w:rPr>
      </w:pPr>
      <w:r w:rsidRPr="009B5734">
        <w:rPr>
          <w:b/>
          <w:noProof/>
        </w:rPr>
        <w:t>Consumer’s benefits and losses</w:t>
      </w: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noProof/>
          <w:sz w:val="24"/>
          <w:u w:val="single"/>
        </w:rPr>
      </w:pPr>
      <w:r w:rsidRPr="009B5734">
        <w:rPr>
          <w:rFonts w:ascii="Times New Roman" w:hAnsi="Times New Roman"/>
          <w:noProof/>
          <w:sz w:val="24"/>
          <w:u w:val="single"/>
        </w:rPr>
        <w:t>Consumer detriment and other gains and losses</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 xml:space="preserve">This impact was assessed quantitatively and qualitatively. The quantitative assessment involved the monetisation of the incremental changes to the consumer detriment as a result of the implementation of a given option (which are expected to be positive) and is based mostly on the results of the contingency valuation of specific products obtained through the consumer survey carried out in the context of this study (with a sample of 11 800 respondents) complemented with data from other sources when necessary). See supporting study for an overview of the product scope. </w:t>
      </w:r>
    </w:p>
    <w:p w:rsidR="00EA45F9" w:rsidRPr="009B5734" w:rsidRDefault="00EA45F9" w:rsidP="00EA45F9">
      <w:pPr>
        <w:ind w:left="0" w:firstLine="0"/>
        <w:rPr>
          <w:rFonts w:ascii="Times New Roman" w:hAnsi="Times New Roman"/>
          <w:noProof/>
          <w:sz w:val="24"/>
        </w:rPr>
      </w:pP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The monetisation follows the following steps:</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1. Modelling of the expected changes in the market due to a given option. For example, certain information becomes available for certain products, whereas in the baseline it would not be, or the share of products that fail prematurely decreases (as compared to the baseline) as a consequence of banning certain practices.</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2. Modelling of the expected changes in the consumer behaviour resulting from the option. For example, the share of consumers interested in (and willing to pay for) products with longer lifespans will be (to some extent) able to do so (as compared to the baseline). Or, as another example, consumers purchase products that do not fail earlier than reasonably expected (whereas in the baseline they unknowingly would).</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3. Monetising the expected benefits that those changes will bring to consumers. The specific approach depends on the option and on the availability of data, and could be:</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a) Estimating the incremental consumer surplus, relying on data on willingness to pay: for those consumers that changed their consumption behaviour as a result of the option, calculate the difference between what consumers are willing to pay - for example, for an additional year of guaranteed lifespan - and the price premium they effectively had to pay.</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b) Estimating the incremental consumer surplus, relying on the price of goods and their increased extended lifespan: for those consumers that changed their consumption behaviour as a result of the option, calculate the difference between what consumers gained (i.e., the price of the goods divided by the incremental duration of the good) and the price premium they effectively had to pay.</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c) Estimating the avoided personal revealed detriment related to repair of products (if repairing becomes easier and less burdensome as a result of an option) or related to having bought a product (and paid a price premium) based on certain information that was not correct.</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d) Estimating the stated benefits of an option based on consumer’s stated willingness to pay for having that option implemented.</w:t>
      </w:r>
    </w:p>
    <w:p w:rsidR="00EA45F9" w:rsidRPr="009B5734" w:rsidRDefault="00EA45F9" w:rsidP="00EA45F9">
      <w:pPr>
        <w:ind w:left="0" w:firstLine="0"/>
        <w:rPr>
          <w:rFonts w:ascii="Times New Roman" w:hAnsi="Times New Roman"/>
          <w:noProof/>
          <w:sz w:val="24"/>
        </w:rPr>
      </w:pP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The estimations, while providing a sense of the magnitude of t</w:t>
      </w:r>
      <w:r w:rsidR="004508B7" w:rsidRPr="009B5734">
        <w:rPr>
          <w:rFonts w:ascii="Times New Roman" w:hAnsi="Times New Roman"/>
          <w:noProof/>
          <w:sz w:val="24"/>
        </w:rPr>
        <w:t xml:space="preserve">he benefits for consumers, have </w:t>
      </w:r>
      <w:r w:rsidRPr="009B5734">
        <w:rPr>
          <w:rFonts w:ascii="Times New Roman" w:hAnsi="Times New Roman"/>
          <w:noProof/>
          <w:sz w:val="24"/>
        </w:rPr>
        <w:t>limitations:</w:t>
      </w:r>
    </w:p>
    <w:p w:rsidR="00EA45F9" w:rsidRPr="009B5734" w:rsidRDefault="00EA45F9" w:rsidP="00EA45F9">
      <w:pPr>
        <w:pStyle w:val="ListParagraph"/>
        <w:numPr>
          <w:ilvl w:val="0"/>
          <w:numId w:val="57"/>
        </w:numPr>
        <w:rPr>
          <w:rFonts w:ascii="Times New Roman" w:hAnsi="Times New Roman"/>
          <w:noProof/>
          <w:sz w:val="24"/>
        </w:rPr>
      </w:pPr>
      <w:r w:rsidRPr="009B5734">
        <w:rPr>
          <w:rFonts w:ascii="Times New Roman" w:hAnsi="Times New Roman"/>
          <w:noProof/>
          <w:color w:val="auto"/>
          <w:sz w:val="24"/>
        </w:rPr>
        <w:t>Anecdotal data on consumer preferences and detriment for some product groups and unavailability of data for other product groups (s-p 1.1, 1.2 and 1.3);</w:t>
      </w:r>
    </w:p>
    <w:p w:rsidR="00EA45F9" w:rsidRPr="009B5734" w:rsidRDefault="00EA45F9" w:rsidP="00EA45F9">
      <w:pPr>
        <w:pStyle w:val="ListParagraph"/>
        <w:numPr>
          <w:ilvl w:val="0"/>
          <w:numId w:val="57"/>
        </w:numPr>
        <w:rPr>
          <w:rFonts w:ascii="Times New Roman" w:hAnsi="Times New Roman"/>
          <w:noProof/>
          <w:color w:val="auto"/>
          <w:sz w:val="24"/>
        </w:rPr>
      </w:pPr>
      <w:r w:rsidRPr="009B5734">
        <w:rPr>
          <w:rFonts w:ascii="Times New Roman" w:hAnsi="Times New Roman"/>
          <w:noProof/>
          <w:color w:val="auto"/>
          <w:sz w:val="24"/>
        </w:rPr>
        <w:t>For some problems, there was the need to focus on a sub-set of product groups due to the lack of data on other product categories. This means that the results do not cover all products in scope of the measure. For others, we could only assess the measure for high-level product categories due to lack of data.</w:t>
      </w:r>
    </w:p>
    <w:p w:rsidR="00EA45F9" w:rsidRPr="009B5734" w:rsidRDefault="00EA45F9" w:rsidP="00EA45F9">
      <w:pPr>
        <w:pStyle w:val="ListParagraph"/>
        <w:numPr>
          <w:ilvl w:val="0"/>
          <w:numId w:val="57"/>
        </w:numPr>
        <w:rPr>
          <w:rFonts w:ascii="Times New Roman" w:hAnsi="Times New Roman"/>
          <w:noProof/>
          <w:color w:val="auto"/>
          <w:sz w:val="24"/>
        </w:rPr>
      </w:pPr>
      <w:r w:rsidRPr="009B5734">
        <w:rPr>
          <w:rFonts w:ascii="Times New Roman" w:hAnsi="Times New Roman"/>
          <w:noProof/>
          <w:color w:val="auto"/>
          <w:sz w:val="24"/>
        </w:rPr>
        <w:t xml:space="preserve">In most of the cases the products covered in the consumer survey were only a sub-set of the products that exist in a certain product category, which required us to extrapolate the results of the assessment for the individual products to the product category, assuming that the products would represent to some extent the average product in that category. Without such assumption the assessment would have not been possible (given that the measure is a horizontal one) but constitutes an important limitation of the assessment. While this issue was not raised by the stakeholder consulted, the characteristics between goods and services can indeed impact the effectiveness of various measures. </w:t>
      </w:r>
    </w:p>
    <w:p w:rsidR="00EA45F9" w:rsidRPr="009B5734" w:rsidRDefault="00EA45F9" w:rsidP="00EA45F9">
      <w:pPr>
        <w:pStyle w:val="ListParagraph"/>
        <w:numPr>
          <w:ilvl w:val="0"/>
          <w:numId w:val="57"/>
        </w:numPr>
        <w:rPr>
          <w:rFonts w:ascii="Times New Roman" w:hAnsi="Times New Roman"/>
          <w:noProof/>
          <w:color w:val="auto"/>
          <w:sz w:val="24"/>
        </w:rPr>
      </w:pPr>
      <w:r w:rsidRPr="009B5734">
        <w:rPr>
          <w:rFonts w:ascii="Times New Roman" w:hAnsi="Times New Roman"/>
          <w:noProof/>
          <w:color w:val="auto"/>
          <w:sz w:val="24"/>
        </w:rPr>
        <w:t>Discrepancies between consumer statements and “real-life” behaviours;</w:t>
      </w:r>
    </w:p>
    <w:p w:rsidR="00EA45F9" w:rsidRPr="009B5734" w:rsidRDefault="00EA45F9" w:rsidP="00EA45F9">
      <w:pPr>
        <w:pStyle w:val="ListParagraph"/>
        <w:numPr>
          <w:ilvl w:val="0"/>
          <w:numId w:val="57"/>
        </w:numPr>
        <w:rPr>
          <w:rFonts w:ascii="Times New Roman" w:hAnsi="Times New Roman"/>
          <w:noProof/>
          <w:color w:val="auto"/>
          <w:sz w:val="24"/>
        </w:rPr>
      </w:pPr>
      <w:r w:rsidRPr="009B5734">
        <w:rPr>
          <w:rFonts w:ascii="Times New Roman" w:hAnsi="Times New Roman"/>
          <w:noProof/>
          <w:color w:val="auto"/>
          <w:sz w:val="24"/>
        </w:rPr>
        <w:t>Difficulties in assessing the variation in the average sustainability of the products purchased and the average lifespan and reparability of the goods purchased as a result of a certain measure.</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 xml:space="preserve">In order to mitigate these limitations, Monte Carlo simulations have been carried out and the benefits have been assessed in the supporting study for at least two scenarios for the expected effectiveness of each option </w:t>
      </w:r>
      <w:r w:rsidR="004508B7" w:rsidRPr="009B5734">
        <w:rPr>
          <w:rFonts w:ascii="Times New Roman" w:hAnsi="Times New Roman"/>
          <w:noProof/>
          <w:sz w:val="24"/>
        </w:rPr>
        <w:t xml:space="preserve">low-moderate and moderate-high </w:t>
      </w:r>
      <w:r w:rsidRPr="009B5734">
        <w:rPr>
          <w:rFonts w:ascii="Times New Roman" w:hAnsi="Times New Roman"/>
          <w:noProof/>
          <w:sz w:val="24"/>
        </w:rPr>
        <w:t xml:space="preserve">(which will depend on factors specific of each measure, such as compliance levels, change in the behaviour of suppliers, impact on comparability of information). The present IA, however, only reports on the moderate-high scenario for ease of reading. </w:t>
      </w:r>
    </w:p>
    <w:p w:rsidR="00EA45F9" w:rsidRPr="009B5734" w:rsidRDefault="00EA45F9" w:rsidP="00EA45F9">
      <w:pPr>
        <w:ind w:left="0" w:firstLine="0"/>
        <w:rPr>
          <w:rFonts w:ascii="Times New Roman" w:hAnsi="Times New Roman"/>
          <w:noProof/>
          <w:sz w:val="24"/>
        </w:rPr>
      </w:pPr>
    </w:p>
    <w:p w:rsidR="00EA45F9" w:rsidRPr="009B5734" w:rsidRDefault="00EA45F9" w:rsidP="00EA45F9">
      <w:pPr>
        <w:ind w:left="0" w:firstLine="0"/>
        <w:rPr>
          <w:rFonts w:ascii="Times New Roman" w:hAnsi="Times New Roman"/>
          <w:noProof/>
          <w:sz w:val="24"/>
          <w:u w:val="single"/>
        </w:rPr>
      </w:pPr>
      <w:r w:rsidRPr="009B5734">
        <w:rPr>
          <w:rFonts w:ascii="Times New Roman" w:hAnsi="Times New Roman"/>
          <w:noProof/>
          <w:sz w:val="24"/>
          <w:u w:val="single"/>
        </w:rPr>
        <w:t>Quality of the decision-making process</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This impact assesses to what extent an option leads to a situation where consumers have more and better information to take decisions and can more/less easily compare goods or services on offer (taking into account information overload, for example). Improving the decision-making process may lead to changes in behaviour (and to a reduction in consumer detriment) or not, but it can also lead to an improvement in the subjective wellbeing of consumers. This is assessed qualitatively and quantitatively using a score from zero to ten.</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 xml:space="preserve">This impact is one of the components of the specific objective “Enable informed purchasing decisions by consumers to foster sustainable consumption”. </w:t>
      </w:r>
    </w:p>
    <w:p w:rsidR="00EA45F9" w:rsidRPr="009B5734" w:rsidRDefault="00EA45F9" w:rsidP="00EA45F9">
      <w:pPr>
        <w:ind w:left="0" w:firstLine="0"/>
        <w:rPr>
          <w:rFonts w:ascii="Times New Roman" w:hAnsi="Times New Roman"/>
          <w:noProof/>
          <w:sz w:val="24"/>
        </w:rPr>
      </w:pPr>
    </w:p>
    <w:p w:rsidR="00EA45F9" w:rsidRPr="009B5734" w:rsidRDefault="00EA45F9" w:rsidP="00EA45F9">
      <w:pPr>
        <w:ind w:left="0" w:firstLine="0"/>
        <w:rPr>
          <w:rFonts w:ascii="Times New Roman" w:hAnsi="Times New Roman"/>
          <w:noProof/>
          <w:sz w:val="24"/>
          <w:u w:val="single"/>
        </w:rPr>
      </w:pPr>
      <w:r w:rsidRPr="009B5734">
        <w:rPr>
          <w:rFonts w:ascii="Times New Roman" w:hAnsi="Times New Roman"/>
          <w:noProof/>
          <w:sz w:val="24"/>
          <w:u w:val="single"/>
        </w:rPr>
        <w:t>Consumer protection</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This impact assesses to what extent an option increases consumer protection in general. This will be assessed qualitatively and quantitatively using a score from zero to ten. Please note that this impact is in part covered by the monetisation of the consumer revealed detriment.</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This impact is one of the components of the specific objective “Eliminate untrustworthy practices that run against sustainable economy and mislead consumers”.</w:t>
      </w:r>
    </w:p>
    <w:p w:rsidR="00EA45F9" w:rsidRPr="009B5734" w:rsidRDefault="00EA45F9" w:rsidP="00EA45F9">
      <w:pPr>
        <w:ind w:left="0" w:firstLine="0"/>
        <w:rPr>
          <w:rFonts w:ascii="Times New Roman" w:hAnsi="Times New Roman"/>
          <w:noProof/>
          <w:sz w:val="24"/>
        </w:rPr>
      </w:pPr>
    </w:p>
    <w:p w:rsidR="00EA45F9" w:rsidRPr="009B5734" w:rsidRDefault="00EA45F9" w:rsidP="00EA45F9">
      <w:pPr>
        <w:ind w:left="0" w:firstLine="0"/>
        <w:rPr>
          <w:rFonts w:ascii="Times New Roman" w:hAnsi="Times New Roman"/>
          <w:noProof/>
          <w:sz w:val="24"/>
          <w:u w:val="single"/>
        </w:rPr>
      </w:pPr>
      <w:r w:rsidRPr="009B5734">
        <w:rPr>
          <w:rFonts w:ascii="Times New Roman" w:hAnsi="Times New Roman"/>
          <w:noProof/>
          <w:sz w:val="24"/>
          <w:u w:val="single"/>
        </w:rPr>
        <w:t>Consumer trust</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This impact assesses to what extent an option increases the trust of consumers in the market by putting in place effective mechanisms to prevent and penalise misleading practices. This is assessed qualitatively and quantitatively using a score from zero to ten.</w:t>
      </w:r>
    </w:p>
    <w:p w:rsidR="00EA45F9" w:rsidRPr="009B5734" w:rsidRDefault="00EA45F9" w:rsidP="00EA45F9">
      <w:pPr>
        <w:spacing w:after="240"/>
        <w:ind w:left="0" w:firstLine="0"/>
        <w:rPr>
          <w:rFonts w:ascii="Times New Roman" w:hAnsi="Times New Roman"/>
          <w:noProof/>
          <w:sz w:val="24"/>
        </w:rPr>
      </w:pPr>
      <w:r w:rsidRPr="009B5734">
        <w:rPr>
          <w:rFonts w:ascii="Times New Roman" w:hAnsi="Times New Roman"/>
          <w:noProof/>
          <w:sz w:val="24"/>
        </w:rPr>
        <w:t>This impact is one of the components of the specific objective “Eliminate untrustworthy practices that run against sustainable economy and mislead consumers”.</w:t>
      </w:r>
    </w:p>
    <w:p w:rsidR="00EA45F9" w:rsidRPr="009B5734" w:rsidRDefault="00EA45F9" w:rsidP="00EA45F9">
      <w:pPr>
        <w:ind w:left="0" w:firstLine="0"/>
        <w:rPr>
          <w:rFonts w:ascii="Times New Roman" w:hAnsi="Times New Roman"/>
          <w:noProof/>
          <w:sz w:val="24"/>
        </w:rPr>
      </w:pPr>
    </w:p>
    <w:p w:rsidR="00EA45F9" w:rsidRPr="009B5734" w:rsidRDefault="00EA45F9" w:rsidP="00EA45F9">
      <w:pPr>
        <w:pStyle w:val="Heading4"/>
        <w:rPr>
          <w:b/>
          <w:noProof/>
        </w:rPr>
      </w:pPr>
      <w:r w:rsidRPr="009B5734">
        <w:rPr>
          <w:b/>
          <w:noProof/>
        </w:rPr>
        <w:t>Functioning of the Single Market</w:t>
      </w: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Some options will contribute to reducing the practice of unfair commercial practices and harmonise the rules across Member States (leading to legal certainty and lower barriers to cross-border trade), and consequently, contribute to the improved functioning of the internal market.</w:t>
      </w:r>
    </w:p>
    <w:p w:rsidR="00EA45F9" w:rsidRPr="009B5734" w:rsidRDefault="00EA45F9" w:rsidP="00EA45F9">
      <w:pPr>
        <w:ind w:left="0" w:firstLine="0"/>
        <w:rPr>
          <w:rFonts w:ascii="Times New Roman" w:hAnsi="Times New Roman"/>
          <w:noProof/>
          <w:sz w:val="24"/>
        </w:rPr>
      </w:pPr>
    </w:p>
    <w:p w:rsidR="00EA45F9" w:rsidRPr="009B5734" w:rsidRDefault="00EA45F9" w:rsidP="00EA45F9">
      <w:pPr>
        <w:ind w:left="0" w:firstLine="0"/>
        <w:rPr>
          <w:rFonts w:ascii="Times New Roman" w:hAnsi="Times New Roman"/>
          <w:noProof/>
          <w:sz w:val="24"/>
          <w:u w:val="single"/>
        </w:rPr>
      </w:pPr>
      <w:r w:rsidRPr="009B5734">
        <w:rPr>
          <w:rFonts w:ascii="Times New Roman" w:hAnsi="Times New Roman"/>
          <w:noProof/>
          <w:sz w:val="24"/>
          <w:u w:val="single"/>
        </w:rPr>
        <w:t>Level playing-field</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This impact assesses to what extent an option creates a more level playing field with regards to product lifespan, reparability and sustainability. This will be assessed qualitatively and quantitatively using a score from zero to ten.</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This impact is one of the components of the specific objective “Eliminate untrustworthy practices that run against sustainable economy and mislead consumers”.</w:t>
      </w:r>
    </w:p>
    <w:p w:rsidR="00EA45F9" w:rsidRPr="009B5734" w:rsidRDefault="00EA45F9" w:rsidP="00EA45F9">
      <w:pPr>
        <w:ind w:left="0" w:firstLine="0"/>
        <w:rPr>
          <w:rFonts w:ascii="Times New Roman" w:hAnsi="Times New Roman"/>
          <w:noProof/>
          <w:sz w:val="24"/>
        </w:rPr>
      </w:pPr>
    </w:p>
    <w:p w:rsidR="00EA45F9" w:rsidRPr="009B5734" w:rsidRDefault="00EA45F9" w:rsidP="00EA45F9">
      <w:pPr>
        <w:ind w:left="0" w:firstLine="0"/>
        <w:rPr>
          <w:rFonts w:ascii="Times New Roman" w:hAnsi="Times New Roman"/>
          <w:noProof/>
          <w:sz w:val="24"/>
          <w:u w:val="single"/>
        </w:rPr>
      </w:pPr>
      <w:r w:rsidRPr="009B5734">
        <w:rPr>
          <w:rFonts w:ascii="Times New Roman" w:hAnsi="Times New Roman"/>
          <w:noProof/>
          <w:sz w:val="24"/>
          <w:u w:val="single"/>
        </w:rPr>
        <w:t>Barriers to cross-border trade</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Lack of harmonised rules across the EU can lead to extra costs and difficulties for companies trading in other Member States, in particular, if those companies are SMEs. The options aim to harmonise rules in various areas and reduce legal uncertainty, possibly reduce duplication of costs and reduce barriers to cross-border trade. This is assessed qualitatively and quantitatively using a score from zero to ten.</w:t>
      </w:r>
    </w:p>
    <w:p w:rsidR="00EA45F9" w:rsidRPr="009B5734" w:rsidRDefault="00EA45F9" w:rsidP="00EA45F9">
      <w:pPr>
        <w:ind w:left="0" w:firstLine="0"/>
        <w:rPr>
          <w:rFonts w:ascii="Times New Roman" w:hAnsi="Times New Roman"/>
          <w:noProof/>
          <w:sz w:val="24"/>
        </w:rPr>
      </w:pPr>
    </w:p>
    <w:p w:rsidR="00EA45F9" w:rsidRPr="009B5734" w:rsidRDefault="00EA45F9" w:rsidP="00EA45F9">
      <w:pPr>
        <w:pStyle w:val="Heading4"/>
        <w:rPr>
          <w:b/>
          <w:noProof/>
        </w:rPr>
      </w:pPr>
      <w:r w:rsidRPr="009B5734">
        <w:rPr>
          <w:b/>
          <w:noProof/>
        </w:rPr>
        <w:t>Costs to companies and Impact on SMEs</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costs were calculated for SMEs and Large enterprises separately and also for manufacturers, service providers and retailers separately (in for some sub-problems per large product groups large household appliances, small household appliances, ICT and other electronic products, furniture, clothes). Within each category, we calculated the costs for an “average company” producing and/or selling an “average good or service”.</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cost estimations, while providing a sense of the magnitude of the benefits for consumers, have limitations:</w:t>
      </w:r>
    </w:p>
    <w:p w:rsidR="00EA45F9" w:rsidRPr="009B5734" w:rsidRDefault="00EA45F9" w:rsidP="00EA45F9">
      <w:pPr>
        <w:pStyle w:val="BTBullet1Last"/>
        <w:numPr>
          <w:ilvl w:val="0"/>
          <w:numId w:val="177"/>
        </w:numPr>
        <w:spacing w:before="120" w:line="240" w:lineRule="auto"/>
        <w:rPr>
          <w:rFonts w:ascii="Times New Roman" w:hAnsi="Times New Roman"/>
          <w:noProof/>
          <w:sz w:val="24"/>
        </w:rPr>
      </w:pPr>
      <w:r w:rsidRPr="009B5734">
        <w:rPr>
          <w:rFonts w:ascii="Times New Roman" w:hAnsi="Times New Roman"/>
          <w:noProof/>
          <w:sz w:val="24"/>
        </w:rPr>
        <w:t>Need to focus on a sub-set of product groups in the case of some measures and need to carry out the estimations at a very high level for other measures as a result of lack of data.</w:t>
      </w:r>
    </w:p>
    <w:p w:rsidR="00EA45F9" w:rsidRPr="009B5734" w:rsidRDefault="00EA45F9" w:rsidP="00EA45F9">
      <w:pPr>
        <w:pStyle w:val="BTBullet1Last"/>
        <w:numPr>
          <w:ilvl w:val="0"/>
          <w:numId w:val="177"/>
        </w:numPr>
        <w:spacing w:before="120" w:line="240" w:lineRule="auto"/>
        <w:rPr>
          <w:rFonts w:ascii="Times New Roman" w:hAnsi="Times New Roman"/>
          <w:noProof/>
          <w:sz w:val="24"/>
        </w:rPr>
      </w:pPr>
      <w:r w:rsidRPr="009B5734">
        <w:rPr>
          <w:rFonts w:ascii="Times New Roman" w:hAnsi="Times New Roman"/>
          <w:noProof/>
          <w:sz w:val="24"/>
        </w:rPr>
        <w:t>Costs are estimated for an average company per category. Companies are very different from each other and this assumption is, therefore, a simplification of the complex landscape of businesses across the EU.</w:t>
      </w:r>
    </w:p>
    <w:p w:rsidR="00EA45F9" w:rsidRPr="009B5734" w:rsidRDefault="00EA45F9" w:rsidP="00EA45F9">
      <w:pPr>
        <w:pStyle w:val="BTBullet1Last"/>
        <w:numPr>
          <w:ilvl w:val="0"/>
          <w:numId w:val="177"/>
        </w:numPr>
        <w:spacing w:before="120" w:line="240" w:lineRule="auto"/>
        <w:rPr>
          <w:rFonts w:ascii="Times New Roman" w:hAnsi="Times New Roman"/>
          <w:noProof/>
          <w:sz w:val="24"/>
        </w:rPr>
      </w:pPr>
      <w:r w:rsidRPr="009B5734">
        <w:rPr>
          <w:rFonts w:ascii="Times New Roman" w:hAnsi="Times New Roman"/>
          <w:noProof/>
          <w:sz w:val="24"/>
        </w:rPr>
        <w:t xml:space="preserve">Costs are estimated for an average good or products. While such assumption was required to carry out the assessment of the initiative given its horizontal approach, it can affect the assessment. Differences in the characteristics of goods and services can affect the unit costs. For example, the incorporated technologies and the number of components in the product can influence the costs of lifespan tests or the time required to develop a repair manual. Another example is the fact that the complexity of the supply chain might have an impact on the cost of a PEF study. While the stakeholder consultations have not identified product categories / sectors suffering disproportionate impacts, based on literature review the study team expects that for sectors related to product categories for which products are significantly different from each other and are constantly changing due often to fashion (e.g., clothes, decoration objects and to a lesser extent furniture) all measures might have a more disproportionate impact. Products with complex supply chains will also suffer disproportionate effects of measures related to the assessment of their sustainability performance. </w:t>
      </w:r>
    </w:p>
    <w:p w:rsidR="00EA45F9" w:rsidRPr="009B5734" w:rsidRDefault="00EA45F9" w:rsidP="00EA45F9">
      <w:pPr>
        <w:pStyle w:val="BTBullet1Last"/>
        <w:numPr>
          <w:ilvl w:val="0"/>
          <w:numId w:val="177"/>
        </w:numPr>
        <w:spacing w:before="120" w:line="240" w:lineRule="auto"/>
        <w:rPr>
          <w:rFonts w:ascii="Times New Roman" w:hAnsi="Times New Roman"/>
          <w:noProof/>
          <w:sz w:val="24"/>
        </w:rPr>
      </w:pPr>
      <w:r w:rsidRPr="009B5734">
        <w:rPr>
          <w:rFonts w:ascii="Times New Roman" w:hAnsi="Times New Roman"/>
          <w:noProof/>
          <w:sz w:val="24"/>
        </w:rPr>
        <w:t>Lack of data on the effective direct costs for companies as during the consultations, companies declined to provide an estimation to those costs and the desk research did not provide all the required data. In the study, we have interviewed a few companies</w:t>
      </w:r>
      <w:r w:rsidRPr="009B5734">
        <w:rPr>
          <w:rStyle w:val="FootnoteReference"/>
          <w:rFonts w:ascii="Times New Roman" w:hAnsi="Times New Roman"/>
          <w:noProof/>
          <w:sz w:val="24"/>
        </w:rPr>
        <w:footnoteReference w:id="147"/>
      </w:r>
      <w:r w:rsidRPr="009B5734">
        <w:rPr>
          <w:rFonts w:ascii="Times New Roman" w:hAnsi="Times New Roman"/>
          <w:noProof/>
          <w:sz w:val="24"/>
        </w:rPr>
        <w:t xml:space="preserve"> that provided some pointers regarding the incremental number of hours most measures would require for each of the aforementioned cost items. Based on expert judgment (in the context of the study this means the core study team plus three external experts) we used these pointers to set the costs.</w:t>
      </w:r>
    </w:p>
    <w:p w:rsidR="00EA45F9" w:rsidRPr="009B5734" w:rsidRDefault="00EA45F9" w:rsidP="00EA45F9">
      <w:pPr>
        <w:pStyle w:val="ListParagraph"/>
        <w:numPr>
          <w:ilvl w:val="0"/>
          <w:numId w:val="177"/>
        </w:numPr>
        <w:rPr>
          <w:rFonts w:ascii="Times New Roman" w:hAnsi="Times New Roman"/>
          <w:noProof/>
          <w:color w:val="auto"/>
          <w:sz w:val="24"/>
        </w:rPr>
      </w:pPr>
      <w:r w:rsidRPr="009B5734">
        <w:rPr>
          <w:rFonts w:ascii="Times New Roman" w:hAnsi="Times New Roman"/>
          <w:noProof/>
          <w:color w:val="auto"/>
          <w:sz w:val="24"/>
        </w:rPr>
        <w:t xml:space="preserve">These limitations were mitigated to an extent in the cost assessment by assuming that some assumptions of the quantitative analysis follow a uniform distribution with a minimum and a maximum value. </w:t>
      </w:r>
    </w:p>
    <w:p w:rsidR="00EA45F9" w:rsidRPr="009B5734" w:rsidRDefault="00EA45F9" w:rsidP="00EA45F9">
      <w:pPr>
        <w:ind w:left="0" w:firstLine="0"/>
        <w:rPr>
          <w:rFonts w:ascii="Times New Roman" w:hAnsi="Times New Roman"/>
          <w:noProof/>
          <w:sz w:val="24"/>
        </w:rPr>
      </w:pPr>
    </w:p>
    <w:p w:rsidR="00EA45F9" w:rsidRPr="009B5734" w:rsidRDefault="00EA45F9" w:rsidP="00EA45F9">
      <w:pPr>
        <w:ind w:left="0" w:firstLine="0"/>
        <w:rPr>
          <w:rFonts w:ascii="Times New Roman" w:hAnsi="Times New Roman"/>
          <w:noProof/>
          <w:sz w:val="24"/>
        </w:rPr>
      </w:pPr>
    </w:p>
    <w:p w:rsidR="00EA45F9" w:rsidRPr="009B5734" w:rsidRDefault="00EA45F9" w:rsidP="00EA45F9">
      <w:pPr>
        <w:ind w:left="0" w:firstLine="0"/>
        <w:rPr>
          <w:rFonts w:ascii="Times New Roman" w:hAnsi="Times New Roman"/>
          <w:noProof/>
          <w:sz w:val="24"/>
          <w:u w:val="single"/>
        </w:rPr>
      </w:pPr>
      <w:r w:rsidRPr="009B5734">
        <w:rPr>
          <w:rFonts w:ascii="Times New Roman" w:hAnsi="Times New Roman"/>
          <w:noProof/>
          <w:sz w:val="24"/>
          <w:u w:val="single"/>
        </w:rPr>
        <w:t>Administrative burden</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Options will impose information obligations to business (some to manufacturers, others to traders). These information obligations may lead to increased costs to businesses related to:</w:t>
      </w:r>
    </w:p>
    <w:p w:rsidR="00EA45F9" w:rsidRPr="009B5734" w:rsidRDefault="00EA45F9" w:rsidP="00EA45F9">
      <w:pPr>
        <w:pStyle w:val="ListParagraph"/>
        <w:numPr>
          <w:ilvl w:val="0"/>
          <w:numId w:val="57"/>
        </w:numPr>
        <w:rPr>
          <w:rFonts w:ascii="Times New Roman" w:hAnsi="Times New Roman"/>
          <w:noProof/>
          <w:sz w:val="24"/>
        </w:rPr>
      </w:pPr>
      <w:r w:rsidRPr="009B5734">
        <w:rPr>
          <w:rFonts w:ascii="Times New Roman" w:hAnsi="Times New Roman"/>
          <w:noProof/>
          <w:color w:val="auto"/>
          <w:sz w:val="24"/>
        </w:rPr>
        <w:t>Familiarising with the information obligation</w:t>
      </w:r>
    </w:p>
    <w:p w:rsidR="00EA45F9" w:rsidRPr="009B5734" w:rsidRDefault="00EA45F9" w:rsidP="00EA45F9">
      <w:pPr>
        <w:pStyle w:val="ListParagraph"/>
        <w:numPr>
          <w:ilvl w:val="0"/>
          <w:numId w:val="57"/>
        </w:numPr>
        <w:rPr>
          <w:rFonts w:ascii="Times New Roman" w:hAnsi="Times New Roman"/>
          <w:noProof/>
          <w:sz w:val="24"/>
        </w:rPr>
      </w:pPr>
      <w:r w:rsidRPr="009B5734">
        <w:rPr>
          <w:rFonts w:ascii="Times New Roman" w:hAnsi="Times New Roman"/>
          <w:noProof/>
          <w:color w:val="auto"/>
          <w:sz w:val="24"/>
        </w:rPr>
        <w:t>Training members and employees about the information obligations</w:t>
      </w:r>
    </w:p>
    <w:p w:rsidR="00EA45F9" w:rsidRPr="009B5734" w:rsidRDefault="00EA45F9" w:rsidP="00EA45F9">
      <w:pPr>
        <w:pStyle w:val="ListParagraph"/>
        <w:numPr>
          <w:ilvl w:val="0"/>
          <w:numId w:val="57"/>
        </w:numPr>
        <w:rPr>
          <w:rFonts w:ascii="Times New Roman" w:hAnsi="Times New Roman"/>
          <w:noProof/>
          <w:sz w:val="24"/>
        </w:rPr>
      </w:pPr>
      <w:r w:rsidRPr="009B5734">
        <w:rPr>
          <w:rFonts w:ascii="Times New Roman" w:hAnsi="Times New Roman"/>
          <w:noProof/>
          <w:color w:val="auto"/>
          <w:sz w:val="24"/>
        </w:rPr>
        <w:t>Retrieving relevant information from existing data and adjusting existing data</w:t>
      </w:r>
    </w:p>
    <w:p w:rsidR="00EA45F9" w:rsidRPr="009B5734" w:rsidRDefault="00EA45F9" w:rsidP="00EA45F9">
      <w:pPr>
        <w:pStyle w:val="ListParagraph"/>
        <w:numPr>
          <w:ilvl w:val="0"/>
          <w:numId w:val="57"/>
        </w:numPr>
        <w:rPr>
          <w:rFonts w:ascii="Times New Roman" w:hAnsi="Times New Roman"/>
          <w:noProof/>
          <w:sz w:val="24"/>
        </w:rPr>
      </w:pPr>
      <w:r w:rsidRPr="009B5734">
        <w:rPr>
          <w:rFonts w:ascii="Times New Roman" w:hAnsi="Times New Roman"/>
          <w:noProof/>
          <w:color w:val="auto"/>
          <w:sz w:val="24"/>
        </w:rPr>
        <w:t>Producing new data</w:t>
      </w:r>
    </w:p>
    <w:p w:rsidR="00EA45F9" w:rsidRPr="009B5734" w:rsidRDefault="00EA45F9" w:rsidP="00EA45F9">
      <w:pPr>
        <w:pStyle w:val="ListParagraph"/>
        <w:numPr>
          <w:ilvl w:val="0"/>
          <w:numId w:val="57"/>
        </w:numPr>
        <w:rPr>
          <w:rFonts w:ascii="Times New Roman" w:hAnsi="Times New Roman"/>
          <w:noProof/>
          <w:sz w:val="24"/>
        </w:rPr>
      </w:pPr>
      <w:r w:rsidRPr="009B5734">
        <w:rPr>
          <w:rFonts w:ascii="Times New Roman" w:hAnsi="Times New Roman"/>
          <w:noProof/>
          <w:color w:val="auto"/>
          <w:sz w:val="24"/>
        </w:rPr>
        <w:t>Designing information material (e.g. leaflet conception) and Copying (reproducing reports, producing labels or leaflets)</w:t>
      </w:r>
    </w:p>
    <w:p w:rsidR="00EA45F9" w:rsidRPr="009B5734" w:rsidRDefault="00EA45F9" w:rsidP="00EA45F9">
      <w:pPr>
        <w:pStyle w:val="ListParagraph"/>
        <w:numPr>
          <w:ilvl w:val="0"/>
          <w:numId w:val="57"/>
        </w:numPr>
        <w:rPr>
          <w:rFonts w:ascii="Times New Roman" w:hAnsi="Times New Roman"/>
          <w:noProof/>
          <w:sz w:val="24"/>
        </w:rPr>
      </w:pPr>
      <w:r w:rsidRPr="009B5734">
        <w:rPr>
          <w:rFonts w:ascii="Times New Roman" w:hAnsi="Times New Roman"/>
          <w:noProof/>
          <w:color w:val="auto"/>
          <w:sz w:val="24"/>
        </w:rPr>
        <w:t>Filling forms and tables (including recordkeeping) and submitting the information to the relevant authority (e.g. sending it to the relevant authority)</w:t>
      </w:r>
    </w:p>
    <w:p w:rsidR="00EA45F9" w:rsidRPr="009B5734" w:rsidRDefault="00EA45F9" w:rsidP="00EA45F9">
      <w:pPr>
        <w:pStyle w:val="ListParagraph"/>
        <w:numPr>
          <w:ilvl w:val="0"/>
          <w:numId w:val="57"/>
        </w:numPr>
        <w:rPr>
          <w:rFonts w:ascii="Times New Roman" w:hAnsi="Times New Roman"/>
          <w:noProof/>
          <w:sz w:val="24"/>
        </w:rPr>
      </w:pPr>
      <w:r w:rsidRPr="009B5734">
        <w:rPr>
          <w:rFonts w:ascii="Times New Roman" w:hAnsi="Times New Roman"/>
          <w:noProof/>
          <w:color w:val="auto"/>
          <w:sz w:val="24"/>
        </w:rPr>
        <w:t xml:space="preserve">Inspecting and checking (including assistance to inspection by public authorities) and holding meetings (internal/external with an auditor, lawyer etc.) </w:t>
      </w:r>
    </w:p>
    <w:p w:rsidR="00EA45F9" w:rsidRPr="009B5734" w:rsidRDefault="00EA45F9" w:rsidP="00EA45F9">
      <w:pPr>
        <w:pStyle w:val="ListParagraph"/>
        <w:numPr>
          <w:ilvl w:val="0"/>
          <w:numId w:val="57"/>
        </w:numPr>
        <w:rPr>
          <w:rFonts w:ascii="Times New Roman" w:hAnsi="Times New Roman"/>
          <w:noProof/>
          <w:sz w:val="24"/>
        </w:rPr>
      </w:pPr>
      <w:r w:rsidRPr="009B5734">
        <w:rPr>
          <w:rFonts w:ascii="Times New Roman" w:hAnsi="Times New Roman"/>
          <w:noProof/>
          <w:color w:val="auto"/>
          <w:sz w:val="24"/>
        </w:rPr>
        <w:t>Buying (IT) equipment &amp; supplies (e.g. labelling machines) to specifically used to fulfil information obligations</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The extent of the impact depends on which activities would be done even in the absence of the option, i.e., at the baseline. These costs are assessed following the EU Standard Cost Model as described in Tool #60.</w:t>
      </w:r>
    </w:p>
    <w:p w:rsidR="00EA45F9" w:rsidRPr="009B5734" w:rsidRDefault="00EA45F9" w:rsidP="00EA45F9">
      <w:pPr>
        <w:ind w:left="0" w:firstLine="0"/>
        <w:rPr>
          <w:rFonts w:ascii="Times New Roman" w:hAnsi="Times New Roman"/>
          <w:noProof/>
          <w:sz w:val="24"/>
        </w:rPr>
      </w:pPr>
    </w:p>
    <w:p w:rsidR="00EA45F9" w:rsidRPr="009B5734" w:rsidRDefault="00EA45F9" w:rsidP="00EA45F9">
      <w:pPr>
        <w:ind w:left="0" w:firstLine="0"/>
        <w:rPr>
          <w:rFonts w:ascii="Times New Roman" w:hAnsi="Times New Roman"/>
          <w:noProof/>
          <w:sz w:val="24"/>
          <w:u w:val="single"/>
        </w:rPr>
      </w:pPr>
      <w:r w:rsidRPr="009B5734">
        <w:rPr>
          <w:rFonts w:ascii="Times New Roman" w:hAnsi="Times New Roman"/>
          <w:noProof/>
          <w:sz w:val="24"/>
          <w:u w:val="single"/>
        </w:rPr>
        <w:t>Substantive compliance costs</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These are the incremental (i.e. non-business as usual) costs (other than fees and administrative burden) to manufacturers in order to comply with the option related to banning practices of premature obsolescence and to label, logo and certification manager in order to comply with the option on minimum criteria for labels and logos. These include implementation costs, direct labour costs, equipment costs, material costs and cost of external services.</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The monetisation of the costs of producing products that do not fail earlier than reasonably expected is extremely challenging as it depends on the products and on reasons causing early failure and due to lack of data on unit costs. This was done by screening the prices of various product types on online marketplaces, identifying the price of the cheapest product, and then assume that it will cost between 7.5% to 15% extra to comply with the measure and improve the product accordingly.</w:t>
      </w:r>
      <w:r w:rsidRPr="009B5734">
        <w:rPr>
          <w:rStyle w:val="FootnoteReference"/>
          <w:rFonts w:ascii="Times New Roman" w:hAnsi="Times New Roman"/>
          <w:noProof/>
          <w:sz w:val="24"/>
        </w:rPr>
        <w:footnoteReference w:id="148"/>
      </w:r>
      <w:r w:rsidRPr="009B5734">
        <w:rPr>
          <w:rFonts w:ascii="Times New Roman" w:hAnsi="Times New Roman"/>
          <w:noProof/>
          <w:sz w:val="24"/>
        </w:rPr>
        <w:t xml:space="preserve"> This is a significant limitation of the quantification of substantive costs.</w:t>
      </w:r>
    </w:p>
    <w:p w:rsidR="00EA45F9" w:rsidRPr="009B5734" w:rsidRDefault="00EA45F9" w:rsidP="00EA45F9">
      <w:pPr>
        <w:ind w:left="0" w:firstLine="0"/>
        <w:rPr>
          <w:rFonts w:ascii="Times New Roman" w:hAnsi="Times New Roman"/>
          <w:noProof/>
          <w:sz w:val="24"/>
        </w:rPr>
      </w:pPr>
    </w:p>
    <w:p w:rsidR="00EA45F9" w:rsidRPr="009B5734" w:rsidRDefault="00EA45F9" w:rsidP="00EA45F9">
      <w:pPr>
        <w:ind w:left="0" w:firstLine="0"/>
        <w:rPr>
          <w:rFonts w:ascii="Times New Roman" w:hAnsi="Times New Roman"/>
          <w:noProof/>
          <w:sz w:val="24"/>
          <w:u w:val="single"/>
        </w:rPr>
      </w:pPr>
      <w:r w:rsidRPr="009B5734">
        <w:rPr>
          <w:rFonts w:ascii="Times New Roman" w:hAnsi="Times New Roman"/>
          <w:noProof/>
          <w:sz w:val="24"/>
          <w:u w:val="single"/>
        </w:rPr>
        <w:t>Indirect costs</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 xml:space="preserve">The market dynamic may also lead to companies to adapt their products/commitments in other to remain competitive. These adjustments will often have an impact on the operating costs to those companies (which are indirect costs of the option). These costs will be assessed qualitatively and quantitatively using a score from zero to ten. </w:t>
      </w:r>
    </w:p>
    <w:p w:rsidR="00EA45F9" w:rsidRPr="009B5734" w:rsidRDefault="00EA45F9" w:rsidP="00EA45F9">
      <w:pPr>
        <w:ind w:left="0" w:firstLine="0"/>
        <w:rPr>
          <w:rFonts w:ascii="Times New Roman" w:hAnsi="Times New Roman"/>
          <w:noProof/>
          <w:sz w:val="24"/>
        </w:rPr>
      </w:pPr>
    </w:p>
    <w:p w:rsidR="00EA45F9" w:rsidRPr="009B5734" w:rsidRDefault="00EA45F9" w:rsidP="00EA45F9">
      <w:pPr>
        <w:ind w:left="0" w:firstLine="0"/>
        <w:rPr>
          <w:rFonts w:ascii="Times New Roman" w:hAnsi="Times New Roman"/>
          <w:noProof/>
          <w:sz w:val="24"/>
          <w:u w:val="single"/>
        </w:rPr>
      </w:pPr>
      <w:r w:rsidRPr="009B5734">
        <w:rPr>
          <w:rFonts w:ascii="Times New Roman" w:hAnsi="Times New Roman"/>
          <w:noProof/>
          <w:sz w:val="24"/>
          <w:u w:val="single"/>
        </w:rPr>
        <w:t>SME growth</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 xml:space="preserve">The aforementioned costs might hinder the growth of SMEs and may render some not viable any longer. The unbalance between the relative impact of the options on SMEs and on larger enterprises is particularly higher for those options that impose costs per product model since, in general, the sales volume per model is generally lower for SMEs than it is for larger enterprises. These costs are assessed qualitatively and quantitatively using a score from zero to ten.   </w:t>
      </w:r>
    </w:p>
    <w:p w:rsidR="00EA45F9" w:rsidRPr="009B5734" w:rsidRDefault="00EA45F9" w:rsidP="00EA45F9">
      <w:pPr>
        <w:ind w:left="0" w:firstLine="0"/>
        <w:rPr>
          <w:rFonts w:ascii="Times New Roman" w:hAnsi="Times New Roman"/>
          <w:noProof/>
          <w:sz w:val="24"/>
        </w:rPr>
      </w:pPr>
    </w:p>
    <w:p w:rsidR="00EA45F9" w:rsidRPr="009B5734" w:rsidRDefault="00EA45F9" w:rsidP="00EA45F9">
      <w:pPr>
        <w:pStyle w:val="Heading4"/>
        <w:rPr>
          <w:b/>
          <w:noProof/>
        </w:rPr>
      </w:pPr>
      <w:r w:rsidRPr="009B5734">
        <w:rPr>
          <w:b/>
          <w:noProof/>
        </w:rPr>
        <w:t>Costs for public authorities</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All instrument will impose enforcement costs. Enforcement costs include the cost of monitoring and enforcing compliance with new requirements as well as adjudication/litigation costs. The latter refers to the costs of using the legal system, or an alternative dispute resolution mechanism, to solve disagreements or disputes generated by the new requirements.</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This impact is assessed qualitatively and quantitatively. The estimations have limitations due to the lack of specific data on the additional resources that the option will require. The gaps were addressed by using data from similar studies and relying on data provided by some CPC authorities.</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The approach to the quantification and monetisation of these costs is in line with the EU Standard Cost Model as described in Tool #60 and will cover:</w:t>
      </w:r>
    </w:p>
    <w:p w:rsidR="00EA45F9" w:rsidRPr="009B5734" w:rsidRDefault="00EA45F9" w:rsidP="00EA45F9">
      <w:pPr>
        <w:pStyle w:val="ListParagraph"/>
        <w:numPr>
          <w:ilvl w:val="0"/>
          <w:numId w:val="57"/>
        </w:numPr>
        <w:rPr>
          <w:rFonts w:ascii="Times New Roman" w:hAnsi="Times New Roman"/>
          <w:noProof/>
          <w:sz w:val="24"/>
        </w:rPr>
      </w:pPr>
      <w:r w:rsidRPr="009B5734">
        <w:rPr>
          <w:rFonts w:ascii="Times New Roman" w:hAnsi="Times New Roman"/>
          <w:noProof/>
          <w:color w:val="auto"/>
          <w:sz w:val="24"/>
        </w:rPr>
        <w:t xml:space="preserve">Familiarisation with the new option and training of staff; </w:t>
      </w:r>
    </w:p>
    <w:p w:rsidR="00EA45F9" w:rsidRPr="009B5734" w:rsidRDefault="00EA45F9" w:rsidP="00EA45F9">
      <w:pPr>
        <w:pStyle w:val="ListParagraph"/>
        <w:numPr>
          <w:ilvl w:val="0"/>
          <w:numId w:val="57"/>
        </w:numPr>
        <w:rPr>
          <w:rFonts w:ascii="Times New Roman" w:hAnsi="Times New Roman"/>
          <w:noProof/>
          <w:sz w:val="24"/>
        </w:rPr>
      </w:pPr>
      <w:r w:rsidRPr="009B5734">
        <w:rPr>
          <w:rFonts w:ascii="Times New Roman" w:hAnsi="Times New Roman"/>
          <w:noProof/>
          <w:color w:val="auto"/>
          <w:sz w:val="24"/>
        </w:rPr>
        <w:t>Monitoring costs: these are equal to the estimated costs with human resources needed to monitor the new instrument (which are equal to (a) the estimated additional time (days or hours) devoted to monitoring compliance with the new instrument on an annual basis time (b) the forecasted average salary of staff involved in monitoring compliance) plus any other incremental expense that may be incurred in monitoring compliance, e.g. mystery shopping exercises, sweeps, etc.</w:t>
      </w:r>
    </w:p>
    <w:p w:rsidR="00EA45F9" w:rsidRPr="009B5734" w:rsidRDefault="00EA45F9" w:rsidP="00EA45F9">
      <w:pPr>
        <w:pStyle w:val="ListParagraph"/>
        <w:numPr>
          <w:ilvl w:val="0"/>
          <w:numId w:val="57"/>
        </w:numPr>
        <w:rPr>
          <w:rFonts w:ascii="Times New Roman" w:hAnsi="Times New Roman"/>
          <w:noProof/>
          <w:sz w:val="24"/>
        </w:rPr>
      </w:pPr>
      <w:r w:rsidRPr="009B5734">
        <w:rPr>
          <w:rFonts w:ascii="Times New Roman" w:hAnsi="Times New Roman"/>
          <w:noProof/>
          <w:color w:val="auto"/>
          <w:sz w:val="24"/>
        </w:rPr>
        <w:t>Enforcement costs: these are equal to the estimated costs with human resources needed to enforce the new instrument (which are equal to (a) the estimated additional time (days or hours) devoted to enforcement activities related to the new instrument on an annual basis time (b) the forecasted average salary of staff involved in enforcement activities) plus any other incremental expense that may be incurred in monitoring compliance minus the incremental volume of fines collected if policy intervention is implemented.</w:t>
      </w:r>
    </w:p>
    <w:p w:rsidR="00EA45F9" w:rsidRPr="009B5734" w:rsidRDefault="00EA45F9" w:rsidP="00EA45F9">
      <w:pPr>
        <w:pStyle w:val="ListParagraph"/>
        <w:numPr>
          <w:ilvl w:val="0"/>
          <w:numId w:val="57"/>
        </w:numPr>
        <w:rPr>
          <w:rFonts w:ascii="Times New Roman" w:hAnsi="Times New Roman"/>
          <w:noProof/>
          <w:sz w:val="24"/>
        </w:rPr>
      </w:pPr>
      <w:r w:rsidRPr="009B5734">
        <w:rPr>
          <w:rFonts w:ascii="Times New Roman" w:hAnsi="Times New Roman"/>
          <w:noProof/>
          <w:color w:val="auto"/>
          <w:sz w:val="24"/>
        </w:rPr>
        <w:t>Complaint, adjudication and case handling costs: these are equal to the estimated costs with human resources needed to handle complaints and cases by ADR bodies and by courts.</w:t>
      </w:r>
    </w:p>
    <w:p w:rsidR="00EA45F9" w:rsidRPr="009B5734" w:rsidRDefault="00EA45F9" w:rsidP="00EA45F9">
      <w:pPr>
        <w:pStyle w:val="ListParagraph"/>
        <w:ind w:left="720" w:firstLine="0"/>
        <w:rPr>
          <w:rFonts w:ascii="Times New Roman" w:hAnsi="Times New Roman"/>
          <w:noProof/>
          <w:sz w:val="24"/>
        </w:rPr>
      </w:pPr>
    </w:p>
    <w:p w:rsidR="00EA45F9" w:rsidRPr="009B5734" w:rsidRDefault="00EA45F9" w:rsidP="00EA45F9">
      <w:pPr>
        <w:pStyle w:val="Heading4"/>
        <w:rPr>
          <w:b/>
          <w:noProof/>
        </w:rPr>
      </w:pPr>
      <w:r w:rsidRPr="009B5734">
        <w:rPr>
          <w:b/>
          <w:noProof/>
        </w:rPr>
        <w:t>Environmental impacts</w:t>
      </w:r>
    </w:p>
    <w:p w:rsidR="00EA45F9" w:rsidRPr="009B5734" w:rsidRDefault="00EA45F9" w:rsidP="00EA45F9">
      <w:pPr>
        <w:ind w:left="0" w:firstLine="0"/>
        <w:rPr>
          <w:rFonts w:ascii="Times New Roman" w:hAnsi="Times New Roman"/>
          <w:noProof/>
          <w:sz w:val="24"/>
          <w:u w:val="single"/>
        </w:rPr>
      </w:pPr>
      <w:r w:rsidRPr="009B5734">
        <w:rPr>
          <w:rFonts w:ascii="Times New Roman" w:hAnsi="Times New Roman"/>
          <w:noProof/>
          <w:sz w:val="24"/>
          <w:u w:val="single"/>
        </w:rPr>
        <w:t>Climate change</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All options are expected to lead to a reduction of the CO2 equivalent emissions of consumption either by reducing the replacement rate of goods or by increasing the market share of “truly” sustainable products.</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This impact is assessed qualitatively and quantitatively. The estimations have significant shortcomings due to limited data on the current CO2 equivalent emissions of all products (and per product type) and difficulties in assessing the variation in the average sustainability of the products purchased and the average lifespan and reparability of the goods purchased as a result of a certain instrument.</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 xml:space="preserve">The approach to the quantification of impacts is done by estimating the “avoided CO2e emission” as a result of new consumption patterns elicited by a given option and the shadow carbon price. </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Given the data limitations, these calculations were not possible for sub-problems 2.2 and 2.3.</w:t>
      </w:r>
    </w:p>
    <w:p w:rsidR="00EA45F9" w:rsidRPr="009B5734" w:rsidRDefault="00EA45F9" w:rsidP="00EA45F9">
      <w:pPr>
        <w:ind w:left="0" w:firstLine="0"/>
        <w:rPr>
          <w:rFonts w:ascii="Times New Roman" w:hAnsi="Times New Roman"/>
          <w:noProof/>
          <w:sz w:val="24"/>
        </w:rPr>
      </w:pPr>
    </w:p>
    <w:p w:rsidR="00EA45F9" w:rsidRPr="009B5734" w:rsidRDefault="00EA45F9" w:rsidP="00EA45F9">
      <w:pPr>
        <w:ind w:left="0" w:firstLine="0"/>
        <w:rPr>
          <w:rFonts w:ascii="Times New Roman" w:hAnsi="Times New Roman"/>
          <w:noProof/>
          <w:sz w:val="24"/>
          <w:u w:val="single"/>
        </w:rPr>
      </w:pPr>
      <w:r w:rsidRPr="009B5734">
        <w:rPr>
          <w:rFonts w:ascii="Times New Roman" w:hAnsi="Times New Roman"/>
          <w:noProof/>
          <w:sz w:val="24"/>
          <w:u w:val="single"/>
        </w:rPr>
        <w:t>Other Environmental Impacts</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The impact of the measures on electrical and electronic equipment waste and on preventing premature deaths will be also be monetised. As above, the estimation have limitations and were not performed for measures related to sub-problems 2.2 and 2.3. Other impacts as will be assessed qualitatively and quantitatively (in a score from 0 to 10) but not monetised. As above, the estimation have limitations.</w:t>
      </w:r>
    </w:p>
    <w:p w:rsidR="00EA45F9" w:rsidRPr="009B5734" w:rsidRDefault="00EA45F9" w:rsidP="00EA45F9">
      <w:pPr>
        <w:ind w:left="0" w:firstLine="0"/>
        <w:rPr>
          <w:rFonts w:ascii="Times New Roman" w:hAnsi="Times New Roman"/>
          <w:noProof/>
          <w:sz w:val="24"/>
        </w:rPr>
      </w:pPr>
    </w:p>
    <w:p w:rsidR="00EA45F9" w:rsidRPr="009B5734" w:rsidRDefault="00EA45F9" w:rsidP="00EA45F9">
      <w:pPr>
        <w:pStyle w:val="Heading4"/>
        <w:rPr>
          <w:b/>
          <w:noProof/>
        </w:rPr>
      </w:pPr>
      <w:r w:rsidRPr="009B5734">
        <w:rPr>
          <w:b/>
          <w:noProof/>
        </w:rPr>
        <w:t>Overarching impacts</w:t>
      </w:r>
    </w:p>
    <w:p w:rsidR="00EA45F9" w:rsidRPr="009B5734" w:rsidRDefault="00EA45F9" w:rsidP="00EA45F9">
      <w:pPr>
        <w:ind w:left="0" w:firstLine="0"/>
        <w:rPr>
          <w:rFonts w:ascii="Times New Roman" w:hAnsi="Times New Roman"/>
          <w:noProof/>
          <w:sz w:val="24"/>
          <w:u w:val="single"/>
        </w:rPr>
      </w:pPr>
      <w:r w:rsidRPr="009B5734">
        <w:rPr>
          <w:rFonts w:ascii="Times New Roman" w:hAnsi="Times New Roman"/>
          <w:noProof/>
          <w:sz w:val="24"/>
          <w:u w:val="single"/>
        </w:rPr>
        <w:t>Circularity and sustainable consumption</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 xml:space="preserve">This impact will assess to what extent an option will contribute to a more circular economy and more sustainable economy (considering the three pillars economic, environmental and social). This impact is assessed qualitatively and quantitatively using a score from zero to ten.   </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This impact is one of the components of the specific objectives “Enable informed purchasing decisions by consumers to foster sustainable consumption” and “Eliminate untrustworthy practices that run against sustainable economy and mislead consumers”.</w:t>
      </w:r>
    </w:p>
    <w:p w:rsidR="00EA45F9" w:rsidRPr="009B5734" w:rsidRDefault="00EA45F9" w:rsidP="00EA45F9">
      <w:pPr>
        <w:ind w:left="0" w:firstLine="0"/>
        <w:rPr>
          <w:rFonts w:ascii="Times New Roman" w:hAnsi="Times New Roman"/>
          <w:noProof/>
          <w:sz w:val="24"/>
        </w:rPr>
      </w:pPr>
    </w:p>
    <w:p w:rsidR="00EA45F9" w:rsidRPr="009B5734" w:rsidRDefault="00EA45F9" w:rsidP="00EA45F9">
      <w:pPr>
        <w:ind w:left="0" w:firstLine="0"/>
        <w:rPr>
          <w:rFonts w:ascii="Times New Roman" w:hAnsi="Times New Roman"/>
          <w:noProof/>
          <w:sz w:val="24"/>
          <w:u w:val="single"/>
        </w:rPr>
      </w:pPr>
      <w:r w:rsidRPr="009B5734">
        <w:rPr>
          <w:rFonts w:ascii="Times New Roman" w:hAnsi="Times New Roman"/>
          <w:noProof/>
          <w:sz w:val="24"/>
          <w:u w:val="single"/>
        </w:rPr>
        <w:t>Application of the EU legal consumer framework</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The options will contribute to improving the application and enforcement of the EU legal consumer framework. This is assessed qualitatively and quantitatively using a score from zero to ten.</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This impact corresponds to one of the three specific objectives of the initiative.</w:t>
      </w:r>
    </w:p>
    <w:p w:rsidR="00EA45F9" w:rsidRPr="009B5734" w:rsidRDefault="00EA45F9" w:rsidP="00EA45F9">
      <w:pPr>
        <w:ind w:left="0" w:firstLine="0"/>
        <w:rPr>
          <w:noProof/>
        </w:rPr>
      </w:pPr>
    </w:p>
    <w:p w:rsidR="00EA45F9" w:rsidRPr="009B5734" w:rsidRDefault="00EA45F9" w:rsidP="00EA45F9">
      <w:pPr>
        <w:pStyle w:val="Text1"/>
        <w:rPr>
          <w:noProof/>
        </w:rPr>
      </w:pPr>
    </w:p>
    <w:p w:rsidR="00EA45F9" w:rsidRPr="009B5734" w:rsidRDefault="00A00208" w:rsidP="00A00208">
      <w:pPr>
        <w:pStyle w:val="Heading2"/>
        <w:rPr>
          <w:noProof/>
        </w:rPr>
      </w:pPr>
      <w:bookmarkStart w:id="580" w:name="_Ref59473849"/>
      <w:bookmarkStart w:id="581" w:name="_Toc59188175"/>
      <w:bookmarkStart w:id="582" w:name="_Toc60734096"/>
      <w:bookmarkStart w:id="583" w:name="_Toc75440990"/>
      <w:bookmarkStart w:id="584" w:name="_Toc75446989"/>
      <w:bookmarkStart w:id="585" w:name="_Toc75448862"/>
      <w:bookmarkStart w:id="586" w:name="_Toc77844260"/>
      <w:bookmarkStart w:id="587" w:name="_Toc86391763"/>
      <w:r w:rsidRPr="00A00208">
        <w:t>4.</w:t>
      </w:r>
      <w:r w:rsidRPr="00A00208">
        <w:tab/>
      </w:r>
      <w:r w:rsidR="00EA45F9" w:rsidRPr="009B5734">
        <w:rPr>
          <w:noProof/>
        </w:rPr>
        <w:t>Approach to monetisation of costs and benefits</w:t>
      </w:r>
      <w:bookmarkEnd w:id="580"/>
      <w:bookmarkEnd w:id="581"/>
      <w:bookmarkEnd w:id="582"/>
      <w:bookmarkEnd w:id="583"/>
      <w:bookmarkEnd w:id="584"/>
      <w:bookmarkEnd w:id="585"/>
      <w:bookmarkEnd w:id="586"/>
      <w:bookmarkEnd w:id="587"/>
    </w:p>
    <w:p w:rsidR="00EA45F9" w:rsidRPr="009B5734" w:rsidRDefault="00EA45F9" w:rsidP="00EA45F9">
      <w:pPr>
        <w:spacing w:after="240"/>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In this section, we describe the approach and assumptions used to estimate the monetisable costs to businesses and enforcement authorities and the monetisable impact on consumer welfare (personal detriment and surplus) for each sub-problem.</w:t>
      </w:r>
    </w:p>
    <w:p w:rsidR="00EA45F9" w:rsidRPr="0084232A" w:rsidRDefault="00A00208" w:rsidP="00A00208">
      <w:pPr>
        <w:pStyle w:val="Heading4"/>
        <w:rPr>
          <w:noProof/>
        </w:rPr>
      </w:pPr>
      <w:bookmarkStart w:id="588" w:name="_Toc60734097"/>
      <w:bookmarkStart w:id="589" w:name="_Toc75440991"/>
      <w:bookmarkStart w:id="590" w:name="_Toc75446990"/>
      <w:bookmarkStart w:id="591" w:name="_Toc75448863"/>
      <w:r w:rsidRPr="00A00208">
        <w:t>4.1.</w:t>
      </w:r>
      <w:r w:rsidRPr="00A00208">
        <w:tab/>
      </w:r>
      <w:r w:rsidR="00EA45F9" w:rsidRPr="005D24D2">
        <w:rPr>
          <w:noProof/>
        </w:rPr>
        <w:t>General assumptions</w:t>
      </w:r>
      <w:bookmarkEnd w:id="588"/>
      <w:bookmarkEnd w:id="589"/>
      <w:bookmarkEnd w:id="590"/>
      <w:bookmarkEnd w:id="591"/>
    </w:p>
    <w:tbl>
      <w:tblPr>
        <w:tblW w:w="4916" w:type="pct"/>
        <w:tblBorders>
          <w:top w:val="single" w:sz="4" w:space="0" w:color="auto"/>
          <w:bottom w:val="single" w:sz="4" w:space="0" w:color="auto"/>
          <w:insideH w:val="single" w:sz="4" w:space="0" w:color="auto"/>
        </w:tblBorders>
        <w:shd w:val="solid" w:color="F2F2F2" w:fill="F2F2F2"/>
        <w:tblCellMar>
          <w:left w:w="0" w:type="dxa"/>
          <w:right w:w="0" w:type="dxa"/>
        </w:tblCellMar>
        <w:tblLook w:val="04A0" w:firstRow="1" w:lastRow="0" w:firstColumn="1" w:lastColumn="0" w:noHBand="0" w:noVBand="1"/>
      </w:tblPr>
      <w:tblGrid>
        <w:gridCol w:w="2040"/>
        <w:gridCol w:w="3872"/>
        <w:gridCol w:w="2560"/>
      </w:tblGrid>
      <w:tr w:rsidR="00EA45F9" w:rsidRPr="009B5734" w:rsidTr="00C84A99">
        <w:trPr>
          <w:trHeight w:val="727"/>
        </w:trPr>
        <w:tc>
          <w:tcPr>
            <w:tcW w:w="1204" w:type="pct"/>
            <w:tcBorders>
              <w:top w:val="single" w:sz="4" w:space="0" w:color="auto"/>
              <w:left w:val="nil"/>
              <w:bottom w:val="single" w:sz="4" w:space="0" w:color="auto"/>
              <w:right w:val="nil"/>
            </w:tcBorders>
            <w:shd w:val="clear" w:color="auto" w:fill="002395"/>
          </w:tcPr>
          <w:p w:rsidR="00EA45F9" w:rsidRPr="009B5734" w:rsidRDefault="00EA45F9" w:rsidP="00981615">
            <w:pPr>
              <w:pStyle w:val="TableHeadingWhite"/>
              <w:spacing w:line="276" w:lineRule="auto"/>
              <w:ind w:left="142" w:firstLine="0"/>
              <w:rPr>
                <w:b/>
                <w:noProof/>
                <w:sz w:val="18"/>
                <w:szCs w:val="20"/>
              </w:rPr>
            </w:pPr>
          </w:p>
        </w:tc>
        <w:tc>
          <w:tcPr>
            <w:tcW w:w="2285" w:type="pct"/>
            <w:tcBorders>
              <w:top w:val="single" w:sz="4" w:space="0" w:color="auto"/>
              <w:left w:val="nil"/>
              <w:bottom w:val="single" w:sz="4" w:space="0" w:color="auto"/>
              <w:right w:val="nil"/>
            </w:tcBorders>
            <w:shd w:val="clear" w:color="auto" w:fill="002395"/>
            <w:hideMark/>
          </w:tcPr>
          <w:p w:rsidR="00EA45F9" w:rsidRPr="009B5734" w:rsidRDefault="00EA45F9" w:rsidP="00981615">
            <w:pPr>
              <w:pStyle w:val="TableHeadingWhite"/>
              <w:spacing w:line="276" w:lineRule="auto"/>
              <w:ind w:left="224" w:firstLine="0"/>
              <w:jc w:val="center"/>
              <w:rPr>
                <w:noProof/>
                <w:sz w:val="18"/>
                <w:szCs w:val="20"/>
              </w:rPr>
            </w:pPr>
            <w:r w:rsidRPr="009B5734">
              <w:rPr>
                <w:noProof/>
                <w:sz w:val="18"/>
                <w:szCs w:val="20"/>
              </w:rPr>
              <w:t>Assumption</w:t>
            </w:r>
          </w:p>
        </w:tc>
        <w:tc>
          <w:tcPr>
            <w:tcW w:w="1511" w:type="pct"/>
            <w:tcBorders>
              <w:top w:val="single" w:sz="4" w:space="0" w:color="auto"/>
              <w:left w:val="nil"/>
              <w:bottom w:val="single" w:sz="4" w:space="0" w:color="auto"/>
              <w:right w:val="nil"/>
            </w:tcBorders>
            <w:shd w:val="clear" w:color="auto" w:fill="002395"/>
            <w:hideMark/>
          </w:tcPr>
          <w:p w:rsidR="00EA45F9" w:rsidRPr="009B5734" w:rsidRDefault="00EA45F9" w:rsidP="00981615">
            <w:pPr>
              <w:pStyle w:val="TableHeadingWhite"/>
              <w:spacing w:line="276" w:lineRule="auto"/>
              <w:ind w:left="181" w:firstLine="0"/>
              <w:jc w:val="center"/>
              <w:rPr>
                <w:noProof/>
                <w:sz w:val="18"/>
                <w:szCs w:val="20"/>
              </w:rPr>
            </w:pPr>
            <w:r w:rsidRPr="009B5734">
              <w:rPr>
                <w:noProof/>
                <w:sz w:val="18"/>
                <w:szCs w:val="20"/>
              </w:rPr>
              <w:t>Source</w:t>
            </w:r>
          </w:p>
        </w:tc>
      </w:tr>
      <w:tr w:rsidR="00EA45F9" w:rsidRPr="009B5734" w:rsidTr="00C84A99">
        <w:trPr>
          <w:trHeight w:val="759"/>
        </w:trPr>
        <w:tc>
          <w:tcPr>
            <w:tcW w:w="1204"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Cost of labour (EU-27 average)</w:t>
            </w:r>
          </w:p>
        </w:tc>
        <w:tc>
          <w:tcPr>
            <w:tcW w:w="228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224" w:firstLine="0"/>
              <w:jc w:val="center"/>
              <w:rPr>
                <w:noProof/>
                <w:color w:val="000000" w:themeColor="text1"/>
                <w:sz w:val="18"/>
                <w:szCs w:val="20"/>
              </w:rPr>
            </w:pPr>
            <w:r w:rsidRPr="009B5734">
              <w:rPr>
                <w:noProof/>
                <w:sz w:val="18"/>
                <w:szCs w:val="20"/>
              </w:rPr>
              <w:t>Manager: EUR 41.5/h</w:t>
            </w:r>
          </w:p>
          <w:p w:rsidR="00EA45F9" w:rsidRPr="009B5734" w:rsidRDefault="00EA45F9" w:rsidP="00981615">
            <w:pPr>
              <w:pStyle w:val="TableTextNoSpace"/>
              <w:spacing w:line="276" w:lineRule="auto"/>
              <w:ind w:left="224" w:firstLine="0"/>
              <w:jc w:val="center"/>
              <w:rPr>
                <w:noProof/>
                <w:sz w:val="18"/>
                <w:szCs w:val="20"/>
              </w:rPr>
            </w:pPr>
            <w:r w:rsidRPr="009B5734">
              <w:rPr>
                <w:noProof/>
                <w:sz w:val="18"/>
                <w:szCs w:val="20"/>
              </w:rPr>
              <w:t>Other employees: EUR 27.70/h</w:t>
            </w:r>
          </w:p>
          <w:p w:rsidR="00EA45F9" w:rsidRPr="009B5734" w:rsidRDefault="00EA45F9" w:rsidP="00981615">
            <w:pPr>
              <w:pStyle w:val="TableTextNoSpace"/>
              <w:spacing w:line="276" w:lineRule="auto"/>
              <w:ind w:left="224" w:firstLine="0"/>
              <w:jc w:val="center"/>
              <w:rPr>
                <w:i/>
                <w:iCs/>
                <w:noProof/>
                <w:sz w:val="18"/>
                <w:szCs w:val="20"/>
              </w:rPr>
            </w:pPr>
            <w:r w:rsidRPr="009B5734">
              <w:rPr>
                <w:i/>
                <w:iCs/>
                <w:noProof/>
                <w:sz w:val="18"/>
                <w:szCs w:val="20"/>
              </w:rPr>
              <w:t>2019 prices</w:t>
            </w:r>
          </w:p>
        </w:tc>
        <w:tc>
          <w:tcPr>
            <w:tcW w:w="1511"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81" w:firstLine="0"/>
              <w:rPr>
                <w:noProof/>
                <w:sz w:val="18"/>
                <w:szCs w:val="20"/>
              </w:rPr>
            </w:pPr>
            <w:r w:rsidRPr="009B5734">
              <w:rPr>
                <w:noProof/>
                <w:sz w:val="18"/>
                <w:szCs w:val="18"/>
              </w:rPr>
              <w:t>Eurostat</w:t>
            </w:r>
            <w:r w:rsidRPr="009B5734">
              <w:rPr>
                <w:rStyle w:val="FootnoteReference"/>
                <w:noProof/>
                <w:sz w:val="18"/>
                <w:szCs w:val="18"/>
              </w:rPr>
              <w:footnoteReference w:id="149"/>
            </w:r>
          </w:p>
        </w:tc>
      </w:tr>
      <w:tr w:rsidR="00EA45F9" w:rsidRPr="009B5734" w:rsidTr="00C84A99">
        <w:trPr>
          <w:trHeight w:val="1263"/>
        </w:trPr>
        <w:tc>
          <w:tcPr>
            <w:tcW w:w="1204"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Sales in EUROS and Volume</w:t>
            </w:r>
          </w:p>
        </w:tc>
        <w:tc>
          <w:tcPr>
            <w:tcW w:w="228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224" w:firstLine="0"/>
              <w:jc w:val="center"/>
              <w:rPr>
                <w:noProof/>
                <w:color w:val="000000" w:themeColor="text1"/>
                <w:sz w:val="18"/>
                <w:szCs w:val="20"/>
              </w:rPr>
            </w:pPr>
            <w:r w:rsidRPr="009B5734">
              <w:rPr>
                <w:noProof/>
                <w:sz w:val="18"/>
                <w:szCs w:val="20"/>
              </w:rPr>
              <w:t>Presented in the annex with the overview of the market</w:t>
            </w:r>
          </w:p>
        </w:tc>
        <w:tc>
          <w:tcPr>
            <w:tcW w:w="1511"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81" w:firstLine="0"/>
              <w:rPr>
                <w:noProof/>
                <w:sz w:val="18"/>
                <w:szCs w:val="20"/>
              </w:rPr>
            </w:pPr>
            <w:r w:rsidRPr="009B5734">
              <w:rPr>
                <w:noProof/>
                <w:sz w:val="18"/>
                <w:szCs w:val="20"/>
              </w:rPr>
              <w:t>Statista (up to 2025) and ICF projections (until 2050)</w:t>
            </w:r>
          </w:p>
        </w:tc>
      </w:tr>
      <w:tr w:rsidR="00EA45F9" w:rsidRPr="009B5734" w:rsidTr="00C84A99">
        <w:trPr>
          <w:trHeight w:val="558"/>
        </w:trPr>
        <w:tc>
          <w:tcPr>
            <w:tcW w:w="1204"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Number of companies</w:t>
            </w:r>
          </w:p>
        </w:tc>
        <w:tc>
          <w:tcPr>
            <w:tcW w:w="228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224" w:firstLine="0"/>
              <w:jc w:val="center"/>
              <w:rPr>
                <w:noProof/>
                <w:color w:val="000000" w:themeColor="text1"/>
                <w:sz w:val="36"/>
                <w:szCs w:val="36"/>
              </w:rPr>
            </w:pPr>
            <w:r w:rsidRPr="009B5734">
              <w:rPr>
                <w:noProof/>
                <w:sz w:val="36"/>
                <w:szCs w:val="36"/>
              </w:rPr>
              <w:t>-</w:t>
            </w:r>
          </w:p>
        </w:tc>
        <w:tc>
          <w:tcPr>
            <w:tcW w:w="1511"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81" w:firstLine="0"/>
              <w:rPr>
                <w:noProof/>
                <w:sz w:val="18"/>
                <w:szCs w:val="20"/>
              </w:rPr>
            </w:pPr>
            <w:r w:rsidRPr="009B5734">
              <w:rPr>
                <w:noProof/>
                <w:sz w:val="18"/>
                <w:szCs w:val="20"/>
              </w:rPr>
              <w:t>Eurostat</w:t>
            </w:r>
          </w:p>
          <w:p w:rsidR="00EA45F9" w:rsidRPr="009B5734" w:rsidRDefault="00EA45F9" w:rsidP="00981615">
            <w:pPr>
              <w:pStyle w:val="TableTextNoSpace"/>
              <w:spacing w:line="276" w:lineRule="auto"/>
              <w:ind w:left="181" w:firstLine="0"/>
              <w:rPr>
                <w:i/>
                <w:iCs/>
                <w:noProof/>
                <w:sz w:val="18"/>
                <w:szCs w:val="20"/>
              </w:rPr>
            </w:pPr>
            <w:r w:rsidRPr="7F52AB9A">
              <w:rPr>
                <w:i/>
                <w:iCs/>
                <w:noProof/>
                <w:sz w:val="18"/>
                <w:szCs w:val="18"/>
              </w:rPr>
              <w:t xml:space="preserve">Annual enterprise statistics by size class for special aggregates of activities (NACE Rev. 2) </w:t>
            </w:r>
            <w:r w:rsidRPr="00703416">
              <w:rPr>
                <w:i/>
                <w:iCs/>
                <w:noProof/>
                <w:sz w:val="18"/>
                <w:szCs w:val="18"/>
              </w:rPr>
              <w:t>[SBS_SC_SCA_R2]</w:t>
            </w:r>
            <w:r w:rsidRPr="7F52AB9A">
              <w:rPr>
                <w:rStyle w:val="FootnoteReference"/>
                <w:i/>
                <w:iCs/>
                <w:noProof/>
                <w:sz w:val="18"/>
                <w:szCs w:val="18"/>
              </w:rPr>
              <w:footnoteReference w:id="150"/>
            </w:r>
          </w:p>
        </w:tc>
      </w:tr>
      <w:tr w:rsidR="00EA45F9" w:rsidRPr="009B5734" w:rsidTr="00C84A99">
        <w:trPr>
          <w:trHeight w:val="506"/>
        </w:trPr>
        <w:tc>
          <w:tcPr>
            <w:tcW w:w="1204"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Population</w:t>
            </w:r>
          </w:p>
        </w:tc>
        <w:tc>
          <w:tcPr>
            <w:tcW w:w="228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224" w:firstLine="0"/>
              <w:jc w:val="center"/>
              <w:rPr>
                <w:noProof/>
                <w:color w:val="000000" w:themeColor="text1"/>
                <w:sz w:val="36"/>
                <w:szCs w:val="36"/>
              </w:rPr>
            </w:pPr>
            <w:r w:rsidRPr="009B5734">
              <w:rPr>
                <w:noProof/>
                <w:sz w:val="36"/>
                <w:szCs w:val="36"/>
              </w:rPr>
              <w:t>-</w:t>
            </w:r>
          </w:p>
        </w:tc>
        <w:tc>
          <w:tcPr>
            <w:tcW w:w="1511"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81" w:firstLine="0"/>
              <w:rPr>
                <w:iCs/>
                <w:noProof/>
                <w:sz w:val="18"/>
                <w:szCs w:val="20"/>
              </w:rPr>
            </w:pPr>
            <w:r w:rsidRPr="009B5734">
              <w:rPr>
                <w:iCs/>
                <w:noProof/>
                <w:sz w:val="18"/>
                <w:szCs w:val="20"/>
              </w:rPr>
              <w:t>Eurostat</w:t>
            </w:r>
          </w:p>
          <w:p w:rsidR="00EA45F9" w:rsidRPr="009B5734" w:rsidRDefault="00EA45F9" w:rsidP="00981615">
            <w:pPr>
              <w:pStyle w:val="TableTextNoSpace"/>
              <w:spacing w:line="276" w:lineRule="auto"/>
              <w:ind w:left="181" w:firstLine="0"/>
              <w:rPr>
                <w:i/>
                <w:noProof/>
                <w:sz w:val="18"/>
                <w:szCs w:val="20"/>
              </w:rPr>
            </w:pPr>
            <w:r w:rsidRPr="7F52AB9A">
              <w:rPr>
                <w:i/>
                <w:iCs/>
                <w:noProof/>
                <w:sz w:val="18"/>
                <w:szCs w:val="18"/>
              </w:rPr>
              <w:t>Population on 1st January by age, sex, and type of projection [PROJ_19NP]</w:t>
            </w:r>
            <w:r w:rsidRPr="7F52AB9A">
              <w:rPr>
                <w:rStyle w:val="FootnoteReference"/>
                <w:i/>
                <w:iCs/>
                <w:noProof/>
                <w:sz w:val="18"/>
                <w:szCs w:val="18"/>
              </w:rPr>
              <w:footnoteReference w:id="151"/>
            </w:r>
          </w:p>
        </w:tc>
      </w:tr>
      <w:tr w:rsidR="00EA45F9" w:rsidRPr="009B5734" w:rsidTr="00C84A99">
        <w:trPr>
          <w:trHeight w:val="506"/>
        </w:trPr>
        <w:tc>
          <w:tcPr>
            <w:tcW w:w="1204"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Shadow price of CO2e</w:t>
            </w:r>
          </w:p>
        </w:tc>
        <w:tc>
          <w:tcPr>
            <w:tcW w:w="228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224" w:firstLine="0"/>
              <w:jc w:val="center"/>
              <w:rPr>
                <w:noProof/>
                <w:color w:val="000000" w:themeColor="text1"/>
                <w:sz w:val="18"/>
                <w:szCs w:val="18"/>
              </w:rPr>
            </w:pPr>
            <w:r w:rsidRPr="009B5734">
              <w:rPr>
                <w:noProof/>
                <w:sz w:val="18"/>
                <w:szCs w:val="18"/>
              </w:rPr>
              <w:t>34 EUR/tonne</w:t>
            </w:r>
          </w:p>
        </w:tc>
        <w:tc>
          <w:tcPr>
            <w:tcW w:w="1511"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81" w:firstLine="0"/>
              <w:rPr>
                <w:iCs/>
                <w:noProof/>
                <w:sz w:val="18"/>
                <w:szCs w:val="20"/>
              </w:rPr>
            </w:pPr>
            <w:r w:rsidRPr="009B5734">
              <w:rPr>
                <w:iCs/>
                <w:noProof/>
                <w:sz w:val="18"/>
                <w:szCs w:val="20"/>
              </w:rPr>
              <w:t>High-Level Commission on Carbon Prices (i.e., EUR 34 prices 2019). See N. Stern and J. E. Stiglitz (2017). Report of the High</w:t>
            </w:r>
            <w:r w:rsidRPr="009B5734">
              <w:rPr>
                <w:rFonts w:ascii="Cambria Math" w:hAnsi="Cambria Math" w:cs="Cambria Math"/>
                <w:iCs/>
                <w:noProof/>
                <w:sz w:val="18"/>
                <w:szCs w:val="20"/>
              </w:rPr>
              <w:t>‐</w:t>
            </w:r>
            <w:r w:rsidRPr="009B5734">
              <w:rPr>
                <w:iCs/>
                <w:noProof/>
                <w:sz w:val="18"/>
                <w:szCs w:val="20"/>
              </w:rPr>
              <w:t>Level Commission on Carbon Prices. World Bank.</w:t>
            </w:r>
            <w:r w:rsidRPr="009B5734">
              <w:rPr>
                <w:rStyle w:val="FootnoteReference"/>
                <w:iCs/>
                <w:noProof/>
                <w:sz w:val="18"/>
                <w:szCs w:val="20"/>
              </w:rPr>
              <w:footnoteReference w:id="152"/>
            </w:r>
          </w:p>
        </w:tc>
      </w:tr>
      <w:tr w:rsidR="00EA45F9" w:rsidRPr="009B5734" w:rsidTr="00C84A99">
        <w:trPr>
          <w:trHeight w:val="506"/>
        </w:trPr>
        <w:tc>
          <w:tcPr>
            <w:tcW w:w="1204"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CO2e/kg of production equipment</w:t>
            </w:r>
          </w:p>
        </w:tc>
        <w:tc>
          <w:tcPr>
            <w:tcW w:w="228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224" w:firstLine="0"/>
              <w:jc w:val="center"/>
              <w:rPr>
                <w:noProof/>
                <w:color w:val="000000" w:themeColor="text1"/>
                <w:sz w:val="18"/>
                <w:szCs w:val="18"/>
              </w:rPr>
            </w:pPr>
            <w:r w:rsidRPr="009B5734">
              <w:rPr>
                <w:noProof/>
                <w:sz w:val="18"/>
                <w:szCs w:val="18"/>
              </w:rPr>
              <w:t xml:space="preserve">36 kg CO2e/Kg </w:t>
            </w:r>
          </w:p>
        </w:tc>
        <w:tc>
          <w:tcPr>
            <w:tcW w:w="1511"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81" w:firstLine="0"/>
              <w:rPr>
                <w:iCs/>
                <w:noProof/>
                <w:sz w:val="18"/>
                <w:szCs w:val="20"/>
              </w:rPr>
            </w:pPr>
            <w:r w:rsidRPr="005D24D2">
              <w:rPr>
                <w:noProof/>
                <w:sz w:val="18"/>
                <w:szCs w:val="18"/>
              </w:rPr>
              <w:t>Adaptation of various studies covering specific products</w:t>
            </w:r>
            <w:r w:rsidRPr="005D24D2">
              <w:rPr>
                <w:rStyle w:val="FootnoteReference"/>
                <w:noProof/>
                <w:sz w:val="18"/>
                <w:szCs w:val="18"/>
              </w:rPr>
              <w:footnoteReference w:id="153"/>
            </w:r>
          </w:p>
        </w:tc>
      </w:tr>
      <w:tr w:rsidR="00EA45F9" w:rsidRPr="009B5734" w:rsidTr="00C84A99">
        <w:trPr>
          <w:trHeight w:val="506"/>
        </w:trPr>
        <w:tc>
          <w:tcPr>
            <w:tcW w:w="1204"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Value of Statistical life (million euros 2019)</w:t>
            </w:r>
          </w:p>
        </w:tc>
        <w:tc>
          <w:tcPr>
            <w:tcW w:w="228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224" w:firstLine="0"/>
              <w:rPr>
                <w:noProof/>
                <w:color w:val="000000" w:themeColor="text1"/>
                <w:sz w:val="18"/>
                <w:szCs w:val="18"/>
              </w:rPr>
            </w:pPr>
            <w:r w:rsidRPr="009B5734">
              <w:rPr>
                <w:noProof/>
                <w:sz w:val="18"/>
                <w:szCs w:val="18"/>
              </w:rPr>
              <w:t>The monetised value of a premature death follows a uniform distribution with a lower limit of 3.93 million EUR and an upper limit of 5.63</w:t>
            </w:r>
            <w:r w:rsidRPr="009B5734">
              <w:rPr>
                <w:rStyle w:val="FootnoteReference"/>
                <w:noProof/>
                <w:sz w:val="18"/>
                <w:szCs w:val="18"/>
              </w:rPr>
              <w:footnoteReference w:id="154"/>
            </w:r>
            <w:r w:rsidRPr="009B5734">
              <w:rPr>
                <w:noProof/>
                <w:sz w:val="18"/>
                <w:szCs w:val="18"/>
              </w:rPr>
              <w:t xml:space="preserve"> million EUR.</w:t>
            </w:r>
          </w:p>
        </w:tc>
        <w:tc>
          <w:tcPr>
            <w:tcW w:w="1511"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81" w:firstLine="0"/>
              <w:rPr>
                <w:iCs/>
                <w:noProof/>
                <w:sz w:val="18"/>
                <w:szCs w:val="20"/>
              </w:rPr>
            </w:pPr>
            <w:r w:rsidRPr="005D24D2">
              <w:rPr>
                <w:noProof/>
                <w:sz w:val="18"/>
                <w:szCs w:val="18"/>
              </w:rPr>
              <w:t>The recommended values for the VSL vary depending on the source. We adopted the values from the European Chemicals Agency</w:t>
            </w:r>
            <w:r w:rsidRPr="005D24D2">
              <w:rPr>
                <w:rStyle w:val="FootnoteReference"/>
                <w:noProof/>
                <w:sz w:val="18"/>
                <w:szCs w:val="18"/>
              </w:rPr>
              <w:footnoteReference w:id="155"/>
            </w:r>
            <w:r w:rsidRPr="005D24D2">
              <w:rPr>
                <w:noProof/>
                <w:sz w:val="18"/>
                <w:szCs w:val="18"/>
              </w:rPr>
              <w:t xml:space="preserve"> in line with other recent studies carried out for DG JUST.</w:t>
            </w:r>
          </w:p>
        </w:tc>
      </w:tr>
      <w:tr w:rsidR="00EA45F9" w:rsidRPr="009B5734" w:rsidTr="00C84A99">
        <w:trPr>
          <w:trHeight w:val="506"/>
        </w:trPr>
        <w:tc>
          <w:tcPr>
            <w:tcW w:w="1204"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Costs of treating waste (euros)</w:t>
            </w:r>
          </w:p>
        </w:tc>
        <w:tc>
          <w:tcPr>
            <w:tcW w:w="228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224" w:firstLine="0"/>
              <w:jc w:val="center"/>
              <w:rPr>
                <w:noProof/>
                <w:color w:val="000000" w:themeColor="text1"/>
                <w:sz w:val="18"/>
                <w:szCs w:val="18"/>
              </w:rPr>
            </w:pPr>
            <w:r w:rsidRPr="009B5734">
              <w:rPr>
                <w:noProof/>
                <w:sz w:val="18"/>
                <w:szCs w:val="18"/>
              </w:rPr>
              <w:t>0.45 EUR/Kg</w:t>
            </w:r>
          </w:p>
        </w:tc>
        <w:tc>
          <w:tcPr>
            <w:tcW w:w="1511"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81" w:firstLine="0"/>
              <w:rPr>
                <w:iCs/>
                <w:noProof/>
                <w:sz w:val="18"/>
                <w:szCs w:val="20"/>
              </w:rPr>
            </w:pPr>
            <w:r w:rsidRPr="1101E8D2">
              <w:rPr>
                <w:noProof/>
                <w:sz w:val="18"/>
                <w:szCs w:val="18"/>
              </w:rPr>
              <w:t>Own calculations based desk research</w:t>
            </w:r>
            <w:r w:rsidRPr="1101E8D2">
              <w:rPr>
                <w:rStyle w:val="FootnoteReference"/>
                <w:noProof/>
                <w:sz w:val="18"/>
                <w:szCs w:val="18"/>
              </w:rPr>
              <w:footnoteReference w:id="156"/>
            </w:r>
          </w:p>
        </w:tc>
      </w:tr>
      <w:tr w:rsidR="00EA45F9" w:rsidRPr="009B5734" w:rsidTr="00C84A99">
        <w:trPr>
          <w:trHeight w:val="506"/>
        </w:trPr>
        <w:tc>
          <w:tcPr>
            <w:tcW w:w="1204"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Overall environmental impacts of consumption</w:t>
            </w:r>
          </w:p>
        </w:tc>
        <w:tc>
          <w:tcPr>
            <w:tcW w:w="228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224" w:firstLine="0"/>
              <w:jc w:val="center"/>
              <w:rPr>
                <w:noProof/>
                <w:color w:val="000000" w:themeColor="text1"/>
                <w:sz w:val="18"/>
                <w:szCs w:val="18"/>
              </w:rPr>
            </w:pPr>
            <w:r w:rsidRPr="009B5734">
              <w:rPr>
                <w:noProof/>
                <w:sz w:val="18"/>
                <w:szCs w:val="18"/>
              </w:rPr>
              <w:t>-</w:t>
            </w:r>
          </w:p>
        </w:tc>
        <w:tc>
          <w:tcPr>
            <w:tcW w:w="1511"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81" w:firstLine="0"/>
              <w:rPr>
                <w:iCs/>
                <w:noProof/>
                <w:sz w:val="18"/>
                <w:szCs w:val="20"/>
              </w:rPr>
            </w:pPr>
            <w:r w:rsidRPr="009B5734">
              <w:rPr>
                <w:iCs/>
                <w:noProof/>
                <w:sz w:val="18"/>
                <w:szCs w:val="20"/>
              </w:rPr>
              <w:t>COWI &amp; ECOFYS, 2019</w:t>
            </w:r>
            <w:r w:rsidRPr="009B5734">
              <w:rPr>
                <w:rStyle w:val="FootnoteReference"/>
                <w:iCs/>
                <w:noProof/>
                <w:sz w:val="18"/>
                <w:szCs w:val="20"/>
              </w:rPr>
              <w:footnoteReference w:id="157"/>
            </w:r>
            <w:r w:rsidRPr="009B5734">
              <w:rPr>
                <w:iCs/>
                <w:noProof/>
                <w:sz w:val="18"/>
                <w:szCs w:val="20"/>
              </w:rPr>
              <w:t>, determined as part of the Indicators and Assessment of the Environmental Impact of EU by JRC.</w:t>
            </w:r>
          </w:p>
        </w:tc>
      </w:tr>
    </w:tbl>
    <w:p w:rsidR="00EA45F9" w:rsidRPr="009B5734" w:rsidRDefault="00EA45F9" w:rsidP="00EA45F9">
      <w:pPr>
        <w:rPr>
          <w:rFonts w:ascii="Verdana" w:hAnsi="Verdana"/>
          <w:noProof/>
          <w:color w:val="000000" w:themeColor="text1"/>
          <w:sz w:val="20"/>
        </w:rPr>
      </w:pPr>
    </w:p>
    <w:p w:rsidR="00EA45F9" w:rsidRPr="009B5734" w:rsidRDefault="00A00208" w:rsidP="00A00208">
      <w:pPr>
        <w:pStyle w:val="Heading4"/>
        <w:rPr>
          <w:noProof/>
        </w:rPr>
      </w:pPr>
      <w:bookmarkStart w:id="592" w:name="_Toc60734098"/>
      <w:bookmarkStart w:id="593" w:name="_Toc75440992"/>
      <w:bookmarkStart w:id="594" w:name="_Toc75446991"/>
      <w:bookmarkStart w:id="595" w:name="_Toc75448864"/>
      <w:r w:rsidRPr="00A00208">
        <w:t>4.2.</w:t>
      </w:r>
      <w:r w:rsidRPr="00A00208">
        <w:tab/>
      </w:r>
      <w:r w:rsidR="00EA45F9" w:rsidRPr="009B5734">
        <w:rPr>
          <w:noProof/>
        </w:rPr>
        <w:t>“Sub-problem 1.</w:t>
      </w:r>
      <w:bookmarkStart w:id="596" w:name="_Toc60734099"/>
      <w:bookmarkEnd w:id="592"/>
      <w:r w:rsidR="00EA45F9" w:rsidRPr="009B5734">
        <w:rPr>
          <w:noProof/>
        </w:rPr>
        <w:t xml:space="preserve">2: </w:t>
      </w:r>
      <w:r w:rsidR="00D60C0B" w:rsidRPr="009B5734">
        <w:rPr>
          <w:noProof/>
        </w:rPr>
        <w:t>Lack of reliable information</w:t>
      </w:r>
      <w:r w:rsidR="00EA45F9" w:rsidRPr="009B5734">
        <w:rPr>
          <w:noProof/>
        </w:rPr>
        <w:t xml:space="preserve"> about product’s lifespan”</w:t>
      </w:r>
      <w:bookmarkEnd w:id="593"/>
      <w:bookmarkEnd w:id="594"/>
      <w:bookmarkEnd w:id="595"/>
      <w:bookmarkEnd w:id="596"/>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monetisation was only possible for a selection of product categories (large household appliances, small household appliances and ICT and other electronic products) due to the lack of data regarding the volume of sales and about contingent valuation. Within each product category, the monetisation was firstly done for a selection of specific products for which we had data from the consumer survey and mystery shopping exercises. Afterward the results obtained for the individual products were extrapolated to their product category.</w:t>
      </w:r>
    </w:p>
    <w:p w:rsidR="00EA45F9" w:rsidRPr="009B5734" w:rsidRDefault="00EA45F9" w:rsidP="00EA45F9">
      <w:pPr>
        <w:pStyle w:val="FootnoteText"/>
        <w:ind w:left="0" w:firstLine="0"/>
        <w:rPr>
          <w:noProof/>
          <w:sz w:val="24"/>
          <w:szCs w:val="24"/>
        </w:rPr>
      </w:pPr>
      <w:r w:rsidRPr="009B5734">
        <w:rPr>
          <w:noProof/>
          <w:sz w:val="24"/>
          <w:szCs w:val="24"/>
        </w:rPr>
        <w:t>There is a lack of data regarding the lifespan of products offered in the market, consequently, we relied on desk research to define that the lifespan of the product models available in the market follow a truncated Gaussian distribution with parameters defined based on several sources</w:t>
      </w:r>
      <w:r w:rsidRPr="009B5734">
        <w:rPr>
          <w:rStyle w:val="FootnoteReference"/>
          <w:rFonts w:eastAsia="Calibri"/>
          <w:noProof/>
          <w:sz w:val="24"/>
          <w:szCs w:val="24"/>
        </w:rPr>
        <w:footnoteReference w:id="158"/>
      </w:r>
    </w:p>
    <w:p w:rsidR="00EA45F9" w:rsidRPr="009B5734" w:rsidRDefault="00EA45F9" w:rsidP="00EA45F9">
      <w:pPr>
        <w:pStyle w:val="Heading5"/>
        <w:rPr>
          <w:rFonts w:ascii="Times New Roman" w:hAnsi="Times New Roman" w:cs="Times New Roman"/>
          <w:i w:val="0"/>
          <w:noProof/>
          <w:sz w:val="24"/>
        </w:rPr>
      </w:pPr>
      <w:r w:rsidRPr="009B5734">
        <w:rPr>
          <w:rFonts w:ascii="Times New Roman" w:hAnsi="Times New Roman" w:cs="Times New Roman"/>
          <w:i w:val="0"/>
          <w:noProof/>
          <w:sz w:val="24"/>
        </w:rPr>
        <w:t>Option 1.2.A. EU-level obligation to inform consumers of the expected lifespan of products</w:t>
      </w:r>
    </w:p>
    <w:p w:rsidR="00EA45F9" w:rsidRPr="009B5734" w:rsidRDefault="00EA45F9" w:rsidP="00EA45F9">
      <w:pPr>
        <w:pStyle w:val="Titlecost"/>
        <w:rPr>
          <w:noProof/>
        </w:rPr>
      </w:pPr>
      <w:r w:rsidRPr="009B5734">
        <w:rPr>
          <w:noProof/>
        </w:rPr>
        <w:t>Administrative burden</w:t>
      </w:r>
    </w:p>
    <w:tbl>
      <w:tblPr>
        <w:tblW w:w="4916" w:type="pct"/>
        <w:tblBorders>
          <w:top w:val="single" w:sz="4" w:space="0" w:color="auto"/>
          <w:bottom w:val="single" w:sz="4" w:space="0" w:color="auto"/>
          <w:insideH w:val="single" w:sz="4" w:space="0" w:color="auto"/>
        </w:tblBorders>
        <w:shd w:val="solid" w:color="F2F2F2" w:fill="F2F2F2"/>
        <w:tblCellMar>
          <w:left w:w="0" w:type="dxa"/>
          <w:right w:w="0" w:type="dxa"/>
        </w:tblCellMar>
        <w:tblLook w:val="04A0" w:firstRow="1" w:lastRow="0" w:firstColumn="1" w:lastColumn="0" w:noHBand="0" w:noVBand="1"/>
      </w:tblPr>
      <w:tblGrid>
        <w:gridCol w:w="1742"/>
        <w:gridCol w:w="4468"/>
        <w:gridCol w:w="2262"/>
      </w:tblGrid>
      <w:tr w:rsidR="00EA45F9" w:rsidRPr="009B5734" w:rsidTr="00C84A99">
        <w:trPr>
          <w:trHeight w:val="727"/>
        </w:trPr>
        <w:tc>
          <w:tcPr>
            <w:tcW w:w="1028" w:type="pct"/>
            <w:tcBorders>
              <w:top w:val="single" w:sz="4" w:space="0" w:color="auto"/>
              <w:left w:val="nil"/>
              <w:bottom w:val="single" w:sz="4" w:space="0" w:color="auto"/>
              <w:right w:val="nil"/>
            </w:tcBorders>
            <w:shd w:val="clear" w:color="auto" w:fill="002395"/>
          </w:tcPr>
          <w:p w:rsidR="00EA45F9" w:rsidRPr="009B5734" w:rsidRDefault="00EA45F9" w:rsidP="00981615">
            <w:pPr>
              <w:pStyle w:val="TableHeadingWhite"/>
              <w:spacing w:line="276" w:lineRule="auto"/>
              <w:ind w:left="142" w:firstLine="0"/>
              <w:rPr>
                <w:noProof/>
                <w:sz w:val="18"/>
                <w:szCs w:val="20"/>
              </w:rPr>
            </w:pPr>
          </w:p>
        </w:tc>
        <w:tc>
          <w:tcPr>
            <w:tcW w:w="2637" w:type="pct"/>
            <w:tcBorders>
              <w:top w:val="single" w:sz="4" w:space="0" w:color="auto"/>
              <w:left w:val="nil"/>
              <w:bottom w:val="single" w:sz="4" w:space="0" w:color="auto"/>
              <w:right w:val="nil"/>
            </w:tcBorders>
            <w:shd w:val="clear" w:color="auto" w:fill="002395"/>
            <w:hideMark/>
          </w:tcPr>
          <w:p w:rsidR="00EA45F9" w:rsidRPr="009B5734" w:rsidRDefault="00EA45F9" w:rsidP="00981615">
            <w:pPr>
              <w:pStyle w:val="TableHeadingWhite"/>
              <w:spacing w:line="276" w:lineRule="auto"/>
              <w:ind w:hanging="114"/>
              <w:jc w:val="center"/>
              <w:rPr>
                <w:noProof/>
                <w:sz w:val="18"/>
                <w:szCs w:val="20"/>
              </w:rPr>
            </w:pPr>
            <w:r w:rsidRPr="009B5734">
              <w:rPr>
                <w:noProof/>
                <w:sz w:val="18"/>
                <w:szCs w:val="20"/>
              </w:rPr>
              <w:t>Assumption</w:t>
            </w:r>
          </w:p>
        </w:tc>
        <w:tc>
          <w:tcPr>
            <w:tcW w:w="1335" w:type="pct"/>
            <w:tcBorders>
              <w:top w:val="single" w:sz="4" w:space="0" w:color="auto"/>
              <w:left w:val="nil"/>
              <w:bottom w:val="single" w:sz="4" w:space="0" w:color="auto"/>
              <w:right w:val="nil"/>
            </w:tcBorders>
            <w:shd w:val="clear" w:color="auto" w:fill="002395"/>
            <w:hideMark/>
          </w:tcPr>
          <w:p w:rsidR="00EA45F9" w:rsidRPr="009B5734" w:rsidRDefault="00EA45F9" w:rsidP="00981615">
            <w:pPr>
              <w:pStyle w:val="TableHeadingWhite"/>
              <w:spacing w:line="276" w:lineRule="auto"/>
              <w:ind w:left="169" w:firstLine="0"/>
              <w:jc w:val="center"/>
              <w:rPr>
                <w:noProof/>
                <w:sz w:val="18"/>
                <w:szCs w:val="20"/>
              </w:rPr>
            </w:pPr>
            <w:r w:rsidRPr="009B5734">
              <w:rPr>
                <w:noProof/>
                <w:sz w:val="18"/>
                <w:szCs w:val="20"/>
              </w:rPr>
              <w:t>Source</w:t>
            </w:r>
          </w:p>
        </w:tc>
      </w:tr>
      <w:tr w:rsidR="00EA45F9" w:rsidRPr="009B5734" w:rsidTr="00C84A99">
        <w:trPr>
          <w:trHeight w:val="391"/>
        </w:trPr>
        <w:tc>
          <w:tcPr>
            <w:tcW w:w="5000" w:type="pct"/>
            <w:gridSpan w:val="3"/>
            <w:tcBorders>
              <w:top w:val="single" w:sz="4" w:space="0" w:color="auto"/>
              <w:left w:val="nil"/>
              <w:bottom w:val="single" w:sz="4" w:space="0" w:color="auto"/>
              <w:right w:val="nil"/>
            </w:tcBorders>
            <w:shd w:val="clear" w:color="auto" w:fill="DBE5F1" w:themeFill="accent1" w:themeFillTint="33"/>
            <w:hideMark/>
          </w:tcPr>
          <w:p w:rsidR="00EA45F9" w:rsidRPr="009B5734" w:rsidRDefault="00EA45F9" w:rsidP="00981615">
            <w:pPr>
              <w:pStyle w:val="TableHeadingWhite"/>
              <w:spacing w:line="276" w:lineRule="auto"/>
              <w:ind w:left="142" w:firstLine="0"/>
              <w:rPr>
                <w:noProof/>
                <w:sz w:val="18"/>
                <w:szCs w:val="20"/>
              </w:rPr>
            </w:pPr>
            <w:r w:rsidRPr="009B5734">
              <w:rPr>
                <w:noProof/>
                <w:sz w:val="18"/>
                <w:szCs w:val="20"/>
              </w:rPr>
              <w:t xml:space="preserve">Manufacturers (excluding those that only produce components) </w:t>
            </w:r>
          </w:p>
        </w:tc>
      </w:tr>
      <w:tr w:rsidR="00EA45F9" w:rsidRPr="009B5734" w:rsidTr="00C84A99">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Familiarization with the measure</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hanging="114"/>
              <w:jc w:val="center"/>
              <w:rPr>
                <w:i/>
                <w:iCs/>
                <w:noProof/>
                <w:color w:val="000000" w:themeColor="text1"/>
                <w:sz w:val="18"/>
                <w:szCs w:val="20"/>
              </w:rPr>
            </w:pPr>
            <w:r w:rsidRPr="009B5734">
              <w:rPr>
                <w:i/>
                <w:iCs/>
                <w:noProof/>
                <w:sz w:val="18"/>
                <w:szCs w:val="20"/>
              </w:rPr>
              <w:t xml:space="preserve">This includes not only identifying the new obligations imposed by the measure but analysing what the necessary steps are that need to be taken to comply with it </w:t>
            </w:r>
          </w:p>
          <w:p w:rsidR="00EA45F9" w:rsidRPr="009B5734" w:rsidRDefault="00EA45F9" w:rsidP="00981615">
            <w:pPr>
              <w:pStyle w:val="TableTextNoSpace"/>
              <w:spacing w:line="276" w:lineRule="auto"/>
              <w:ind w:left="357" w:hanging="114"/>
              <w:jc w:val="center"/>
              <w:rPr>
                <w:noProof/>
                <w:sz w:val="18"/>
                <w:szCs w:val="20"/>
              </w:rPr>
            </w:pPr>
            <w:r w:rsidRPr="009B5734">
              <w:rPr>
                <w:noProof/>
                <w:sz w:val="18"/>
                <w:szCs w:val="20"/>
              </w:rPr>
              <w:t>SME: [7,35]h legal team, 35h product development team, 7h commercial team</w:t>
            </w:r>
          </w:p>
          <w:p w:rsidR="00EA45F9" w:rsidRPr="009B5734" w:rsidRDefault="00EA45F9" w:rsidP="00981615">
            <w:pPr>
              <w:pStyle w:val="TableTextNoSpace"/>
              <w:spacing w:line="276" w:lineRule="auto"/>
              <w:ind w:left="357" w:hanging="114"/>
              <w:jc w:val="center"/>
              <w:rPr>
                <w:noProof/>
                <w:sz w:val="18"/>
                <w:szCs w:val="20"/>
              </w:rPr>
            </w:pPr>
            <w:r w:rsidRPr="009B5734">
              <w:rPr>
                <w:noProof/>
                <w:sz w:val="18"/>
                <w:szCs w:val="20"/>
              </w:rPr>
              <w:t>Large Enterprises:  35h legal team, 70h product development team, 14h commercial team</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69" w:firstLine="0"/>
              <w:rPr>
                <w:noProof/>
                <w:sz w:val="18"/>
                <w:szCs w:val="20"/>
              </w:rPr>
            </w:pPr>
            <w:r w:rsidRPr="009B5734">
              <w:rPr>
                <w:noProof/>
                <w:sz w:val="18"/>
                <w:szCs w:val="20"/>
              </w:rPr>
              <w:t>Interviews with companies and industry associations</w:t>
            </w:r>
          </w:p>
        </w:tc>
      </w:tr>
      <w:tr w:rsidR="00EA45F9" w:rsidRPr="009B5734" w:rsidTr="00C84A99">
        <w:trPr>
          <w:trHeight w:val="1263"/>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Training</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hanging="114"/>
              <w:jc w:val="center"/>
              <w:rPr>
                <w:i/>
                <w:iCs/>
                <w:noProof/>
                <w:color w:val="000000" w:themeColor="text1"/>
                <w:sz w:val="18"/>
                <w:szCs w:val="20"/>
              </w:rPr>
            </w:pPr>
            <w:r w:rsidRPr="009B5734">
              <w:rPr>
                <w:i/>
                <w:iCs/>
                <w:noProof/>
                <w:sz w:val="18"/>
                <w:szCs w:val="20"/>
              </w:rPr>
              <w:t>This includes an initial training of managers and key employees</w:t>
            </w:r>
          </w:p>
          <w:p w:rsidR="00EA45F9" w:rsidRPr="009B5734" w:rsidRDefault="00EA45F9" w:rsidP="00981615">
            <w:pPr>
              <w:pStyle w:val="TableTextNoSpace"/>
              <w:spacing w:line="276" w:lineRule="auto"/>
              <w:ind w:left="357" w:hanging="114"/>
              <w:rPr>
                <w:noProof/>
                <w:sz w:val="18"/>
                <w:szCs w:val="20"/>
              </w:rPr>
            </w:pPr>
            <w:r w:rsidRPr="009B5734">
              <w:rPr>
                <w:noProof/>
                <w:sz w:val="18"/>
                <w:szCs w:val="20"/>
              </w:rPr>
              <w:t>SME: 3.5h manager + 10.5h key employees</w:t>
            </w:r>
          </w:p>
          <w:p w:rsidR="00EA45F9" w:rsidRPr="009B5734" w:rsidRDefault="00EA45F9" w:rsidP="00981615">
            <w:pPr>
              <w:pStyle w:val="TableTextNoSpace"/>
              <w:spacing w:line="276" w:lineRule="auto"/>
              <w:ind w:left="357" w:hanging="114"/>
              <w:rPr>
                <w:noProof/>
                <w:sz w:val="18"/>
                <w:szCs w:val="20"/>
              </w:rPr>
            </w:pPr>
            <w:r w:rsidRPr="009B5734">
              <w:rPr>
                <w:noProof/>
                <w:sz w:val="18"/>
                <w:szCs w:val="20"/>
              </w:rPr>
              <w:t>Large enterprises: 7h managers + 21h key employees</w:t>
            </w:r>
          </w:p>
        </w:tc>
        <w:tc>
          <w:tcPr>
            <w:tcW w:w="1335" w:type="pct"/>
            <w:tcBorders>
              <w:top w:val="single" w:sz="4" w:space="0" w:color="auto"/>
              <w:left w:val="nil"/>
              <w:bottom w:val="single" w:sz="4" w:space="0" w:color="auto"/>
              <w:right w:val="nil"/>
            </w:tcBorders>
            <w:shd w:val="clear" w:color="auto" w:fill="auto"/>
            <w:vAlign w:val="center"/>
            <w:hideMark/>
          </w:tcPr>
          <w:p w:rsidR="00EA45F9" w:rsidRPr="009B5734" w:rsidRDefault="00EA45F9" w:rsidP="00981615">
            <w:pPr>
              <w:pStyle w:val="TableTextNoSpace"/>
              <w:spacing w:line="276" w:lineRule="auto"/>
              <w:ind w:left="169" w:firstLine="0"/>
              <w:jc w:val="center"/>
              <w:rPr>
                <w:noProof/>
                <w:sz w:val="18"/>
                <w:szCs w:val="20"/>
              </w:rPr>
            </w:pPr>
            <w:r w:rsidRPr="009B5734">
              <w:rPr>
                <w:noProof/>
                <w:sz w:val="18"/>
                <w:szCs w:val="20"/>
              </w:rPr>
              <w:t>Interviews with companies and industry associations</w:t>
            </w:r>
          </w:p>
        </w:tc>
      </w:tr>
      <w:tr w:rsidR="00EA45F9" w:rsidRPr="009B5734" w:rsidTr="00C84A99">
        <w:trPr>
          <w:trHeight w:val="558"/>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Retrieving relevant information from existing data and adjusting existing data (including adapting system to retrieve information)</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hanging="114"/>
              <w:jc w:val="center"/>
              <w:rPr>
                <w:i/>
                <w:iCs/>
                <w:noProof/>
                <w:color w:val="000000" w:themeColor="text1"/>
                <w:sz w:val="18"/>
                <w:szCs w:val="20"/>
              </w:rPr>
            </w:pPr>
            <w:r w:rsidRPr="009B5734">
              <w:rPr>
                <w:i/>
                <w:iCs/>
                <w:noProof/>
                <w:sz w:val="18"/>
                <w:szCs w:val="20"/>
              </w:rPr>
              <w:t>This includes identifying and compiling all the information available on expected lifespans and procedures followed to assess them, as well as adjusting current data and systems to be able to start providing this information</w:t>
            </w:r>
          </w:p>
          <w:p w:rsidR="00EA45F9" w:rsidRPr="009B5734" w:rsidRDefault="00EA45F9" w:rsidP="00981615">
            <w:pPr>
              <w:pStyle w:val="TableTextNoSpace"/>
              <w:spacing w:line="276" w:lineRule="auto"/>
              <w:ind w:left="357" w:hanging="114"/>
              <w:jc w:val="center"/>
              <w:rPr>
                <w:noProof/>
                <w:sz w:val="18"/>
                <w:szCs w:val="20"/>
              </w:rPr>
            </w:pPr>
            <w:r w:rsidRPr="009B5734">
              <w:rPr>
                <w:noProof/>
                <w:sz w:val="18"/>
                <w:szCs w:val="20"/>
              </w:rPr>
              <w:t>SME: 4 weeks (35h X 4) of two employees working half-time a week, 140h</w:t>
            </w:r>
          </w:p>
          <w:p w:rsidR="00EA45F9" w:rsidRPr="009B5734" w:rsidRDefault="00EA45F9" w:rsidP="00981615">
            <w:pPr>
              <w:pStyle w:val="TableTextNoSpace"/>
              <w:spacing w:line="276" w:lineRule="auto"/>
              <w:ind w:left="357" w:hanging="114"/>
              <w:jc w:val="center"/>
              <w:rPr>
                <w:noProof/>
                <w:sz w:val="36"/>
                <w:szCs w:val="40"/>
              </w:rPr>
            </w:pPr>
            <w:r w:rsidRPr="009B5734">
              <w:rPr>
                <w:noProof/>
                <w:sz w:val="18"/>
                <w:szCs w:val="20"/>
              </w:rPr>
              <w:t>Large enterprises: 4 weeks (35h X 4) of four employees working half-time a week, 280h</w:t>
            </w:r>
          </w:p>
        </w:tc>
        <w:tc>
          <w:tcPr>
            <w:tcW w:w="1335" w:type="pct"/>
            <w:tcBorders>
              <w:top w:val="single" w:sz="4" w:space="0" w:color="auto"/>
              <w:left w:val="nil"/>
              <w:bottom w:val="single" w:sz="4" w:space="0" w:color="auto"/>
              <w:right w:val="nil"/>
            </w:tcBorders>
            <w:shd w:val="clear" w:color="auto" w:fill="auto"/>
            <w:vAlign w:val="center"/>
            <w:hideMark/>
          </w:tcPr>
          <w:p w:rsidR="00EA45F9" w:rsidRPr="009B5734" w:rsidRDefault="00EA45F9" w:rsidP="00981615">
            <w:pPr>
              <w:pStyle w:val="TableTextNoSpace"/>
              <w:spacing w:line="276" w:lineRule="auto"/>
              <w:ind w:left="169" w:firstLine="0"/>
              <w:jc w:val="center"/>
              <w:rPr>
                <w:i/>
                <w:iCs/>
                <w:noProof/>
                <w:sz w:val="18"/>
                <w:szCs w:val="20"/>
              </w:rPr>
            </w:pPr>
            <w:r w:rsidRPr="009B5734">
              <w:rPr>
                <w:noProof/>
                <w:sz w:val="18"/>
                <w:szCs w:val="20"/>
              </w:rPr>
              <w:t>Interviews with companies and industry associations</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 xml:space="preserve">Producing new data </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 per product model)</w:t>
            </w:r>
          </w:p>
        </w:tc>
        <w:tc>
          <w:tcPr>
            <w:tcW w:w="2637" w:type="pct"/>
            <w:tcBorders>
              <w:top w:val="single" w:sz="4" w:space="0" w:color="auto"/>
              <w:left w:val="nil"/>
              <w:bottom w:val="single" w:sz="4" w:space="0" w:color="auto"/>
              <w:right w:val="nil"/>
            </w:tcBorders>
            <w:shd w:val="clear" w:color="auto" w:fill="auto"/>
          </w:tcPr>
          <w:p w:rsidR="00EA45F9" w:rsidRPr="009B5734" w:rsidRDefault="00EA45F9" w:rsidP="00981615">
            <w:pPr>
              <w:pStyle w:val="TableTextNoSpace"/>
              <w:spacing w:line="276" w:lineRule="auto"/>
              <w:ind w:left="357" w:hanging="114"/>
              <w:jc w:val="center"/>
              <w:rPr>
                <w:i/>
                <w:iCs/>
                <w:noProof/>
                <w:color w:val="000000" w:themeColor="text1"/>
                <w:sz w:val="18"/>
                <w:szCs w:val="20"/>
              </w:rPr>
            </w:pPr>
            <w:r w:rsidRPr="009B5734">
              <w:rPr>
                <w:i/>
                <w:iCs/>
                <w:noProof/>
                <w:sz w:val="18"/>
                <w:szCs w:val="20"/>
              </w:rPr>
              <w:t>While the measure does not require the performance of tests to assess the lifespan of products, most companies will base their indication of the expected lifespan on some tests</w:t>
            </w:r>
          </w:p>
          <w:p w:rsidR="00EA45F9" w:rsidRPr="009B5734" w:rsidRDefault="00EA45F9" w:rsidP="00981615">
            <w:pPr>
              <w:pStyle w:val="TableTextNoSpace"/>
              <w:spacing w:line="276" w:lineRule="auto"/>
              <w:ind w:left="357" w:hanging="114"/>
              <w:rPr>
                <w:noProof/>
                <w:sz w:val="18"/>
                <w:szCs w:val="20"/>
              </w:rPr>
            </w:pPr>
            <w:r w:rsidRPr="009B5734">
              <w:rPr>
                <w:noProof/>
                <w:sz w:val="18"/>
                <w:szCs w:val="20"/>
              </w:rPr>
              <w:t>While non-business stakeholders indicated that companies already perform some tests to assess the lifespan of their products, consulted business indicated that it is not always the case, consequently we considered three scenarios in the analysis to test if this would have an impact on the conclusions regarding the merit of the measure:</w:t>
            </w:r>
          </w:p>
          <w:p w:rsidR="00EA45F9" w:rsidRPr="009B5734" w:rsidRDefault="00EA45F9" w:rsidP="00981615">
            <w:pPr>
              <w:pStyle w:val="TableTextNoSpace"/>
              <w:spacing w:line="276" w:lineRule="auto"/>
              <w:ind w:left="357" w:hanging="114"/>
              <w:rPr>
                <w:noProof/>
                <w:sz w:val="18"/>
                <w:szCs w:val="20"/>
              </w:rPr>
            </w:pPr>
            <w:r w:rsidRPr="009B5734">
              <w:rPr>
                <w:noProof/>
                <w:sz w:val="18"/>
                <w:szCs w:val="20"/>
              </w:rPr>
              <w:t>- 25% of manufacturers already assess the lifespan of their products</w:t>
            </w:r>
          </w:p>
          <w:p w:rsidR="00EA45F9" w:rsidRPr="009B5734" w:rsidRDefault="00EA45F9" w:rsidP="00981615">
            <w:pPr>
              <w:pStyle w:val="TableTextNoSpace"/>
              <w:spacing w:line="276" w:lineRule="auto"/>
              <w:ind w:left="357" w:hanging="114"/>
              <w:rPr>
                <w:noProof/>
                <w:sz w:val="18"/>
                <w:szCs w:val="20"/>
              </w:rPr>
            </w:pPr>
            <w:r w:rsidRPr="009B5734">
              <w:rPr>
                <w:noProof/>
                <w:sz w:val="18"/>
                <w:szCs w:val="20"/>
              </w:rPr>
              <w:t>- 50% of manufacturers already assess the lifespan of their products</w:t>
            </w:r>
          </w:p>
          <w:p w:rsidR="00EA45F9" w:rsidRPr="009B5734" w:rsidRDefault="00EA45F9" w:rsidP="00981615">
            <w:pPr>
              <w:pStyle w:val="TableTextNoSpace"/>
              <w:spacing w:line="276" w:lineRule="auto"/>
              <w:ind w:left="357" w:hanging="114"/>
              <w:rPr>
                <w:noProof/>
                <w:sz w:val="18"/>
                <w:szCs w:val="20"/>
              </w:rPr>
            </w:pPr>
            <w:r w:rsidRPr="009B5734">
              <w:rPr>
                <w:noProof/>
                <w:sz w:val="18"/>
                <w:szCs w:val="20"/>
              </w:rPr>
              <w:t>- 75% of manufacturers already assess the lifespan of their products</w:t>
            </w:r>
          </w:p>
          <w:p w:rsidR="00EA45F9" w:rsidRPr="009B5734" w:rsidRDefault="00EA45F9" w:rsidP="00981615">
            <w:pPr>
              <w:pStyle w:val="TableTextNoSpace"/>
              <w:spacing w:line="276" w:lineRule="auto"/>
              <w:ind w:left="357" w:hanging="114"/>
              <w:jc w:val="center"/>
              <w:rPr>
                <w:noProof/>
                <w:sz w:val="18"/>
                <w:szCs w:val="20"/>
              </w:rPr>
            </w:pPr>
          </w:p>
          <w:p w:rsidR="00EA45F9" w:rsidRPr="009B5734" w:rsidRDefault="00EA45F9" w:rsidP="00981615">
            <w:pPr>
              <w:pStyle w:val="TableTextNoSpace"/>
              <w:spacing w:line="276" w:lineRule="auto"/>
              <w:ind w:left="357" w:hanging="114"/>
              <w:rPr>
                <w:noProof/>
                <w:sz w:val="18"/>
                <w:szCs w:val="20"/>
              </w:rPr>
            </w:pPr>
            <w:r w:rsidRPr="009B5734">
              <w:rPr>
                <w:noProof/>
                <w:sz w:val="18"/>
                <w:szCs w:val="20"/>
              </w:rPr>
              <w:t>The total costs with tests are equal to the unit cost of one test times the number of models in the market initially (for which an assessment of the lifespan has not been conducted, depends on the scenario) and then, for each year, the number of new models introduced annually (for which an assessment of the lifespan would have not been conducted in the baseline, depends on the scenario).</w:t>
            </w:r>
          </w:p>
          <w:p w:rsidR="00EA45F9" w:rsidRPr="009B5734" w:rsidRDefault="00EA45F9" w:rsidP="00981615">
            <w:pPr>
              <w:pStyle w:val="TableTextNoSpace"/>
              <w:spacing w:line="276" w:lineRule="auto"/>
              <w:ind w:left="357" w:hanging="114"/>
              <w:rPr>
                <w:noProof/>
                <w:sz w:val="18"/>
                <w:szCs w:val="20"/>
              </w:rPr>
            </w:pPr>
            <w:r w:rsidRPr="009B5734">
              <w:rPr>
                <w:noProof/>
                <w:sz w:val="18"/>
                <w:szCs w:val="20"/>
              </w:rPr>
              <w:t xml:space="preserve">The cost of testing one new product model: </w:t>
            </w:r>
          </w:p>
          <w:p w:rsidR="00EA45F9" w:rsidRPr="009B5734" w:rsidRDefault="00EA45F9" w:rsidP="00981615">
            <w:pPr>
              <w:pStyle w:val="TableTextNoSpace"/>
              <w:numPr>
                <w:ilvl w:val="0"/>
                <w:numId w:val="184"/>
              </w:numPr>
              <w:spacing w:before="120" w:line="276" w:lineRule="auto"/>
              <w:ind w:left="357" w:right="0" w:hanging="114"/>
              <w:jc w:val="left"/>
              <w:rPr>
                <w:noProof/>
                <w:sz w:val="18"/>
                <w:szCs w:val="20"/>
              </w:rPr>
            </w:pPr>
            <w:r w:rsidRPr="009B5734">
              <w:rPr>
                <w:noProof/>
                <w:sz w:val="18"/>
                <w:szCs w:val="20"/>
              </w:rPr>
              <w:t>Large household appliances: follows a triangular distribution function with minimum value of EUR 3 200, peak value of six times the minimum number and maximum value of 12 times the minimum value.</w:t>
            </w:r>
          </w:p>
          <w:p w:rsidR="00EA45F9" w:rsidRPr="009B5734" w:rsidRDefault="00EA45F9" w:rsidP="00981615">
            <w:pPr>
              <w:pStyle w:val="TableTextNoSpace"/>
              <w:numPr>
                <w:ilvl w:val="0"/>
                <w:numId w:val="184"/>
              </w:numPr>
              <w:spacing w:before="120" w:line="276" w:lineRule="auto"/>
              <w:ind w:left="357" w:right="0" w:hanging="114"/>
              <w:jc w:val="left"/>
              <w:rPr>
                <w:noProof/>
                <w:sz w:val="18"/>
                <w:szCs w:val="20"/>
              </w:rPr>
            </w:pPr>
            <w:r w:rsidRPr="009B5734">
              <w:rPr>
                <w:noProof/>
                <w:sz w:val="18"/>
                <w:szCs w:val="20"/>
              </w:rPr>
              <w:t>Small household appliances: half of the costs for large household appliances.</w:t>
            </w:r>
          </w:p>
          <w:p w:rsidR="00EA45F9" w:rsidRPr="009B5734" w:rsidRDefault="00EA45F9" w:rsidP="00981615">
            <w:pPr>
              <w:pStyle w:val="TableTextNoSpace"/>
              <w:numPr>
                <w:ilvl w:val="0"/>
                <w:numId w:val="184"/>
              </w:numPr>
              <w:spacing w:before="120" w:line="276" w:lineRule="auto"/>
              <w:ind w:left="357" w:right="0" w:hanging="114"/>
              <w:jc w:val="left"/>
              <w:rPr>
                <w:noProof/>
                <w:sz w:val="18"/>
                <w:szCs w:val="20"/>
              </w:rPr>
            </w:pPr>
            <w:r w:rsidRPr="009B5734">
              <w:rPr>
                <w:noProof/>
                <w:sz w:val="18"/>
                <w:szCs w:val="20"/>
              </w:rPr>
              <w:t>ICT and other electronic products: as for the large household appliances.</w:t>
            </w:r>
          </w:p>
        </w:tc>
        <w:tc>
          <w:tcPr>
            <w:tcW w:w="1335" w:type="pct"/>
            <w:tcBorders>
              <w:top w:val="single" w:sz="4" w:space="0" w:color="auto"/>
              <w:left w:val="nil"/>
              <w:bottom w:val="single" w:sz="4" w:space="0" w:color="auto"/>
              <w:right w:val="nil"/>
            </w:tcBorders>
            <w:shd w:val="clear" w:color="auto" w:fill="auto"/>
            <w:vAlign w:val="center"/>
            <w:hideMark/>
          </w:tcPr>
          <w:p w:rsidR="00EA45F9" w:rsidRPr="009B5734" w:rsidRDefault="00EA45F9" w:rsidP="00981615">
            <w:pPr>
              <w:pStyle w:val="TableTextNoSpace"/>
              <w:spacing w:line="276" w:lineRule="auto"/>
              <w:ind w:left="169" w:firstLine="0"/>
              <w:jc w:val="center"/>
              <w:rPr>
                <w:rFonts w:cs="Arial"/>
                <w:noProof/>
                <w:sz w:val="18"/>
                <w:szCs w:val="18"/>
              </w:rPr>
            </w:pPr>
            <w:r w:rsidRPr="009B5734">
              <w:rPr>
                <w:noProof/>
                <w:sz w:val="18"/>
                <w:szCs w:val="18"/>
              </w:rPr>
              <w:t>The number of current and new product models was based on the data from Impact Assessment Reports of the Ecodesign regulations</w:t>
            </w:r>
            <w:r w:rsidRPr="009B5734">
              <w:rPr>
                <w:rStyle w:val="FootnoteReference"/>
                <w:noProof/>
                <w:sz w:val="18"/>
                <w:szCs w:val="18"/>
              </w:rPr>
              <w:footnoteReference w:id="159"/>
            </w:r>
            <w:r w:rsidRPr="009B5734">
              <w:rPr>
                <w:noProof/>
                <w:sz w:val="18"/>
                <w:szCs w:val="18"/>
              </w:rPr>
              <w:t xml:space="preserve"> complemented by </w:t>
            </w:r>
            <w:r w:rsidRPr="009B5734">
              <w:rPr>
                <w:rFonts w:cs="Arial"/>
                <w:noProof/>
                <w:sz w:val="18"/>
                <w:szCs w:val="18"/>
              </w:rPr>
              <w:t xml:space="preserve">desk research of the offer of main online retailers in different EU countries and the results of the written interviews with a few companies. Because of the relative uncertainty about this data, in the analysis this follows a uniform distribution function, with lower and upper limits defined for each type of products and based on the collected evidence. </w:t>
            </w:r>
          </w:p>
          <w:p w:rsidR="00EA45F9" w:rsidRPr="009B5734" w:rsidRDefault="00EA45F9" w:rsidP="00981615">
            <w:pPr>
              <w:pStyle w:val="TableTextNoSpace"/>
              <w:spacing w:line="276" w:lineRule="auto"/>
              <w:ind w:left="169" w:firstLine="0"/>
              <w:jc w:val="center"/>
              <w:rPr>
                <w:rFonts w:cs="Arial"/>
                <w:iCs/>
                <w:noProof/>
                <w:sz w:val="18"/>
                <w:szCs w:val="18"/>
              </w:rPr>
            </w:pPr>
            <w:r w:rsidRPr="00841F9B">
              <w:rPr>
                <w:rFonts w:cs="Arial"/>
                <w:noProof/>
                <w:sz w:val="18"/>
                <w:szCs w:val="18"/>
              </w:rPr>
              <w:t>The estimated costs of the tests were based on the views expressed by two experts and on an interview with a manufacturer complemented by the market data.</w:t>
            </w:r>
            <w:r w:rsidRPr="00841F9B">
              <w:rPr>
                <w:rStyle w:val="FootnoteReference"/>
                <w:rFonts w:cs="Arial"/>
                <w:noProof/>
                <w:sz w:val="18"/>
                <w:szCs w:val="18"/>
              </w:rPr>
              <w:footnoteReference w:id="160"/>
            </w:r>
            <w:r w:rsidRPr="00841F9B">
              <w:rPr>
                <w:rFonts w:cs="Arial"/>
                <w:noProof/>
                <w:sz w:val="18"/>
                <w:szCs w:val="18"/>
              </w:rPr>
              <w:t xml:space="preserve"> </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rFonts w:cstheme="minorBidi"/>
                <w:b/>
                <w:bCs/>
                <w:noProof/>
                <w:sz w:val="18"/>
                <w:szCs w:val="20"/>
              </w:rPr>
            </w:pPr>
            <w:r w:rsidRPr="009B5734">
              <w:rPr>
                <w:b/>
                <w:bCs/>
                <w:noProof/>
                <w:sz w:val="18"/>
                <w:szCs w:val="20"/>
              </w:rPr>
              <w:t>Designing and placing information material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hanging="114"/>
              <w:rPr>
                <w:i/>
                <w:iCs/>
                <w:noProof/>
                <w:color w:val="000000" w:themeColor="text1"/>
                <w:sz w:val="18"/>
                <w:szCs w:val="20"/>
              </w:rPr>
            </w:pPr>
            <w:r w:rsidRPr="009B5734">
              <w:rPr>
                <w:i/>
                <w:iCs/>
                <w:noProof/>
                <w:sz w:val="18"/>
                <w:szCs w:val="20"/>
              </w:rPr>
              <w:t>This includes:</w:t>
            </w:r>
          </w:p>
          <w:p w:rsidR="00EA45F9" w:rsidRPr="009B5734" w:rsidRDefault="00EA45F9" w:rsidP="00981615">
            <w:pPr>
              <w:pStyle w:val="TableTextNoSpace"/>
              <w:numPr>
                <w:ilvl w:val="0"/>
                <w:numId w:val="185"/>
              </w:numPr>
              <w:spacing w:before="120" w:line="276" w:lineRule="auto"/>
              <w:ind w:left="357" w:right="0" w:hanging="114"/>
              <w:jc w:val="center"/>
              <w:rPr>
                <w:i/>
                <w:iCs/>
                <w:noProof/>
                <w:sz w:val="18"/>
                <w:szCs w:val="20"/>
              </w:rPr>
            </w:pPr>
            <w:r w:rsidRPr="009B5734">
              <w:rPr>
                <w:i/>
                <w:iCs/>
                <w:noProof/>
                <w:sz w:val="18"/>
                <w:szCs w:val="20"/>
              </w:rPr>
              <w:t xml:space="preserve">the costs of redesigning existing packages of the goods to include the information (one-off cost): </w:t>
            </w:r>
            <w:r w:rsidRPr="009B5734">
              <w:rPr>
                <w:noProof/>
                <w:sz w:val="18"/>
                <w:szCs w:val="20"/>
              </w:rPr>
              <w:t>7h per package model.</w:t>
            </w:r>
          </w:p>
          <w:p w:rsidR="00EA45F9" w:rsidRPr="009B5734" w:rsidRDefault="00EA45F9" w:rsidP="00981615">
            <w:pPr>
              <w:pStyle w:val="TableTextNoSpace"/>
              <w:numPr>
                <w:ilvl w:val="0"/>
                <w:numId w:val="185"/>
              </w:numPr>
              <w:spacing w:before="120" w:line="276" w:lineRule="auto"/>
              <w:ind w:left="357" w:right="0" w:hanging="114"/>
              <w:jc w:val="left"/>
              <w:rPr>
                <w:i/>
                <w:iCs/>
                <w:noProof/>
                <w:sz w:val="18"/>
                <w:szCs w:val="20"/>
              </w:rPr>
            </w:pPr>
            <w:r w:rsidRPr="009B5734">
              <w:rPr>
                <w:i/>
                <w:iCs/>
                <w:noProof/>
                <w:sz w:val="18"/>
                <w:szCs w:val="20"/>
              </w:rPr>
              <w:t>the costs of printing stickers with the information for products in stock (which will be given to suppliers if needed). These costs are expected to be incurred in the 3 years after the implementation of the measure and will only continue beyond that for a small share of units (as a contingency in the analysis). The value is EUR 0.3.</w:t>
            </w:r>
          </w:p>
        </w:tc>
        <w:tc>
          <w:tcPr>
            <w:tcW w:w="1335" w:type="pct"/>
            <w:tcBorders>
              <w:top w:val="single" w:sz="4" w:space="0" w:color="auto"/>
              <w:left w:val="nil"/>
              <w:bottom w:val="single" w:sz="4" w:space="0" w:color="auto"/>
              <w:right w:val="nil"/>
            </w:tcBorders>
            <w:shd w:val="clear" w:color="auto" w:fill="auto"/>
            <w:vAlign w:val="center"/>
            <w:hideMark/>
          </w:tcPr>
          <w:p w:rsidR="00EA45F9" w:rsidRPr="009B5734" w:rsidRDefault="00EA45F9" w:rsidP="00981615">
            <w:pPr>
              <w:pStyle w:val="TableTextNoSpace"/>
              <w:spacing w:line="276" w:lineRule="auto"/>
              <w:ind w:left="169" w:firstLine="0"/>
              <w:jc w:val="center"/>
              <w:rPr>
                <w:noProof/>
                <w:sz w:val="18"/>
                <w:szCs w:val="20"/>
              </w:rPr>
            </w:pPr>
            <w:r w:rsidRPr="009B5734">
              <w:rPr>
                <w:noProof/>
                <w:sz w:val="18"/>
                <w:szCs w:val="20"/>
              </w:rPr>
              <w:t>Design costs: interviews with companies</w:t>
            </w:r>
          </w:p>
          <w:p w:rsidR="00EA45F9" w:rsidRPr="009B5734" w:rsidRDefault="00EA45F9" w:rsidP="00981615">
            <w:pPr>
              <w:pStyle w:val="TableTextNoSpace"/>
              <w:spacing w:line="276" w:lineRule="auto"/>
              <w:ind w:left="169" w:firstLine="0"/>
              <w:jc w:val="center"/>
              <w:rPr>
                <w:noProof/>
                <w:sz w:val="18"/>
                <w:szCs w:val="18"/>
              </w:rPr>
            </w:pPr>
            <w:r w:rsidRPr="009B5734">
              <w:rPr>
                <w:noProof/>
                <w:sz w:val="18"/>
                <w:szCs w:val="18"/>
              </w:rPr>
              <w:t>Cost of printing: Impact Assessment Reports of the Ecodesign regulations</w:t>
            </w:r>
            <w:r w:rsidRPr="009B5734">
              <w:rPr>
                <w:rStyle w:val="FootnoteReference"/>
                <w:noProof/>
                <w:sz w:val="18"/>
                <w:szCs w:val="18"/>
              </w:rPr>
              <w:footnoteReference w:id="161"/>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Adjust forms and tables (one-off)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hanging="114"/>
              <w:rPr>
                <w:i/>
                <w:iCs/>
                <w:noProof/>
                <w:color w:val="000000" w:themeColor="text1"/>
                <w:sz w:val="18"/>
                <w:szCs w:val="20"/>
              </w:rPr>
            </w:pPr>
            <w:r w:rsidRPr="009B5734">
              <w:rPr>
                <w:i/>
                <w:iCs/>
                <w:noProof/>
                <w:sz w:val="18"/>
                <w:szCs w:val="20"/>
              </w:rPr>
              <w:t>This includes re-designing existing forms to include data related to the measure. Filling in the tables/forms was considered business as usual (as the additional time spent on this is judged to be negligible)</w:t>
            </w:r>
          </w:p>
          <w:p w:rsidR="00EA45F9" w:rsidRPr="009B5734" w:rsidRDefault="00EA45F9" w:rsidP="00981615">
            <w:pPr>
              <w:pStyle w:val="TableTextNoSpace"/>
              <w:spacing w:line="276" w:lineRule="auto"/>
              <w:ind w:left="357" w:hanging="114"/>
              <w:rPr>
                <w:noProof/>
                <w:sz w:val="18"/>
                <w:szCs w:val="20"/>
              </w:rPr>
            </w:pPr>
            <w:r w:rsidRPr="009B5734">
              <w:rPr>
                <w:noProof/>
                <w:sz w:val="18"/>
                <w:szCs w:val="20"/>
              </w:rPr>
              <w:t>SME: [0.5,1]h manager + [7,14]h employee</w:t>
            </w:r>
          </w:p>
          <w:p w:rsidR="00EA45F9" w:rsidRPr="009B5734" w:rsidRDefault="00EA45F9" w:rsidP="00981615">
            <w:pPr>
              <w:pStyle w:val="TableTextNoSpace"/>
              <w:spacing w:line="276" w:lineRule="auto"/>
              <w:ind w:left="357" w:hanging="114"/>
              <w:rPr>
                <w:noProof/>
                <w:sz w:val="18"/>
                <w:szCs w:val="20"/>
              </w:rPr>
            </w:pPr>
            <w:r w:rsidRPr="009B5734">
              <w:rPr>
                <w:noProof/>
                <w:sz w:val="18"/>
                <w:szCs w:val="20"/>
              </w:rPr>
              <w:t>Large: [1,2]h manager + [14,21]h employee</w:t>
            </w:r>
          </w:p>
        </w:tc>
        <w:tc>
          <w:tcPr>
            <w:tcW w:w="1335" w:type="pct"/>
            <w:tcBorders>
              <w:top w:val="single" w:sz="4" w:space="0" w:color="auto"/>
              <w:left w:val="nil"/>
              <w:bottom w:val="single" w:sz="4" w:space="0" w:color="auto"/>
              <w:right w:val="nil"/>
            </w:tcBorders>
            <w:shd w:val="clear" w:color="auto" w:fill="auto"/>
            <w:vAlign w:val="center"/>
            <w:hideMark/>
          </w:tcPr>
          <w:p w:rsidR="00EA45F9" w:rsidRPr="009B5734" w:rsidRDefault="00EA45F9" w:rsidP="00981615">
            <w:pPr>
              <w:pStyle w:val="TableTextNoSpace"/>
              <w:spacing w:line="276" w:lineRule="auto"/>
              <w:ind w:left="169" w:firstLine="0"/>
              <w:rPr>
                <w:noProof/>
                <w:sz w:val="18"/>
                <w:szCs w:val="20"/>
              </w:rPr>
            </w:pPr>
            <w:r w:rsidRPr="009B5734">
              <w:rPr>
                <w:noProof/>
                <w:sz w:val="18"/>
                <w:szCs w:val="20"/>
              </w:rPr>
              <w:t>Interviews with companies and industry associations</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Inspections (internal and external)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hanging="114"/>
              <w:rPr>
                <w:i/>
                <w:iCs/>
                <w:noProof/>
                <w:color w:val="000000" w:themeColor="text1"/>
                <w:sz w:val="18"/>
                <w:szCs w:val="20"/>
              </w:rPr>
            </w:pPr>
            <w:r w:rsidRPr="009B5734">
              <w:rPr>
                <w:i/>
                <w:iCs/>
                <w:noProof/>
                <w:sz w:val="18"/>
                <w:szCs w:val="20"/>
              </w:rPr>
              <w:t>Internal inspections involve [0.5,1.75]h of a manager and 7h of an employee in the case of SMEs and [1,3.5]h of a manager and 14h in the case of large enterprises</w:t>
            </w:r>
          </w:p>
          <w:p w:rsidR="00EA45F9" w:rsidRPr="009B5734" w:rsidRDefault="00EA45F9" w:rsidP="00981615">
            <w:pPr>
              <w:pStyle w:val="TableTextNoSpace"/>
              <w:spacing w:line="276" w:lineRule="auto"/>
              <w:ind w:left="357" w:hanging="114"/>
              <w:rPr>
                <w:i/>
                <w:iCs/>
                <w:noProof/>
                <w:sz w:val="18"/>
                <w:szCs w:val="20"/>
              </w:rPr>
            </w:pPr>
            <w:r w:rsidRPr="009B5734">
              <w:rPr>
                <w:i/>
                <w:iCs/>
                <w:noProof/>
                <w:sz w:val="18"/>
                <w:szCs w:val="20"/>
              </w:rPr>
              <w:t xml:space="preserve">External inspections are expected to take place in less than 1% of the companies. Each external inspection will involve 3.5h manager and 7h of an employee. </w:t>
            </w:r>
          </w:p>
        </w:tc>
        <w:tc>
          <w:tcPr>
            <w:tcW w:w="1335" w:type="pct"/>
            <w:tcBorders>
              <w:top w:val="single" w:sz="4" w:space="0" w:color="auto"/>
              <w:left w:val="nil"/>
              <w:bottom w:val="single" w:sz="4" w:space="0" w:color="auto"/>
              <w:right w:val="nil"/>
            </w:tcBorders>
            <w:shd w:val="clear" w:color="auto" w:fill="auto"/>
            <w:vAlign w:val="center"/>
            <w:hideMark/>
          </w:tcPr>
          <w:p w:rsidR="00EA45F9" w:rsidRPr="009B5734" w:rsidRDefault="00EA45F9" w:rsidP="00981615">
            <w:pPr>
              <w:pStyle w:val="TableTextNoSpace"/>
              <w:spacing w:line="276" w:lineRule="auto"/>
              <w:ind w:left="169" w:firstLine="0"/>
              <w:rPr>
                <w:noProof/>
                <w:sz w:val="18"/>
                <w:szCs w:val="20"/>
              </w:rPr>
            </w:pPr>
            <w:r w:rsidRPr="009B5734">
              <w:rPr>
                <w:noProof/>
                <w:sz w:val="18"/>
                <w:szCs w:val="20"/>
              </w:rPr>
              <w:t>Interviews with companies and industry associations</w:t>
            </w:r>
          </w:p>
        </w:tc>
      </w:tr>
      <w:tr w:rsidR="00EA45F9" w:rsidRPr="009B5734" w:rsidTr="00C84A99">
        <w:trPr>
          <w:trHeight w:val="391"/>
        </w:trPr>
        <w:tc>
          <w:tcPr>
            <w:tcW w:w="5000" w:type="pct"/>
            <w:gridSpan w:val="3"/>
            <w:tcBorders>
              <w:top w:val="single" w:sz="4" w:space="0" w:color="auto"/>
              <w:left w:val="nil"/>
              <w:bottom w:val="single" w:sz="4" w:space="0" w:color="auto"/>
              <w:right w:val="nil"/>
            </w:tcBorders>
            <w:shd w:val="clear" w:color="auto" w:fill="DBE5F1" w:themeFill="accent1" w:themeFillTint="33"/>
            <w:hideMark/>
          </w:tcPr>
          <w:p w:rsidR="00EA45F9" w:rsidRPr="009B5734" w:rsidRDefault="00EA45F9" w:rsidP="00981615">
            <w:pPr>
              <w:pStyle w:val="TableHeadingWhite"/>
              <w:spacing w:line="276" w:lineRule="auto"/>
              <w:ind w:left="142" w:firstLine="0"/>
              <w:rPr>
                <w:noProof/>
                <w:sz w:val="18"/>
                <w:szCs w:val="20"/>
              </w:rPr>
            </w:pPr>
            <w:r w:rsidRPr="009B5734">
              <w:rPr>
                <w:noProof/>
                <w:sz w:val="18"/>
                <w:szCs w:val="20"/>
              </w:rPr>
              <w:t xml:space="preserve">Retailers </w:t>
            </w:r>
          </w:p>
        </w:tc>
      </w:tr>
      <w:tr w:rsidR="00EA45F9" w:rsidRPr="009B5734" w:rsidTr="00C84A99">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Familiarization with the measure</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hanging="114"/>
              <w:jc w:val="center"/>
              <w:rPr>
                <w:i/>
                <w:iCs/>
                <w:noProof/>
                <w:color w:val="000000" w:themeColor="text1"/>
                <w:sz w:val="18"/>
                <w:szCs w:val="20"/>
              </w:rPr>
            </w:pPr>
            <w:r w:rsidRPr="009B5734">
              <w:rPr>
                <w:i/>
                <w:iCs/>
                <w:noProof/>
                <w:sz w:val="18"/>
                <w:szCs w:val="20"/>
              </w:rPr>
              <w:t xml:space="preserve">This includes not only identifying the new obligations imposed by the measure but also analysing the necessary steps that need to be taken to comply with it </w:t>
            </w:r>
          </w:p>
          <w:p w:rsidR="00EA45F9" w:rsidRPr="009B5734" w:rsidRDefault="00EA45F9" w:rsidP="00981615">
            <w:pPr>
              <w:pStyle w:val="TableTextNoSpace"/>
              <w:spacing w:line="276" w:lineRule="auto"/>
              <w:ind w:left="357" w:hanging="114"/>
              <w:rPr>
                <w:noProof/>
                <w:sz w:val="18"/>
                <w:szCs w:val="20"/>
              </w:rPr>
            </w:pPr>
            <w:r w:rsidRPr="009B5734">
              <w:rPr>
                <w:noProof/>
                <w:sz w:val="18"/>
                <w:szCs w:val="20"/>
              </w:rPr>
              <w:t>SME: [7,17.5]h legal team, 7h commercial team</w:t>
            </w:r>
          </w:p>
          <w:p w:rsidR="00EA45F9" w:rsidRPr="009B5734" w:rsidRDefault="00EA45F9" w:rsidP="00981615">
            <w:pPr>
              <w:pStyle w:val="TableTextNoSpace"/>
              <w:spacing w:line="276" w:lineRule="auto"/>
              <w:ind w:left="357" w:hanging="114"/>
              <w:rPr>
                <w:noProof/>
                <w:sz w:val="18"/>
                <w:szCs w:val="20"/>
              </w:rPr>
            </w:pPr>
            <w:r w:rsidRPr="009B5734">
              <w:rPr>
                <w:noProof/>
                <w:sz w:val="18"/>
                <w:szCs w:val="20"/>
              </w:rPr>
              <w:t>Large Enterprises:  17.5h legal team, 14h commercial team</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69" w:firstLine="0"/>
              <w:rPr>
                <w:noProof/>
                <w:sz w:val="18"/>
                <w:szCs w:val="20"/>
              </w:rPr>
            </w:pPr>
            <w:r w:rsidRPr="009B5734">
              <w:rPr>
                <w:noProof/>
                <w:sz w:val="18"/>
                <w:szCs w:val="20"/>
              </w:rPr>
              <w:t>Interviews with companies and industry associations</w:t>
            </w:r>
          </w:p>
        </w:tc>
      </w:tr>
      <w:tr w:rsidR="00EA45F9" w:rsidRPr="009B5734" w:rsidTr="00C84A99">
        <w:trPr>
          <w:trHeight w:val="1263"/>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Training</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hanging="114"/>
              <w:jc w:val="center"/>
              <w:rPr>
                <w:i/>
                <w:iCs/>
                <w:noProof/>
                <w:color w:val="000000" w:themeColor="text1"/>
                <w:sz w:val="18"/>
                <w:szCs w:val="20"/>
              </w:rPr>
            </w:pPr>
            <w:r w:rsidRPr="009B5734">
              <w:rPr>
                <w:i/>
                <w:iCs/>
                <w:noProof/>
                <w:sz w:val="18"/>
                <w:szCs w:val="20"/>
              </w:rPr>
              <w:t xml:space="preserve">This includes an initial training of managers and key employees. To ensure that staff is able to properly explain what the indicated expected lifespan means we consider the need for: </w:t>
            </w:r>
          </w:p>
          <w:p w:rsidR="00EA45F9" w:rsidRPr="009B5734" w:rsidRDefault="00EA45F9" w:rsidP="00981615">
            <w:pPr>
              <w:pStyle w:val="TableTextNoSpace"/>
              <w:spacing w:line="276" w:lineRule="auto"/>
              <w:ind w:left="357" w:hanging="114"/>
              <w:rPr>
                <w:noProof/>
                <w:sz w:val="18"/>
                <w:szCs w:val="20"/>
              </w:rPr>
            </w:pPr>
            <w:r w:rsidRPr="009B5734">
              <w:rPr>
                <w:noProof/>
                <w:sz w:val="18"/>
                <w:szCs w:val="20"/>
              </w:rPr>
              <w:t>SME: 0.5h manager + 4h key employees</w:t>
            </w:r>
          </w:p>
          <w:p w:rsidR="00EA45F9" w:rsidRPr="009B5734" w:rsidRDefault="00EA45F9" w:rsidP="00981615">
            <w:pPr>
              <w:pStyle w:val="TableTextNoSpace"/>
              <w:spacing w:line="276" w:lineRule="auto"/>
              <w:ind w:left="357" w:hanging="114"/>
              <w:rPr>
                <w:noProof/>
                <w:sz w:val="18"/>
                <w:szCs w:val="20"/>
              </w:rPr>
            </w:pPr>
            <w:r w:rsidRPr="009B5734">
              <w:rPr>
                <w:noProof/>
                <w:sz w:val="18"/>
                <w:szCs w:val="20"/>
              </w:rPr>
              <w:t>Large enterprises: 1h managers + 8h key employees</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69" w:firstLine="0"/>
              <w:rPr>
                <w:noProof/>
                <w:sz w:val="18"/>
                <w:szCs w:val="20"/>
              </w:rPr>
            </w:pPr>
            <w:r w:rsidRPr="009B5734">
              <w:rPr>
                <w:noProof/>
                <w:sz w:val="18"/>
                <w:szCs w:val="20"/>
              </w:rPr>
              <w:t>Interviews with companies and industry associations</w:t>
            </w:r>
          </w:p>
        </w:tc>
      </w:tr>
      <w:tr w:rsidR="00EA45F9" w:rsidRPr="009B5734" w:rsidTr="00C84A99">
        <w:trPr>
          <w:trHeight w:val="558"/>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Retrieving relevant information from existing data and adjusting existing data</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hanging="114"/>
              <w:jc w:val="center"/>
              <w:rPr>
                <w:noProof/>
                <w:color w:val="000000" w:themeColor="text1"/>
                <w:sz w:val="36"/>
                <w:szCs w:val="36"/>
              </w:rPr>
            </w:pPr>
            <w:r w:rsidRPr="009B5734">
              <w:rPr>
                <w:noProof/>
                <w:sz w:val="36"/>
                <w:szCs w:val="36"/>
              </w:rPr>
              <w:t>-</w:t>
            </w:r>
          </w:p>
        </w:tc>
        <w:tc>
          <w:tcPr>
            <w:tcW w:w="1335" w:type="pct"/>
            <w:tcBorders>
              <w:top w:val="single" w:sz="4" w:space="0" w:color="auto"/>
              <w:left w:val="nil"/>
              <w:bottom w:val="single" w:sz="4" w:space="0" w:color="auto"/>
              <w:right w:val="nil"/>
            </w:tcBorders>
            <w:shd w:val="clear" w:color="auto" w:fill="auto"/>
          </w:tcPr>
          <w:p w:rsidR="00EA45F9" w:rsidRPr="009B5734" w:rsidRDefault="00EA45F9" w:rsidP="00981615">
            <w:pPr>
              <w:pStyle w:val="TableTextNoSpace"/>
              <w:spacing w:line="276" w:lineRule="auto"/>
              <w:ind w:left="169" w:firstLine="0"/>
              <w:rPr>
                <w:i/>
                <w:iCs/>
                <w:noProof/>
                <w:sz w:val="18"/>
                <w:szCs w:val="20"/>
              </w:rPr>
            </w:pP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Producing new data</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hanging="114"/>
              <w:jc w:val="center"/>
              <w:rPr>
                <w:noProof/>
                <w:color w:val="000000" w:themeColor="text1"/>
                <w:sz w:val="18"/>
                <w:szCs w:val="18"/>
              </w:rPr>
            </w:pPr>
            <w:r w:rsidRPr="009B5734">
              <w:rPr>
                <w:noProof/>
                <w:sz w:val="36"/>
                <w:szCs w:val="36"/>
              </w:rPr>
              <w:t>-</w:t>
            </w: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169" w:firstLine="0"/>
              <w:rPr>
                <w:iCs/>
                <w:noProof/>
                <w:sz w:val="18"/>
                <w:szCs w:val="20"/>
              </w:rPr>
            </w:pP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Designing and placing information material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hanging="114"/>
              <w:rPr>
                <w:i/>
                <w:iCs/>
                <w:noProof/>
                <w:color w:val="000000" w:themeColor="text1"/>
                <w:sz w:val="18"/>
                <w:szCs w:val="20"/>
              </w:rPr>
            </w:pPr>
            <w:r w:rsidRPr="009B5734">
              <w:rPr>
                <w:i/>
                <w:iCs/>
                <w:noProof/>
                <w:sz w:val="18"/>
                <w:szCs w:val="20"/>
              </w:rPr>
              <w:t>This includes the costs of sticking stickers provided by manufacturers or importers on products in stock.</w:t>
            </w:r>
          </w:p>
          <w:p w:rsidR="00EA45F9" w:rsidRPr="009B5734" w:rsidRDefault="00EA45F9" w:rsidP="00981615">
            <w:pPr>
              <w:pStyle w:val="TableTextNoSpace"/>
              <w:spacing w:line="276" w:lineRule="auto"/>
              <w:ind w:left="357" w:hanging="114"/>
              <w:rPr>
                <w:i/>
                <w:iCs/>
                <w:noProof/>
                <w:sz w:val="18"/>
                <w:szCs w:val="20"/>
              </w:rPr>
            </w:pPr>
            <w:r w:rsidRPr="009B5734">
              <w:rPr>
                <w:i/>
                <w:iCs/>
                <w:noProof/>
                <w:sz w:val="18"/>
                <w:szCs w:val="20"/>
              </w:rPr>
              <w:t>Given that the measure will take about 2 years to be implemented, the number of units without the information is considered to be about 2.5% of the volume of sales. The costs to stick a sticker is equal to 5 minutes of labour.</w:t>
            </w:r>
          </w:p>
        </w:tc>
        <w:tc>
          <w:tcPr>
            <w:tcW w:w="1335" w:type="pct"/>
            <w:tcBorders>
              <w:top w:val="single" w:sz="4" w:space="0" w:color="auto"/>
              <w:left w:val="nil"/>
              <w:bottom w:val="single" w:sz="4" w:space="0" w:color="auto"/>
              <w:right w:val="nil"/>
            </w:tcBorders>
            <w:shd w:val="clear" w:color="auto" w:fill="auto"/>
            <w:vAlign w:val="center"/>
            <w:hideMark/>
          </w:tcPr>
          <w:p w:rsidR="00EA45F9" w:rsidRPr="009B5734" w:rsidRDefault="00EA45F9" w:rsidP="00981615">
            <w:pPr>
              <w:pStyle w:val="TableTextNoSpace"/>
              <w:spacing w:line="276" w:lineRule="auto"/>
              <w:ind w:left="169" w:firstLine="0"/>
              <w:jc w:val="center"/>
              <w:rPr>
                <w:noProof/>
                <w:sz w:val="18"/>
                <w:szCs w:val="18"/>
              </w:rPr>
            </w:pPr>
            <w:r w:rsidRPr="009B5734">
              <w:rPr>
                <w:noProof/>
                <w:sz w:val="18"/>
                <w:szCs w:val="18"/>
              </w:rPr>
              <w:t>Stock percentage and time required to stick a sticker in line with Impact Assessment Reports of the Ecodesign regulations</w:t>
            </w:r>
            <w:r w:rsidRPr="009B5734">
              <w:rPr>
                <w:rStyle w:val="FootnoteReference"/>
                <w:noProof/>
                <w:sz w:val="18"/>
                <w:szCs w:val="18"/>
              </w:rPr>
              <w:footnoteReference w:id="162"/>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Adjust forms and tables (one-off)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hanging="114"/>
              <w:jc w:val="center"/>
              <w:rPr>
                <w:noProof/>
                <w:color w:val="000000" w:themeColor="text1"/>
                <w:sz w:val="18"/>
                <w:szCs w:val="18"/>
              </w:rPr>
            </w:pPr>
            <w:r w:rsidRPr="009B5734">
              <w:rPr>
                <w:noProof/>
                <w:sz w:val="36"/>
                <w:szCs w:val="36"/>
              </w:rPr>
              <w:t>-</w:t>
            </w: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169" w:firstLine="0"/>
              <w:jc w:val="center"/>
              <w:rPr>
                <w:noProof/>
                <w:sz w:val="18"/>
                <w:szCs w:val="20"/>
              </w:rPr>
            </w:pP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Inspections (internal and external)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hanging="114"/>
              <w:jc w:val="center"/>
              <w:rPr>
                <w:i/>
                <w:iCs/>
                <w:noProof/>
                <w:color w:val="000000" w:themeColor="text1"/>
                <w:sz w:val="18"/>
                <w:szCs w:val="20"/>
              </w:rPr>
            </w:pPr>
            <w:r w:rsidRPr="009B5734">
              <w:rPr>
                <w:i/>
                <w:iCs/>
                <w:noProof/>
                <w:sz w:val="18"/>
                <w:szCs w:val="20"/>
              </w:rPr>
              <w:t xml:space="preserve">None as it is assumed that the information will be provided on the product by default </w:t>
            </w: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169" w:firstLine="0"/>
              <w:jc w:val="center"/>
              <w:rPr>
                <w:noProof/>
                <w:sz w:val="18"/>
                <w:szCs w:val="20"/>
              </w:rPr>
            </w:pPr>
          </w:p>
        </w:tc>
      </w:tr>
    </w:tbl>
    <w:p w:rsidR="00EA45F9" w:rsidRPr="009B5734" w:rsidRDefault="00EA45F9" w:rsidP="00EA45F9">
      <w:pPr>
        <w:rPr>
          <w:rFonts w:ascii="Verdana" w:hAnsi="Verdana"/>
          <w:noProof/>
          <w:color w:val="000000" w:themeColor="text1"/>
          <w:sz w:val="20"/>
        </w:rPr>
      </w:pPr>
    </w:p>
    <w:p w:rsidR="00EA45F9" w:rsidRPr="009B5734" w:rsidRDefault="00EA45F9" w:rsidP="00EA45F9">
      <w:pPr>
        <w:pStyle w:val="Titlecost"/>
        <w:rPr>
          <w:rFonts w:ascii="Times New Roman" w:hAnsi="Times New Roman" w:cs="Times New Roman"/>
          <w:noProof/>
          <w:sz w:val="24"/>
          <w:szCs w:val="24"/>
        </w:rPr>
      </w:pPr>
      <w:r w:rsidRPr="009B5734">
        <w:rPr>
          <w:rFonts w:ascii="Times New Roman" w:hAnsi="Times New Roman" w:cs="Times New Roman"/>
          <w:noProof/>
          <w:sz w:val="24"/>
          <w:szCs w:val="24"/>
        </w:rPr>
        <w:t>Enforcement costs</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Based on interviews with some CPC authorities, it is assumed that Member States (possibly with the exception of France) would have to create a dedicated team to enforce this measure. The size of the team would be around 5 experts. 25% of their time would be dedicated to monitoring the compliance with the measure, 50% would be to carry out inspections and 25% with handling complaints. We estimate that the number of complaints that can be handled given the available resources will be around 700 per year per Member State (Average as some will significantly more and others significantly less). We then assumed that about 1% will be dealt with through ADR bodies and 0.1% in courts. The costs of an ADR body adjudication and of a court adjudication were obtained from the Impact Assessment of CPC authorities and supporting study</w:t>
      </w:r>
      <w:r w:rsidRPr="009B5734">
        <w:rPr>
          <w:rStyle w:val="FootnoteReference"/>
          <w:rFonts w:ascii="Times New Roman" w:hAnsi="Times New Roman" w:cs="Times New Roman"/>
          <w:noProof/>
          <w:sz w:val="24"/>
          <w:szCs w:val="24"/>
        </w:rPr>
        <w:footnoteReference w:id="163"/>
      </w:r>
      <w:r w:rsidRPr="009B5734">
        <w:rPr>
          <w:rFonts w:ascii="Times New Roman" w:hAnsi="Times New Roman" w:cs="Times New Roman"/>
          <w:noProof/>
          <w:sz w:val="24"/>
          <w:szCs w:val="24"/>
        </w:rPr>
        <w:t xml:space="preserve">. </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We assumed 140h for familiarization with the measure and adjust the internal procedures to start enforcing the measure. 16 employees will receive a 7h training.</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It is also assumed that there will be a yearly action per Member State, which will amount to EUR 40,000 (based on market research).</w:t>
      </w:r>
    </w:p>
    <w:p w:rsidR="00EA45F9" w:rsidRPr="009B5734" w:rsidRDefault="00EA45F9" w:rsidP="00EA45F9">
      <w:pPr>
        <w:pStyle w:val="Titlecost"/>
        <w:rPr>
          <w:rFonts w:ascii="Times New Roman" w:hAnsi="Times New Roman" w:cs="Times New Roman"/>
          <w:noProof/>
          <w:sz w:val="24"/>
          <w:szCs w:val="24"/>
        </w:rPr>
      </w:pPr>
      <w:r w:rsidRPr="009B5734">
        <w:rPr>
          <w:rFonts w:ascii="Times New Roman" w:hAnsi="Times New Roman" w:cs="Times New Roman"/>
          <w:noProof/>
          <w:sz w:val="24"/>
          <w:szCs w:val="24"/>
        </w:rPr>
        <w:t>Impact on monetisable consumer welfare</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approach followed to monetize the consumer welfare is illustrated in the figure below.</w:t>
      </w:r>
    </w:p>
    <w:p w:rsidR="00EA45F9" w:rsidRPr="009B5734" w:rsidRDefault="00EA45F9" w:rsidP="00EA45F9">
      <w:pPr>
        <w:rPr>
          <w:noProof/>
        </w:rPr>
      </w:pPr>
    </w:p>
    <w:p w:rsidR="00EA45F9" w:rsidRPr="009B5734" w:rsidRDefault="00EA45F9" w:rsidP="00EA45F9">
      <w:pPr>
        <w:rPr>
          <w:noProof/>
        </w:rPr>
      </w:pPr>
      <w:r w:rsidRPr="009B5734">
        <w:rPr>
          <w:noProof/>
          <w:lang w:eastAsia="en-GB"/>
        </w:rPr>
        <w:drawing>
          <wp:inline distT="0" distB="0" distL="0" distR="0" wp14:anchorId="07D6DD5E" wp14:editId="58F7018A">
            <wp:extent cx="5584825" cy="20154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84825" cy="2015490"/>
                    </a:xfrm>
                    <a:prstGeom prst="rect">
                      <a:avLst/>
                    </a:prstGeom>
                    <a:noFill/>
                    <a:ln>
                      <a:noFill/>
                    </a:ln>
                  </pic:spPr>
                </pic:pic>
              </a:graphicData>
            </a:graphic>
          </wp:inline>
        </w:drawing>
      </w:r>
    </w:p>
    <w:p w:rsidR="00EA45F9" w:rsidRPr="009B5734" w:rsidRDefault="00EA45F9" w:rsidP="00EA45F9">
      <w:pPr>
        <w:rPr>
          <w:noProof/>
        </w:rPr>
      </w:pPr>
    </w:p>
    <w:tbl>
      <w:tblPr>
        <w:tblW w:w="4916" w:type="pct"/>
        <w:tblBorders>
          <w:top w:val="single" w:sz="4" w:space="0" w:color="auto"/>
          <w:bottom w:val="single" w:sz="4" w:space="0" w:color="auto"/>
          <w:insideH w:val="single" w:sz="4" w:space="0" w:color="auto"/>
        </w:tblBorders>
        <w:shd w:val="solid" w:color="F2F2F2" w:fill="F2F2F2"/>
        <w:tblCellMar>
          <w:left w:w="0" w:type="dxa"/>
          <w:right w:w="0" w:type="dxa"/>
        </w:tblCellMar>
        <w:tblLook w:val="04A0" w:firstRow="1" w:lastRow="0" w:firstColumn="1" w:lastColumn="0" w:noHBand="0" w:noVBand="1"/>
      </w:tblPr>
      <w:tblGrid>
        <w:gridCol w:w="1742"/>
        <w:gridCol w:w="4468"/>
        <w:gridCol w:w="2262"/>
      </w:tblGrid>
      <w:tr w:rsidR="00EA45F9" w:rsidRPr="009B5734" w:rsidTr="00981615">
        <w:trPr>
          <w:trHeight w:val="727"/>
        </w:trPr>
        <w:tc>
          <w:tcPr>
            <w:tcW w:w="1028" w:type="pct"/>
            <w:tcBorders>
              <w:top w:val="single" w:sz="4" w:space="0" w:color="auto"/>
              <w:left w:val="nil"/>
              <w:bottom w:val="single" w:sz="4" w:space="0" w:color="auto"/>
              <w:right w:val="nil"/>
            </w:tcBorders>
            <w:shd w:val="solid" w:color="002395" w:fill="002395"/>
          </w:tcPr>
          <w:p w:rsidR="00EA45F9" w:rsidRPr="009B5734" w:rsidRDefault="00EA45F9" w:rsidP="00981615">
            <w:pPr>
              <w:pStyle w:val="TableHeadingWhite"/>
              <w:spacing w:line="276" w:lineRule="auto"/>
              <w:ind w:left="0" w:firstLine="0"/>
              <w:rPr>
                <w:noProof/>
                <w:sz w:val="18"/>
                <w:szCs w:val="20"/>
              </w:rPr>
            </w:pPr>
          </w:p>
        </w:tc>
        <w:tc>
          <w:tcPr>
            <w:tcW w:w="2637" w:type="pct"/>
            <w:tcBorders>
              <w:top w:val="single" w:sz="4" w:space="0" w:color="auto"/>
              <w:left w:val="nil"/>
              <w:bottom w:val="single" w:sz="4" w:space="0" w:color="auto"/>
              <w:right w:val="nil"/>
            </w:tcBorders>
            <w:shd w:val="solid" w:color="002395" w:fill="002395"/>
            <w:hideMark/>
          </w:tcPr>
          <w:p w:rsidR="00EA45F9" w:rsidRPr="009B5734" w:rsidRDefault="00EA45F9" w:rsidP="00981615">
            <w:pPr>
              <w:pStyle w:val="TableHeadingWhite"/>
              <w:spacing w:line="276" w:lineRule="auto"/>
              <w:ind w:left="93" w:firstLine="0"/>
              <w:jc w:val="center"/>
              <w:rPr>
                <w:noProof/>
                <w:sz w:val="18"/>
                <w:szCs w:val="20"/>
              </w:rPr>
            </w:pPr>
            <w:r w:rsidRPr="009B5734">
              <w:rPr>
                <w:noProof/>
                <w:sz w:val="18"/>
                <w:szCs w:val="20"/>
              </w:rPr>
              <w:t>Assumption</w:t>
            </w:r>
          </w:p>
        </w:tc>
        <w:tc>
          <w:tcPr>
            <w:tcW w:w="1335" w:type="pct"/>
            <w:tcBorders>
              <w:top w:val="single" w:sz="4" w:space="0" w:color="auto"/>
              <w:left w:val="nil"/>
              <w:bottom w:val="single" w:sz="4" w:space="0" w:color="auto"/>
              <w:right w:val="nil"/>
            </w:tcBorders>
            <w:shd w:val="solid" w:color="002395" w:fill="002395"/>
            <w:hideMark/>
          </w:tcPr>
          <w:p w:rsidR="00EA45F9" w:rsidRPr="009B5734" w:rsidRDefault="00EA45F9" w:rsidP="00981615">
            <w:pPr>
              <w:pStyle w:val="TableHeadingWhite"/>
              <w:spacing w:line="276" w:lineRule="auto"/>
              <w:ind w:left="170" w:firstLine="0"/>
              <w:jc w:val="center"/>
              <w:rPr>
                <w:noProof/>
                <w:sz w:val="18"/>
                <w:szCs w:val="20"/>
              </w:rPr>
            </w:pPr>
            <w:r w:rsidRPr="009B5734">
              <w:rPr>
                <w:noProof/>
                <w:sz w:val="18"/>
                <w:szCs w:val="20"/>
              </w:rPr>
              <w:t>Source</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0" w:firstLine="0"/>
              <w:rPr>
                <w:b/>
                <w:bCs/>
                <w:noProof/>
                <w:sz w:val="18"/>
                <w:szCs w:val="20"/>
              </w:rPr>
            </w:pPr>
            <w:r w:rsidRPr="009B5734">
              <w:rPr>
                <w:b/>
                <w:bCs/>
                <w:noProof/>
                <w:sz w:val="18"/>
                <w:szCs w:val="20"/>
              </w:rPr>
              <w:t>Share of consumers willing to pay 10% or more for a product that lasts longer</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firstLine="0"/>
              <w:jc w:val="center"/>
              <w:rPr>
                <w:noProof/>
                <w:color w:val="000000" w:themeColor="text1"/>
                <w:sz w:val="18"/>
                <w:szCs w:val="20"/>
              </w:rPr>
            </w:pPr>
            <w:r w:rsidRPr="009B5734">
              <w:rPr>
                <w:noProof/>
                <w:sz w:val="18"/>
                <w:szCs w:val="20"/>
              </w:rPr>
              <w:t>11%-15% depending on the product type</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 xml:space="preserve">Consumer survey </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0" w:firstLine="0"/>
              <w:rPr>
                <w:b/>
                <w:bCs/>
                <w:noProof/>
                <w:sz w:val="18"/>
                <w:szCs w:val="20"/>
              </w:rPr>
            </w:pPr>
            <w:r w:rsidRPr="009B5734">
              <w:rPr>
                <w:b/>
                <w:bCs/>
                <w:noProof/>
                <w:sz w:val="18"/>
                <w:szCs w:val="20"/>
              </w:rPr>
              <w:t>Average price of goods</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firstLine="0"/>
              <w:jc w:val="center"/>
              <w:rPr>
                <w:noProof/>
                <w:color w:val="000000" w:themeColor="text1"/>
                <w:sz w:val="18"/>
                <w:szCs w:val="20"/>
              </w:rPr>
            </w:pPr>
            <w:r w:rsidRPr="009B5734">
              <w:rPr>
                <w:noProof/>
                <w:sz w:val="18"/>
                <w:szCs w:val="20"/>
              </w:rPr>
              <w:t>Depends on the good</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 xml:space="preserve">Statista (see </w:t>
            </w:r>
            <w:hyperlink w:anchor="_Annex_7:_Overview" w:history="1">
              <w:r w:rsidRPr="009B5734">
                <w:rPr>
                  <w:rStyle w:val="Hyperlink"/>
                  <w:noProof/>
                  <w:sz w:val="18"/>
                  <w:szCs w:val="20"/>
                </w:rPr>
                <w:t>Annex 7</w:t>
              </w:r>
            </w:hyperlink>
            <w:r w:rsidRPr="009B5734">
              <w:rPr>
                <w:noProof/>
                <w:sz w:val="18"/>
                <w:szCs w:val="20"/>
              </w:rPr>
              <w:t>)</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0" w:firstLine="0"/>
              <w:rPr>
                <w:b/>
                <w:bCs/>
                <w:noProof/>
                <w:sz w:val="18"/>
                <w:szCs w:val="20"/>
              </w:rPr>
            </w:pPr>
            <w:r w:rsidRPr="009B5734">
              <w:rPr>
                <w:b/>
                <w:bCs/>
                <w:noProof/>
                <w:sz w:val="18"/>
                <w:szCs w:val="20"/>
              </w:rPr>
              <w:t xml:space="preserve">Likelihood of a consumer finding an alternative that lasts longer within an acceptable price range  </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firstLine="0"/>
              <w:jc w:val="center"/>
              <w:rPr>
                <w:noProof/>
                <w:color w:val="000000" w:themeColor="text1"/>
                <w:sz w:val="18"/>
                <w:szCs w:val="20"/>
              </w:rPr>
            </w:pPr>
            <w:r w:rsidRPr="009B5734">
              <w:rPr>
                <w:noProof/>
                <w:sz w:val="18"/>
                <w:szCs w:val="20"/>
              </w:rPr>
              <w:t>The uncertainty regarding this parameter required us to define it as a uniform distribution function with a lower limit of 0.3 and an upper limit of 0.5.</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Expert judgement by a panel</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0" w:firstLine="0"/>
              <w:rPr>
                <w:b/>
                <w:bCs/>
                <w:noProof/>
                <w:sz w:val="18"/>
                <w:szCs w:val="20"/>
              </w:rPr>
            </w:pPr>
            <w:r w:rsidRPr="009B5734">
              <w:rPr>
                <w:b/>
                <w:bCs/>
                <w:noProof/>
                <w:sz w:val="18"/>
                <w:szCs w:val="20"/>
              </w:rPr>
              <w:t>Reliability of the information</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firstLine="0"/>
              <w:rPr>
                <w:noProof/>
                <w:color w:val="000000" w:themeColor="text1"/>
                <w:sz w:val="18"/>
                <w:szCs w:val="20"/>
              </w:rPr>
            </w:pPr>
            <w:r w:rsidRPr="009B5734">
              <w:rPr>
                <w:noProof/>
                <w:sz w:val="18"/>
                <w:szCs w:val="20"/>
              </w:rPr>
              <w:t>Two scenarios were tested given the uncertainty regarding how reliable the information on expected lifespans indicated by companies (even if the information is based on tests, the assumptions used on those tests might lead to results that are not verified when the good are used by normal users under normal conditions):</w:t>
            </w:r>
          </w:p>
          <w:p w:rsidR="00EA45F9" w:rsidRPr="009B5734" w:rsidRDefault="00EA45F9" w:rsidP="00981615">
            <w:pPr>
              <w:pStyle w:val="TableTextNoSpace"/>
              <w:numPr>
                <w:ilvl w:val="0"/>
                <w:numId w:val="186"/>
              </w:numPr>
              <w:spacing w:before="120" w:line="276" w:lineRule="auto"/>
              <w:ind w:left="93" w:right="0" w:firstLine="0"/>
              <w:jc w:val="left"/>
              <w:rPr>
                <w:noProof/>
                <w:sz w:val="18"/>
                <w:szCs w:val="20"/>
              </w:rPr>
            </w:pPr>
            <w:r w:rsidRPr="009B5734">
              <w:rPr>
                <w:noProof/>
                <w:sz w:val="18"/>
                <w:szCs w:val="20"/>
              </w:rPr>
              <w:t>low-moderate reliability (40%)</w:t>
            </w:r>
          </w:p>
          <w:p w:rsidR="00EA45F9" w:rsidRPr="009B5734" w:rsidRDefault="00EA45F9" w:rsidP="00981615">
            <w:pPr>
              <w:pStyle w:val="TableTextNoSpace"/>
              <w:numPr>
                <w:ilvl w:val="0"/>
                <w:numId w:val="186"/>
              </w:numPr>
              <w:spacing w:before="120" w:line="276" w:lineRule="auto"/>
              <w:ind w:left="93" w:right="0" w:firstLine="0"/>
              <w:jc w:val="left"/>
              <w:rPr>
                <w:noProof/>
                <w:sz w:val="18"/>
                <w:szCs w:val="20"/>
              </w:rPr>
            </w:pPr>
            <w:r w:rsidRPr="009B5734">
              <w:rPr>
                <w:noProof/>
                <w:sz w:val="18"/>
                <w:szCs w:val="20"/>
              </w:rPr>
              <w:t>moderate-high reliability (60%)</w:t>
            </w:r>
          </w:p>
        </w:tc>
        <w:tc>
          <w:tcPr>
            <w:tcW w:w="1335" w:type="pct"/>
            <w:tcBorders>
              <w:top w:val="single" w:sz="4" w:space="0" w:color="auto"/>
              <w:left w:val="nil"/>
              <w:bottom w:val="single" w:sz="4" w:space="0" w:color="auto"/>
              <w:right w:val="nil"/>
            </w:tcBorders>
            <w:shd w:val="clear" w:color="auto" w:fill="auto"/>
            <w:vAlign w:val="center"/>
            <w:hideMark/>
          </w:tcPr>
          <w:p w:rsidR="00EA45F9" w:rsidRPr="009B5734" w:rsidRDefault="00EA45F9" w:rsidP="00981615">
            <w:pPr>
              <w:pStyle w:val="TableTextNoSpace"/>
              <w:spacing w:line="276" w:lineRule="auto"/>
              <w:ind w:left="170" w:firstLine="0"/>
              <w:jc w:val="center"/>
              <w:rPr>
                <w:noProof/>
                <w:sz w:val="18"/>
                <w:szCs w:val="20"/>
              </w:rPr>
            </w:pPr>
            <w:r w:rsidRPr="009B5734">
              <w:rPr>
                <w:noProof/>
                <w:sz w:val="18"/>
                <w:szCs w:val="20"/>
              </w:rPr>
              <w:t>Expert judgement by a panel</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0" w:firstLine="0"/>
              <w:rPr>
                <w:b/>
                <w:bCs/>
                <w:noProof/>
                <w:sz w:val="18"/>
                <w:szCs w:val="20"/>
              </w:rPr>
            </w:pPr>
            <w:r w:rsidRPr="009B5734">
              <w:rPr>
                <w:b/>
                <w:bCs/>
                <w:noProof/>
                <w:sz w:val="18"/>
                <w:szCs w:val="20"/>
              </w:rPr>
              <w:t>Current lifespan of products</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firstLine="0"/>
              <w:jc w:val="center"/>
              <w:rPr>
                <w:noProof/>
                <w:color w:val="000000" w:themeColor="text1"/>
                <w:sz w:val="18"/>
                <w:szCs w:val="20"/>
              </w:rPr>
            </w:pPr>
            <w:r w:rsidRPr="009B5734">
              <w:rPr>
                <w:noProof/>
                <w:sz w:val="18"/>
                <w:szCs w:val="20"/>
              </w:rPr>
              <w:t>Varies depending on the product</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 xml:space="preserve">Desk research complemented by results of the consumer survey </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0" w:firstLine="0"/>
              <w:rPr>
                <w:b/>
                <w:bCs/>
                <w:noProof/>
                <w:sz w:val="18"/>
                <w:szCs w:val="20"/>
              </w:rPr>
            </w:pPr>
            <w:r w:rsidRPr="009B5734">
              <w:rPr>
                <w:b/>
                <w:bCs/>
                <w:noProof/>
                <w:sz w:val="18"/>
                <w:szCs w:val="20"/>
              </w:rPr>
              <w:t>Available information on expected lifespan at the baseline</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firstLine="0"/>
              <w:jc w:val="center"/>
              <w:rPr>
                <w:noProof/>
                <w:color w:val="000000" w:themeColor="text1"/>
                <w:sz w:val="18"/>
                <w:szCs w:val="20"/>
              </w:rPr>
            </w:pPr>
            <w:r w:rsidRPr="009B5734">
              <w:rPr>
                <w:noProof/>
                <w:sz w:val="18"/>
                <w:szCs w:val="20"/>
              </w:rPr>
              <w:t>0%</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 xml:space="preserve">Mystery shopping conducted in the context of this study </w:t>
            </w:r>
          </w:p>
        </w:tc>
      </w:tr>
    </w:tbl>
    <w:p w:rsidR="00EA45F9" w:rsidRPr="009B5734" w:rsidRDefault="00EA45F9" w:rsidP="00EA45F9">
      <w:pPr>
        <w:rPr>
          <w:rFonts w:ascii="Verdana" w:hAnsi="Verdana"/>
          <w:noProof/>
          <w:color w:val="000000" w:themeColor="text1"/>
          <w:sz w:val="20"/>
        </w:rPr>
      </w:pPr>
    </w:p>
    <w:p w:rsidR="00EA45F9" w:rsidRPr="009B5734" w:rsidRDefault="00EA45F9" w:rsidP="00EA45F9">
      <w:pPr>
        <w:pStyle w:val="Heading5"/>
        <w:rPr>
          <w:rFonts w:ascii="Times New Roman" w:hAnsi="Times New Roman" w:cs="Times New Roman"/>
          <w:i w:val="0"/>
          <w:noProof/>
          <w:sz w:val="24"/>
        </w:rPr>
      </w:pPr>
      <w:r w:rsidRPr="009B5734">
        <w:rPr>
          <w:rFonts w:ascii="Times New Roman" w:hAnsi="Times New Roman" w:cs="Times New Roman"/>
          <w:i w:val="0"/>
          <w:noProof/>
          <w:sz w:val="24"/>
        </w:rPr>
        <w:t>Option 1.2.B. Obligation to inform consumers of the existence (or absence) of a commercial guarantee for the entire good and of its length.</w:t>
      </w:r>
    </w:p>
    <w:p w:rsidR="00EA45F9" w:rsidRPr="009B5734" w:rsidRDefault="00EA45F9" w:rsidP="00EA45F9">
      <w:pPr>
        <w:pStyle w:val="Titlecost"/>
        <w:rPr>
          <w:rFonts w:ascii="Times New Roman" w:hAnsi="Times New Roman" w:cs="Times New Roman"/>
          <w:noProof/>
          <w:sz w:val="24"/>
          <w:szCs w:val="24"/>
        </w:rPr>
      </w:pPr>
      <w:r w:rsidRPr="009B5734">
        <w:rPr>
          <w:rFonts w:ascii="Times New Roman" w:hAnsi="Times New Roman" w:cs="Times New Roman"/>
          <w:noProof/>
          <w:sz w:val="24"/>
          <w:szCs w:val="24"/>
        </w:rPr>
        <w:t>Administrative burden</w:t>
      </w:r>
    </w:p>
    <w:tbl>
      <w:tblPr>
        <w:tblW w:w="4916" w:type="pct"/>
        <w:tblBorders>
          <w:top w:val="single" w:sz="4" w:space="0" w:color="auto"/>
          <w:bottom w:val="single" w:sz="4" w:space="0" w:color="auto"/>
          <w:insideH w:val="single" w:sz="4" w:space="0" w:color="auto"/>
        </w:tblBorders>
        <w:shd w:val="solid" w:color="F2F2F2" w:fill="F2F2F2"/>
        <w:tblCellMar>
          <w:left w:w="0" w:type="dxa"/>
          <w:right w:w="0" w:type="dxa"/>
        </w:tblCellMar>
        <w:tblLook w:val="04A0" w:firstRow="1" w:lastRow="0" w:firstColumn="1" w:lastColumn="0" w:noHBand="0" w:noVBand="1"/>
      </w:tblPr>
      <w:tblGrid>
        <w:gridCol w:w="1742"/>
        <w:gridCol w:w="4468"/>
        <w:gridCol w:w="2262"/>
      </w:tblGrid>
      <w:tr w:rsidR="00EA45F9" w:rsidRPr="009B5734" w:rsidTr="00C84A99">
        <w:trPr>
          <w:trHeight w:val="727"/>
        </w:trPr>
        <w:tc>
          <w:tcPr>
            <w:tcW w:w="1028" w:type="pct"/>
            <w:tcBorders>
              <w:top w:val="single" w:sz="4" w:space="0" w:color="auto"/>
              <w:left w:val="nil"/>
              <w:bottom w:val="single" w:sz="4" w:space="0" w:color="auto"/>
              <w:right w:val="nil"/>
            </w:tcBorders>
            <w:shd w:val="clear" w:color="auto" w:fill="002395"/>
          </w:tcPr>
          <w:p w:rsidR="00EA45F9" w:rsidRPr="009B5734" w:rsidRDefault="00EA45F9" w:rsidP="00981615">
            <w:pPr>
              <w:pStyle w:val="TableHeadingWhite"/>
              <w:spacing w:line="276" w:lineRule="auto"/>
              <w:ind w:left="284" w:hanging="215"/>
              <w:rPr>
                <w:noProof/>
                <w:sz w:val="18"/>
                <w:szCs w:val="20"/>
              </w:rPr>
            </w:pPr>
          </w:p>
        </w:tc>
        <w:tc>
          <w:tcPr>
            <w:tcW w:w="2637" w:type="pct"/>
            <w:tcBorders>
              <w:top w:val="single" w:sz="4" w:space="0" w:color="auto"/>
              <w:left w:val="nil"/>
              <w:bottom w:val="single" w:sz="4" w:space="0" w:color="auto"/>
              <w:right w:val="nil"/>
            </w:tcBorders>
            <w:shd w:val="clear" w:color="auto" w:fill="002395"/>
            <w:hideMark/>
          </w:tcPr>
          <w:p w:rsidR="00EA45F9" w:rsidRPr="009B5734" w:rsidRDefault="00EA45F9" w:rsidP="00981615">
            <w:pPr>
              <w:pStyle w:val="TableHeadingWhite"/>
              <w:spacing w:line="276" w:lineRule="auto"/>
              <w:ind w:left="101" w:firstLine="0"/>
              <w:jc w:val="center"/>
              <w:rPr>
                <w:noProof/>
                <w:sz w:val="18"/>
                <w:szCs w:val="20"/>
              </w:rPr>
            </w:pPr>
            <w:r w:rsidRPr="009B5734">
              <w:rPr>
                <w:noProof/>
                <w:sz w:val="18"/>
                <w:szCs w:val="20"/>
              </w:rPr>
              <w:t>Assumption</w:t>
            </w:r>
          </w:p>
        </w:tc>
        <w:tc>
          <w:tcPr>
            <w:tcW w:w="1335" w:type="pct"/>
            <w:tcBorders>
              <w:top w:val="single" w:sz="4" w:space="0" w:color="auto"/>
              <w:left w:val="nil"/>
              <w:bottom w:val="single" w:sz="4" w:space="0" w:color="auto"/>
              <w:right w:val="nil"/>
            </w:tcBorders>
            <w:shd w:val="clear" w:color="auto" w:fill="002395"/>
            <w:hideMark/>
          </w:tcPr>
          <w:p w:rsidR="00EA45F9" w:rsidRPr="009B5734" w:rsidRDefault="00EA45F9" w:rsidP="00981615">
            <w:pPr>
              <w:pStyle w:val="TableHeadingWhite"/>
              <w:spacing w:line="276" w:lineRule="auto"/>
              <w:ind w:left="169" w:firstLine="0"/>
              <w:jc w:val="center"/>
              <w:rPr>
                <w:noProof/>
                <w:sz w:val="18"/>
                <w:szCs w:val="20"/>
              </w:rPr>
            </w:pPr>
            <w:r w:rsidRPr="009B5734">
              <w:rPr>
                <w:noProof/>
                <w:sz w:val="18"/>
                <w:szCs w:val="20"/>
              </w:rPr>
              <w:t>Source</w:t>
            </w:r>
          </w:p>
        </w:tc>
      </w:tr>
      <w:tr w:rsidR="00EA45F9" w:rsidRPr="009B5734" w:rsidTr="00C84A99">
        <w:trPr>
          <w:trHeight w:val="391"/>
        </w:trPr>
        <w:tc>
          <w:tcPr>
            <w:tcW w:w="5000" w:type="pct"/>
            <w:gridSpan w:val="3"/>
            <w:tcBorders>
              <w:top w:val="single" w:sz="4" w:space="0" w:color="auto"/>
              <w:left w:val="nil"/>
              <w:bottom w:val="single" w:sz="4" w:space="0" w:color="auto"/>
              <w:right w:val="nil"/>
            </w:tcBorders>
            <w:shd w:val="clear" w:color="auto" w:fill="DBE5F1" w:themeFill="accent1" w:themeFillTint="33"/>
            <w:hideMark/>
          </w:tcPr>
          <w:p w:rsidR="00EA45F9" w:rsidRPr="009B5734" w:rsidRDefault="00EA45F9" w:rsidP="00981615">
            <w:pPr>
              <w:pStyle w:val="TableHeadingWhite"/>
              <w:spacing w:line="276" w:lineRule="auto"/>
              <w:ind w:left="169" w:firstLine="0"/>
              <w:rPr>
                <w:noProof/>
                <w:sz w:val="18"/>
                <w:szCs w:val="20"/>
              </w:rPr>
            </w:pPr>
            <w:r w:rsidRPr="009B5734">
              <w:rPr>
                <w:noProof/>
                <w:sz w:val="18"/>
                <w:szCs w:val="20"/>
              </w:rPr>
              <w:t xml:space="preserve">Manufacturers (excluding those that only produce components) </w:t>
            </w:r>
          </w:p>
        </w:tc>
      </w:tr>
      <w:tr w:rsidR="00EA45F9" w:rsidRPr="009B5734" w:rsidTr="00C84A99">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Familiarization with the measure</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jc w:val="center"/>
              <w:rPr>
                <w:i/>
                <w:iCs/>
                <w:noProof/>
                <w:color w:val="000000" w:themeColor="text1"/>
                <w:sz w:val="18"/>
                <w:szCs w:val="20"/>
              </w:rPr>
            </w:pPr>
            <w:r w:rsidRPr="009B5734">
              <w:rPr>
                <w:i/>
                <w:iCs/>
                <w:noProof/>
                <w:sz w:val="18"/>
                <w:szCs w:val="20"/>
              </w:rPr>
              <w:t>This includes not only identifying the new obligations imposed by the measure but analysing what are the necessary steps that need to be taken to comply with it (including deciding whether or not to provide the commercial guarantee and if yes, for how long)</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SME: [7,21]h legal team, [7,14]h product development team, [7,14]h commercial team</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Large Enterprises:  21h legal team, [21,28]h product development team, [21,28]h commercial team</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69" w:firstLine="0"/>
              <w:rPr>
                <w:noProof/>
                <w:sz w:val="18"/>
                <w:szCs w:val="20"/>
              </w:rPr>
            </w:pPr>
            <w:r w:rsidRPr="009B5734">
              <w:rPr>
                <w:noProof/>
                <w:sz w:val="18"/>
                <w:szCs w:val="20"/>
              </w:rPr>
              <w:t>Interviews with companies and industry associations</w:t>
            </w:r>
          </w:p>
        </w:tc>
      </w:tr>
      <w:tr w:rsidR="00EA45F9" w:rsidRPr="009B5734" w:rsidTr="00C84A99">
        <w:trPr>
          <w:trHeight w:val="1263"/>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Training</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jc w:val="center"/>
              <w:rPr>
                <w:i/>
                <w:iCs/>
                <w:noProof/>
                <w:color w:val="000000" w:themeColor="text1"/>
                <w:sz w:val="18"/>
                <w:szCs w:val="20"/>
              </w:rPr>
            </w:pPr>
            <w:r w:rsidRPr="009B5734">
              <w:rPr>
                <w:i/>
                <w:iCs/>
                <w:noProof/>
                <w:sz w:val="18"/>
                <w:szCs w:val="20"/>
              </w:rPr>
              <w:t>This includes an initial training of managers and key employees</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SME: 0.5h manager + 2h key employees</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Large enterprises: 1h managers + 4h key employees</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69" w:firstLine="0"/>
              <w:rPr>
                <w:noProof/>
                <w:sz w:val="18"/>
                <w:szCs w:val="20"/>
              </w:rPr>
            </w:pPr>
            <w:r w:rsidRPr="009B5734">
              <w:rPr>
                <w:noProof/>
                <w:sz w:val="18"/>
                <w:szCs w:val="20"/>
              </w:rPr>
              <w:t>Interviews with companies and industry associations</w:t>
            </w:r>
          </w:p>
        </w:tc>
      </w:tr>
      <w:tr w:rsidR="00EA45F9" w:rsidRPr="009B5734" w:rsidTr="00C84A99">
        <w:trPr>
          <w:trHeight w:val="558"/>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Retrieving relevant information from existing data and adjusting existing data (including adapting system to retrieve information)</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jc w:val="center"/>
              <w:rPr>
                <w:i/>
                <w:iCs/>
                <w:noProof/>
                <w:color w:val="000000" w:themeColor="text1"/>
                <w:sz w:val="18"/>
                <w:szCs w:val="20"/>
              </w:rPr>
            </w:pPr>
            <w:r w:rsidRPr="009B5734">
              <w:rPr>
                <w:i/>
                <w:iCs/>
                <w:noProof/>
                <w:sz w:val="18"/>
                <w:szCs w:val="20"/>
              </w:rPr>
              <w:t>This includes identifying and compiling all the information available on commercial guarantees</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SME: 21h in total</w:t>
            </w:r>
          </w:p>
          <w:p w:rsidR="00EA45F9" w:rsidRPr="009B5734" w:rsidRDefault="00EA45F9" w:rsidP="00981615">
            <w:pPr>
              <w:pStyle w:val="TableTextNoSpace"/>
              <w:spacing w:line="276" w:lineRule="auto"/>
              <w:ind w:left="101" w:firstLine="0"/>
              <w:rPr>
                <w:noProof/>
                <w:sz w:val="36"/>
                <w:szCs w:val="40"/>
              </w:rPr>
            </w:pPr>
            <w:r w:rsidRPr="009B5734">
              <w:rPr>
                <w:noProof/>
                <w:sz w:val="18"/>
                <w:szCs w:val="20"/>
              </w:rPr>
              <w:t>Large enterprises: 42h in total</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69" w:firstLine="0"/>
              <w:rPr>
                <w:i/>
                <w:iCs/>
                <w:noProof/>
                <w:sz w:val="18"/>
                <w:szCs w:val="20"/>
              </w:rPr>
            </w:pPr>
            <w:r w:rsidRPr="009B5734">
              <w:rPr>
                <w:noProof/>
                <w:sz w:val="18"/>
                <w:szCs w:val="20"/>
              </w:rPr>
              <w:t>Interviews with companies and industry associations</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 xml:space="preserve">Producing new data </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jc w:val="center"/>
              <w:rPr>
                <w:noProof/>
                <w:color w:val="000000" w:themeColor="text1"/>
                <w:sz w:val="18"/>
                <w:szCs w:val="18"/>
              </w:rPr>
            </w:pPr>
            <w:r w:rsidRPr="005D24D2">
              <w:rPr>
                <w:i/>
                <w:iCs/>
                <w:noProof/>
                <w:sz w:val="40"/>
                <w:szCs w:val="40"/>
              </w:rPr>
              <w:t>-</w:t>
            </w: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169" w:firstLine="0"/>
              <w:rPr>
                <w:iCs/>
                <w:noProof/>
                <w:sz w:val="18"/>
                <w:szCs w:val="20"/>
              </w:rPr>
            </w:pP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Designing and placing information material</w:t>
            </w:r>
          </w:p>
        </w:tc>
        <w:tc>
          <w:tcPr>
            <w:tcW w:w="2637" w:type="pct"/>
            <w:tcBorders>
              <w:top w:val="single" w:sz="4" w:space="0" w:color="auto"/>
              <w:left w:val="nil"/>
              <w:bottom w:val="single" w:sz="4" w:space="0" w:color="auto"/>
              <w:right w:val="nil"/>
            </w:tcBorders>
            <w:shd w:val="clear" w:color="auto" w:fill="auto"/>
            <w:hideMark/>
          </w:tcPr>
          <w:p w:rsidR="00EA45F9" w:rsidRPr="00F67503" w:rsidRDefault="00EA45F9" w:rsidP="004931D3">
            <w:pPr>
              <w:pStyle w:val="TableTextNoSpace"/>
              <w:spacing w:line="276" w:lineRule="auto"/>
              <w:ind w:left="101" w:firstLine="0"/>
              <w:jc w:val="center"/>
              <w:rPr>
                <w:i/>
                <w:noProof/>
                <w:color w:val="000000" w:themeColor="text1"/>
                <w:sz w:val="18"/>
                <w:szCs w:val="18"/>
              </w:rPr>
            </w:pPr>
            <w:r w:rsidRPr="005D24D2">
              <w:rPr>
                <w:i/>
                <w:iCs/>
                <w:noProof/>
                <w:sz w:val="40"/>
                <w:szCs w:val="40"/>
              </w:rPr>
              <w:t>-</w:t>
            </w: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169" w:firstLine="0"/>
              <w:jc w:val="center"/>
              <w:rPr>
                <w:noProof/>
                <w:sz w:val="18"/>
                <w:szCs w:val="20"/>
              </w:rPr>
            </w:pP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Adjust forms and tables (one-off)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jc w:val="center"/>
              <w:rPr>
                <w:noProof/>
                <w:color w:val="000000" w:themeColor="text1"/>
                <w:sz w:val="18"/>
                <w:szCs w:val="18"/>
              </w:rPr>
            </w:pPr>
            <w:r w:rsidRPr="005D24D2">
              <w:rPr>
                <w:i/>
                <w:iCs/>
                <w:noProof/>
                <w:sz w:val="40"/>
                <w:szCs w:val="40"/>
              </w:rPr>
              <w:t>-</w:t>
            </w: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169" w:firstLine="0"/>
              <w:jc w:val="center"/>
              <w:rPr>
                <w:noProof/>
                <w:sz w:val="18"/>
                <w:szCs w:val="20"/>
              </w:rPr>
            </w:pP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Inspections (internal and external)</w:t>
            </w:r>
          </w:p>
        </w:tc>
        <w:tc>
          <w:tcPr>
            <w:tcW w:w="2637" w:type="pct"/>
            <w:tcBorders>
              <w:top w:val="single" w:sz="4" w:space="0" w:color="auto"/>
              <w:left w:val="nil"/>
              <w:bottom w:val="single" w:sz="4" w:space="0" w:color="auto"/>
              <w:right w:val="nil"/>
            </w:tcBorders>
            <w:shd w:val="clear" w:color="auto" w:fill="auto"/>
            <w:hideMark/>
          </w:tcPr>
          <w:p w:rsidR="00EA45F9" w:rsidRPr="00F67503" w:rsidRDefault="00EA45F9" w:rsidP="004931D3">
            <w:pPr>
              <w:pStyle w:val="TableTextNoSpace"/>
              <w:spacing w:line="276" w:lineRule="auto"/>
              <w:ind w:left="101" w:firstLine="0"/>
              <w:jc w:val="center"/>
              <w:rPr>
                <w:i/>
                <w:noProof/>
                <w:color w:val="000000" w:themeColor="text1"/>
                <w:sz w:val="18"/>
                <w:szCs w:val="18"/>
              </w:rPr>
            </w:pPr>
            <w:r w:rsidRPr="005D24D2">
              <w:rPr>
                <w:i/>
                <w:iCs/>
                <w:noProof/>
                <w:sz w:val="40"/>
                <w:szCs w:val="40"/>
              </w:rPr>
              <w:t>-</w:t>
            </w: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169" w:firstLine="0"/>
              <w:jc w:val="center"/>
              <w:rPr>
                <w:noProof/>
                <w:sz w:val="18"/>
                <w:szCs w:val="20"/>
              </w:rPr>
            </w:pPr>
          </w:p>
        </w:tc>
      </w:tr>
      <w:tr w:rsidR="00EA45F9" w:rsidRPr="009B5734" w:rsidTr="00C84A99">
        <w:trPr>
          <w:trHeight w:val="391"/>
        </w:trPr>
        <w:tc>
          <w:tcPr>
            <w:tcW w:w="5000" w:type="pct"/>
            <w:gridSpan w:val="3"/>
            <w:tcBorders>
              <w:top w:val="single" w:sz="4" w:space="0" w:color="auto"/>
              <w:left w:val="nil"/>
              <w:bottom w:val="single" w:sz="4" w:space="0" w:color="auto"/>
              <w:right w:val="nil"/>
            </w:tcBorders>
            <w:shd w:val="clear" w:color="auto" w:fill="DBE5F1" w:themeFill="accent1" w:themeFillTint="33"/>
            <w:hideMark/>
          </w:tcPr>
          <w:p w:rsidR="00EA45F9" w:rsidRPr="009B5734" w:rsidRDefault="00EA45F9" w:rsidP="00981615">
            <w:pPr>
              <w:pStyle w:val="TableHeadingWhite"/>
              <w:spacing w:line="276" w:lineRule="auto"/>
              <w:ind w:left="142" w:firstLine="0"/>
              <w:rPr>
                <w:noProof/>
                <w:sz w:val="18"/>
                <w:szCs w:val="20"/>
              </w:rPr>
            </w:pPr>
            <w:r w:rsidRPr="009B5734">
              <w:rPr>
                <w:noProof/>
                <w:sz w:val="18"/>
                <w:szCs w:val="20"/>
              </w:rPr>
              <w:t xml:space="preserve">Retailers </w:t>
            </w:r>
          </w:p>
        </w:tc>
      </w:tr>
      <w:tr w:rsidR="00EA45F9" w:rsidRPr="009B5734" w:rsidTr="00C84A99">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Familiarization with the measure</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rPr>
                <w:i/>
                <w:iCs/>
                <w:noProof/>
                <w:color w:val="000000" w:themeColor="text1"/>
                <w:sz w:val="18"/>
                <w:szCs w:val="20"/>
              </w:rPr>
            </w:pPr>
            <w:r w:rsidRPr="009B5734">
              <w:rPr>
                <w:i/>
                <w:iCs/>
                <w:noProof/>
                <w:sz w:val="18"/>
                <w:szCs w:val="20"/>
              </w:rPr>
              <w:t xml:space="preserve">This includes not only identifying the new obligations imposed by the measure but analysing what are the necessary steps that need to be taken to comply with it </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SME: [7,17.5]h legal team, 17.5h commercial team</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Large Enterprises:  17.5h legal team, 35h commercial team</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69" w:firstLine="0"/>
              <w:rPr>
                <w:noProof/>
                <w:sz w:val="18"/>
                <w:szCs w:val="20"/>
              </w:rPr>
            </w:pPr>
            <w:r w:rsidRPr="009B5734">
              <w:rPr>
                <w:noProof/>
                <w:sz w:val="18"/>
                <w:szCs w:val="20"/>
              </w:rPr>
              <w:t>Interviews with companies and industry associations</w:t>
            </w:r>
          </w:p>
        </w:tc>
      </w:tr>
      <w:tr w:rsidR="00EA45F9" w:rsidRPr="009B5734" w:rsidTr="00C84A99">
        <w:trPr>
          <w:trHeight w:val="1263"/>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Training</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rPr>
                <w:i/>
                <w:iCs/>
                <w:noProof/>
                <w:color w:val="000000" w:themeColor="text1"/>
                <w:sz w:val="18"/>
                <w:szCs w:val="20"/>
              </w:rPr>
            </w:pPr>
            <w:r w:rsidRPr="009B5734">
              <w:rPr>
                <w:i/>
                <w:iCs/>
                <w:noProof/>
                <w:sz w:val="18"/>
                <w:szCs w:val="20"/>
              </w:rPr>
              <w:t>This includes an initial training of managers and key employees</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SME: 0.5h manager + 4h key employees</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Large enterprises: 1h managers + 8h key employees</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69" w:firstLine="0"/>
              <w:rPr>
                <w:noProof/>
                <w:sz w:val="18"/>
                <w:szCs w:val="20"/>
              </w:rPr>
            </w:pPr>
            <w:r w:rsidRPr="009B5734">
              <w:rPr>
                <w:noProof/>
                <w:sz w:val="18"/>
                <w:szCs w:val="20"/>
              </w:rPr>
              <w:t>Interviews with companies and industry associations</w:t>
            </w:r>
          </w:p>
        </w:tc>
      </w:tr>
      <w:tr w:rsidR="00EA45F9" w:rsidRPr="009B5734" w:rsidTr="00C84A99">
        <w:trPr>
          <w:trHeight w:val="558"/>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Retrieving relevant information from existing data and adjusting existing data</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rPr>
                <w:i/>
                <w:iCs/>
                <w:noProof/>
                <w:color w:val="000000" w:themeColor="text1"/>
                <w:sz w:val="18"/>
                <w:szCs w:val="20"/>
              </w:rPr>
            </w:pPr>
            <w:r w:rsidRPr="009B5734">
              <w:rPr>
                <w:i/>
                <w:iCs/>
                <w:noProof/>
                <w:sz w:val="18"/>
                <w:szCs w:val="20"/>
              </w:rPr>
              <w:t>This includes identifying and compiling all the information available on commercial guarantees and adjusting databases to compile this information in a consistent way. The costs are linked to the number of products sold.</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SME: 35h in total</w:t>
            </w:r>
          </w:p>
          <w:p w:rsidR="00EA45F9" w:rsidRPr="009B5734" w:rsidRDefault="00EA45F9" w:rsidP="00981615">
            <w:pPr>
              <w:pStyle w:val="TableTextNoSpace"/>
              <w:spacing w:line="276" w:lineRule="auto"/>
              <w:ind w:left="101" w:firstLine="0"/>
              <w:rPr>
                <w:noProof/>
                <w:sz w:val="36"/>
                <w:szCs w:val="40"/>
              </w:rPr>
            </w:pPr>
            <w:r w:rsidRPr="009B5734">
              <w:rPr>
                <w:noProof/>
                <w:sz w:val="18"/>
                <w:szCs w:val="20"/>
              </w:rPr>
              <w:t>Large enterprises: 70h in total</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69" w:firstLine="0"/>
              <w:rPr>
                <w:i/>
                <w:iCs/>
                <w:noProof/>
                <w:sz w:val="18"/>
                <w:szCs w:val="20"/>
              </w:rPr>
            </w:pPr>
            <w:r w:rsidRPr="009B5734">
              <w:rPr>
                <w:noProof/>
                <w:sz w:val="18"/>
                <w:szCs w:val="20"/>
              </w:rPr>
              <w:t>Interviews with companies and industry associations</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Producing new data</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jc w:val="center"/>
              <w:rPr>
                <w:noProof/>
                <w:color w:val="000000" w:themeColor="text1"/>
                <w:sz w:val="18"/>
                <w:szCs w:val="18"/>
              </w:rPr>
            </w:pPr>
            <w:r w:rsidRPr="009B5734">
              <w:rPr>
                <w:noProof/>
                <w:sz w:val="36"/>
                <w:szCs w:val="36"/>
              </w:rPr>
              <w:t>-</w:t>
            </w: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169" w:firstLine="0"/>
              <w:rPr>
                <w:iCs/>
                <w:noProof/>
                <w:sz w:val="18"/>
                <w:szCs w:val="20"/>
              </w:rPr>
            </w:pP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Designing and placing information material</w:t>
            </w:r>
          </w:p>
        </w:tc>
        <w:tc>
          <w:tcPr>
            <w:tcW w:w="2637" w:type="pct"/>
            <w:tcBorders>
              <w:top w:val="single" w:sz="4" w:space="0" w:color="auto"/>
              <w:left w:val="nil"/>
              <w:bottom w:val="single" w:sz="4" w:space="0" w:color="auto"/>
              <w:right w:val="nil"/>
            </w:tcBorders>
            <w:shd w:val="clear" w:color="auto" w:fill="auto"/>
          </w:tcPr>
          <w:p w:rsidR="00EA45F9" w:rsidRPr="009B5734" w:rsidRDefault="00EA45F9" w:rsidP="00981615">
            <w:pPr>
              <w:pStyle w:val="TableTextNoSpace"/>
              <w:spacing w:line="276" w:lineRule="auto"/>
              <w:ind w:left="101" w:firstLine="0"/>
              <w:rPr>
                <w:i/>
                <w:iCs/>
                <w:noProof/>
                <w:color w:val="000000" w:themeColor="text1"/>
                <w:sz w:val="18"/>
                <w:szCs w:val="20"/>
              </w:rPr>
            </w:pPr>
            <w:r w:rsidRPr="009B5734">
              <w:rPr>
                <w:i/>
                <w:iCs/>
                <w:noProof/>
                <w:sz w:val="18"/>
                <w:szCs w:val="20"/>
              </w:rPr>
              <w:t>This includes the costs of re-designing price tags and to replace the existing ones. The cost is incurred once per product model sold by the seller.</w:t>
            </w:r>
          </w:p>
          <w:p w:rsidR="00EA45F9" w:rsidRPr="009B5734" w:rsidRDefault="00EA45F9" w:rsidP="00981615">
            <w:pPr>
              <w:pStyle w:val="TableTextNoSpace"/>
              <w:spacing w:line="276" w:lineRule="auto"/>
              <w:ind w:left="101" w:firstLine="0"/>
              <w:rPr>
                <w:i/>
                <w:iCs/>
                <w:noProof/>
                <w:sz w:val="18"/>
                <w:szCs w:val="20"/>
              </w:rPr>
            </w:pPr>
          </w:p>
          <w:p w:rsidR="00EA45F9" w:rsidRPr="009B5734" w:rsidRDefault="00EA45F9" w:rsidP="00981615">
            <w:pPr>
              <w:pStyle w:val="TableTextNoSpace"/>
              <w:spacing w:line="276" w:lineRule="auto"/>
              <w:ind w:left="101" w:firstLine="0"/>
              <w:rPr>
                <w:i/>
                <w:iCs/>
                <w:noProof/>
                <w:sz w:val="18"/>
                <w:szCs w:val="20"/>
              </w:rPr>
            </w:pPr>
            <w:r w:rsidRPr="009B5734">
              <w:rPr>
                <w:i/>
                <w:iCs/>
                <w:noProof/>
                <w:sz w:val="18"/>
                <w:szCs w:val="20"/>
              </w:rPr>
              <w:t>35h to re-design tags and 5 minutes to replace existing tags (per price tag)</w:t>
            </w:r>
          </w:p>
        </w:tc>
        <w:tc>
          <w:tcPr>
            <w:tcW w:w="1335" w:type="pct"/>
            <w:tcBorders>
              <w:top w:val="single" w:sz="4" w:space="0" w:color="auto"/>
              <w:left w:val="nil"/>
              <w:bottom w:val="single" w:sz="4" w:space="0" w:color="auto"/>
              <w:right w:val="nil"/>
            </w:tcBorders>
            <w:shd w:val="clear" w:color="auto" w:fill="auto"/>
            <w:vAlign w:val="center"/>
            <w:hideMark/>
          </w:tcPr>
          <w:p w:rsidR="00EA45F9" w:rsidRPr="009B5734" w:rsidRDefault="00EA45F9" w:rsidP="00981615">
            <w:pPr>
              <w:pStyle w:val="TableTextNoSpace"/>
              <w:spacing w:line="276" w:lineRule="auto"/>
              <w:ind w:left="169" w:firstLine="0"/>
              <w:jc w:val="center"/>
              <w:rPr>
                <w:noProof/>
                <w:sz w:val="18"/>
                <w:szCs w:val="20"/>
              </w:rPr>
            </w:pPr>
            <w:r w:rsidRPr="009B5734">
              <w:rPr>
                <w:noProof/>
                <w:sz w:val="18"/>
                <w:szCs w:val="20"/>
              </w:rPr>
              <w:t>Cost to re-design price tags based on data from with companies.</w:t>
            </w:r>
          </w:p>
          <w:p w:rsidR="00EA45F9" w:rsidRPr="009B5734" w:rsidRDefault="00EA45F9" w:rsidP="00981615">
            <w:pPr>
              <w:pStyle w:val="TableTextNoSpace"/>
              <w:spacing w:line="276" w:lineRule="auto"/>
              <w:ind w:left="169" w:firstLine="0"/>
              <w:jc w:val="center"/>
              <w:rPr>
                <w:noProof/>
                <w:sz w:val="18"/>
                <w:szCs w:val="18"/>
              </w:rPr>
            </w:pPr>
            <w:r w:rsidRPr="009B5734">
              <w:rPr>
                <w:noProof/>
                <w:sz w:val="18"/>
                <w:szCs w:val="18"/>
              </w:rPr>
              <w:t>Time required to stick a sticker in line with Impact Assessment Reports of the Ecodesign regulations</w:t>
            </w:r>
            <w:r w:rsidRPr="009B5734">
              <w:rPr>
                <w:rStyle w:val="FootnoteReference"/>
                <w:noProof/>
                <w:sz w:val="18"/>
                <w:szCs w:val="18"/>
              </w:rPr>
              <w:footnoteReference w:id="164"/>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Adjust forms and tables (one-off)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jc w:val="center"/>
              <w:rPr>
                <w:noProof/>
                <w:color w:val="000000" w:themeColor="text1"/>
                <w:sz w:val="18"/>
                <w:szCs w:val="18"/>
              </w:rPr>
            </w:pPr>
            <w:r w:rsidRPr="009B5734">
              <w:rPr>
                <w:noProof/>
                <w:sz w:val="36"/>
                <w:szCs w:val="36"/>
              </w:rPr>
              <w:t>-</w:t>
            </w: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169" w:firstLine="0"/>
              <w:jc w:val="center"/>
              <w:rPr>
                <w:noProof/>
                <w:sz w:val="18"/>
                <w:szCs w:val="20"/>
              </w:rPr>
            </w:pP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Inspections (internal and external)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rPr>
                <w:noProof/>
                <w:color w:val="000000" w:themeColor="text1"/>
                <w:sz w:val="18"/>
                <w:szCs w:val="20"/>
              </w:rPr>
            </w:pPr>
            <w:r w:rsidRPr="009B5734">
              <w:rPr>
                <w:noProof/>
                <w:sz w:val="18"/>
                <w:szCs w:val="20"/>
              </w:rPr>
              <w:t xml:space="preserve">We assume that placing the tags with the correct information will not impose incremental costs however ensuring that all is correctly done will be relatively demanding and for this reason inspection costs are higher for this measure </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SME: [1,2]h manager plus [7,14]h employee per year</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Large enterprises: [2,4]h manager plus [14,28]h employee per year</w:t>
            </w:r>
          </w:p>
        </w:tc>
        <w:tc>
          <w:tcPr>
            <w:tcW w:w="1335" w:type="pct"/>
            <w:tcBorders>
              <w:top w:val="single" w:sz="4" w:space="0" w:color="auto"/>
              <w:left w:val="nil"/>
              <w:bottom w:val="single" w:sz="4" w:space="0" w:color="auto"/>
              <w:right w:val="nil"/>
            </w:tcBorders>
            <w:shd w:val="clear" w:color="auto" w:fill="auto"/>
            <w:vAlign w:val="center"/>
            <w:hideMark/>
          </w:tcPr>
          <w:p w:rsidR="00EA45F9" w:rsidRPr="009B5734" w:rsidRDefault="00EA45F9" w:rsidP="00981615">
            <w:pPr>
              <w:pStyle w:val="TableTextNoSpace"/>
              <w:spacing w:line="276" w:lineRule="auto"/>
              <w:ind w:left="169" w:firstLine="0"/>
              <w:rPr>
                <w:noProof/>
                <w:sz w:val="18"/>
                <w:szCs w:val="20"/>
              </w:rPr>
            </w:pPr>
            <w:r w:rsidRPr="009B5734">
              <w:rPr>
                <w:noProof/>
                <w:sz w:val="18"/>
                <w:szCs w:val="20"/>
              </w:rPr>
              <w:t>Interviews with companies and industry associations</w:t>
            </w:r>
          </w:p>
        </w:tc>
      </w:tr>
    </w:tbl>
    <w:p w:rsidR="00EA45F9" w:rsidRPr="009B5734" w:rsidRDefault="00EA45F9" w:rsidP="00EA45F9">
      <w:pPr>
        <w:rPr>
          <w:rFonts w:ascii="Verdana" w:hAnsi="Verdana"/>
          <w:noProof/>
          <w:color w:val="000000" w:themeColor="text1"/>
          <w:sz w:val="20"/>
        </w:rPr>
      </w:pPr>
    </w:p>
    <w:p w:rsidR="00EA45F9" w:rsidRPr="009B5734" w:rsidRDefault="00EA45F9" w:rsidP="00EA45F9">
      <w:pPr>
        <w:pStyle w:val="Titlecost"/>
        <w:rPr>
          <w:rFonts w:ascii="Times New Roman" w:hAnsi="Times New Roman" w:cs="Times New Roman"/>
          <w:noProof/>
          <w:sz w:val="24"/>
          <w:szCs w:val="24"/>
        </w:rPr>
      </w:pPr>
      <w:r w:rsidRPr="009B5734">
        <w:rPr>
          <w:rFonts w:ascii="Times New Roman" w:hAnsi="Times New Roman" w:cs="Times New Roman"/>
          <w:noProof/>
          <w:sz w:val="24"/>
          <w:szCs w:val="24"/>
        </w:rPr>
        <w:t>Enforcement costs</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Based on interviews with some CPC authorities, it is assumed that the measure would not require significant additional resources on top of the existing ones to enforce CRD and SGD.</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We, therefore, assume that the measure will require an additional Full Time Equivalent, with its time divided equality between monitoring, inspecting, and handling complaints.</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We assumed 70h for familiarization with the measure and adjust the internal procedures to start enforcing the measure. 16 employees will receive a 7h training.</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It is also assumed that there will be a yearly action per Member State, which will amount to EUR 40,000 (based on market research).</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The other unit costs are assumed to be the same as in the previous measure. </w:t>
      </w:r>
    </w:p>
    <w:p w:rsidR="00EA45F9" w:rsidRPr="009B5734" w:rsidRDefault="00EA45F9" w:rsidP="00EA45F9">
      <w:pPr>
        <w:pStyle w:val="Titlecost"/>
        <w:rPr>
          <w:rFonts w:ascii="Times New Roman" w:hAnsi="Times New Roman" w:cs="Times New Roman"/>
          <w:noProof/>
          <w:sz w:val="24"/>
          <w:szCs w:val="24"/>
        </w:rPr>
      </w:pPr>
      <w:r w:rsidRPr="009B5734">
        <w:rPr>
          <w:rFonts w:ascii="Times New Roman" w:hAnsi="Times New Roman" w:cs="Times New Roman"/>
          <w:noProof/>
          <w:sz w:val="24"/>
          <w:szCs w:val="24"/>
        </w:rPr>
        <w:t>Impact on monetisable consumer welfare</w:t>
      </w:r>
    </w:p>
    <w:p w:rsidR="00EA45F9" w:rsidRPr="009B5734" w:rsidRDefault="00EA45F9" w:rsidP="00EA45F9">
      <w:pPr>
        <w:ind w:left="0" w:firstLine="0"/>
        <w:rPr>
          <w:noProof/>
        </w:rPr>
      </w:pPr>
      <w:r w:rsidRPr="009B5734">
        <w:rPr>
          <w:rFonts w:ascii="Times New Roman" w:hAnsi="Times New Roman" w:cs="Times New Roman"/>
          <w:noProof/>
          <w:sz w:val="24"/>
          <w:szCs w:val="24"/>
        </w:rPr>
        <w:t>The approach followed to monetise the consumer welfare is illustrated in the figure below</w:t>
      </w:r>
      <w:r w:rsidRPr="009B5734">
        <w:rPr>
          <w:noProof/>
        </w:rPr>
        <w:t>.</w:t>
      </w:r>
    </w:p>
    <w:p w:rsidR="00EA45F9" w:rsidRPr="009B5734" w:rsidRDefault="00EA45F9" w:rsidP="00EA45F9">
      <w:pPr>
        <w:rPr>
          <w:noProof/>
        </w:rPr>
      </w:pPr>
      <w:r w:rsidRPr="009B5734">
        <w:rPr>
          <w:noProof/>
          <w:lang w:eastAsia="en-GB"/>
        </w:rPr>
        <w:drawing>
          <wp:inline distT="0" distB="0" distL="0" distR="0" wp14:anchorId="1702F349" wp14:editId="673BFD6D">
            <wp:extent cx="5584825" cy="21139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b="7896"/>
                    <a:stretch>
                      <a:fillRect/>
                    </a:stretch>
                  </pic:blipFill>
                  <pic:spPr bwMode="auto">
                    <a:xfrm>
                      <a:off x="0" y="0"/>
                      <a:ext cx="5584825" cy="2113915"/>
                    </a:xfrm>
                    <a:prstGeom prst="rect">
                      <a:avLst/>
                    </a:prstGeom>
                    <a:noFill/>
                    <a:ln>
                      <a:noFill/>
                    </a:ln>
                  </pic:spPr>
                </pic:pic>
              </a:graphicData>
            </a:graphic>
          </wp:inline>
        </w:drawing>
      </w:r>
    </w:p>
    <w:p w:rsidR="00EA45F9" w:rsidRPr="009B5734" w:rsidRDefault="00EA45F9" w:rsidP="00EA45F9">
      <w:pPr>
        <w:rPr>
          <w:noProof/>
        </w:rPr>
      </w:pPr>
    </w:p>
    <w:tbl>
      <w:tblPr>
        <w:tblW w:w="4916" w:type="pct"/>
        <w:tblBorders>
          <w:top w:val="single" w:sz="4" w:space="0" w:color="auto"/>
          <w:bottom w:val="single" w:sz="4" w:space="0" w:color="auto"/>
          <w:insideH w:val="single" w:sz="4" w:space="0" w:color="auto"/>
        </w:tblBorders>
        <w:shd w:val="solid" w:color="F2F2F2" w:fill="F2F2F2"/>
        <w:tblCellMar>
          <w:left w:w="0" w:type="dxa"/>
          <w:right w:w="0" w:type="dxa"/>
        </w:tblCellMar>
        <w:tblLook w:val="04A0" w:firstRow="1" w:lastRow="0" w:firstColumn="1" w:lastColumn="0" w:noHBand="0" w:noVBand="1"/>
      </w:tblPr>
      <w:tblGrid>
        <w:gridCol w:w="1742"/>
        <w:gridCol w:w="4468"/>
        <w:gridCol w:w="2262"/>
      </w:tblGrid>
      <w:tr w:rsidR="00EA45F9" w:rsidRPr="009B5734" w:rsidTr="00981615">
        <w:trPr>
          <w:trHeight w:val="727"/>
        </w:trPr>
        <w:tc>
          <w:tcPr>
            <w:tcW w:w="1028" w:type="pct"/>
            <w:tcBorders>
              <w:top w:val="single" w:sz="4" w:space="0" w:color="auto"/>
              <w:left w:val="nil"/>
              <w:bottom w:val="single" w:sz="4" w:space="0" w:color="auto"/>
              <w:right w:val="nil"/>
            </w:tcBorders>
            <w:shd w:val="solid" w:color="002395" w:fill="002395"/>
          </w:tcPr>
          <w:p w:rsidR="00EA45F9" w:rsidRPr="009B5734" w:rsidRDefault="00EA45F9" w:rsidP="00981615">
            <w:pPr>
              <w:pStyle w:val="TableHeadingWhite"/>
              <w:spacing w:line="276" w:lineRule="auto"/>
              <w:ind w:left="142" w:firstLine="0"/>
              <w:rPr>
                <w:noProof/>
                <w:sz w:val="18"/>
                <w:szCs w:val="20"/>
              </w:rPr>
            </w:pPr>
          </w:p>
        </w:tc>
        <w:tc>
          <w:tcPr>
            <w:tcW w:w="2637" w:type="pct"/>
            <w:tcBorders>
              <w:top w:val="single" w:sz="4" w:space="0" w:color="auto"/>
              <w:left w:val="nil"/>
              <w:bottom w:val="single" w:sz="4" w:space="0" w:color="auto"/>
              <w:right w:val="nil"/>
            </w:tcBorders>
            <w:shd w:val="solid" w:color="002395" w:fill="002395"/>
            <w:hideMark/>
          </w:tcPr>
          <w:p w:rsidR="00EA45F9" w:rsidRPr="009B5734" w:rsidRDefault="00EA45F9" w:rsidP="00981615">
            <w:pPr>
              <w:pStyle w:val="TableHeadingWhite"/>
              <w:spacing w:line="276" w:lineRule="auto"/>
              <w:ind w:left="235" w:hanging="142"/>
              <w:jc w:val="center"/>
              <w:rPr>
                <w:noProof/>
                <w:sz w:val="18"/>
                <w:szCs w:val="20"/>
              </w:rPr>
            </w:pPr>
            <w:r w:rsidRPr="009B5734">
              <w:rPr>
                <w:noProof/>
                <w:sz w:val="18"/>
                <w:szCs w:val="20"/>
              </w:rPr>
              <w:t>Assumption</w:t>
            </w:r>
          </w:p>
        </w:tc>
        <w:tc>
          <w:tcPr>
            <w:tcW w:w="1335" w:type="pct"/>
            <w:tcBorders>
              <w:top w:val="single" w:sz="4" w:space="0" w:color="auto"/>
              <w:left w:val="nil"/>
              <w:bottom w:val="single" w:sz="4" w:space="0" w:color="auto"/>
              <w:right w:val="nil"/>
            </w:tcBorders>
            <w:shd w:val="solid" w:color="002395" w:fill="002395"/>
            <w:hideMark/>
          </w:tcPr>
          <w:p w:rsidR="00EA45F9" w:rsidRPr="009B5734" w:rsidRDefault="00EA45F9" w:rsidP="00981615">
            <w:pPr>
              <w:pStyle w:val="TableHeadingWhite"/>
              <w:spacing w:line="276" w:lineRule="auto"/>
              <w:ind w:left="170" w:firstLine="0"/>
              <w:jc w:val="center"/>
              <w:rPr>
                <w:noProof/>
                <w:sz w:val="18"/>
                <w:szCs w:val="20"/>
              </w:rPr>
            </w:pPr>
            <w:r w:rsidRPr="009B5734">
              <w:rPr>
                <w:noProof/>
                <w:sz w:val="18"/>
                <w:szCs w:val="20"/>
              </w:rPr>
              <w:t>Source</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Share of consumers willing to pay 5% or more for a product that has one year of guaranteed lifespan</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235" w:hanging="142"/>
              <w:jc w:val="center"/>
              <w:rPr>
                <w:noProof/>
                <w:color w:val="000000" w:themeColor="text1"/>
                <w:sz w:val="18"/>
                <w:szCs w:val="20"/>
              </w:rPr>
            </w:pPr>
            <w:r w:rsidRPr="009B5734">
              <w:rPr>
                <w:noProof/>
                <w:sz w:val="18"/>
                <w:szCs w:val="20"/>
              </w:rPr>
              <w:t>29%-33% depending on the product type</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 xml:space="preserve">Consumer survey </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Average price of goods</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235" w:hanging="142"/>
              <w:jc w:val="center"/>
              <w:rPr>
                <w:noProof/>
                <w:color w:val="000000" w:themeColor="text1"/>
                <w:sz w:val="18"/>
                <w:szCs w:val="20"/>
              </w:rPr>
            </w:pPr>
            <w:r w:rsidRPr="009B5734">
              <w:rPr>
                <w:noProof/>
                <w:sz w:val="18"/>
                <w:szCs w:val="20"/>
              </w:rPr>
              <w:t>Depends on the good</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 xml:space="preserve">Statista </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Average cost of one year of commercial guarantee</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235" w:hanging="142"/>
              <w:jc w:val="center"/>
              <w:rPr>
                <w:noProof/>
                <w:color w:val="000000" w:themeColor="text1"/>
                <w:sz w:val="18"/>
                <w:szCs w:val="20"/>
              </w:rPr>
            </w:pPr>
            <w:r w:rsidRPr="009B5734">
              <w:rPr>
                <w:noProof/>
                <w:sz w:val="18"/>
                <w:szCs w:val="20"/>
              </w:rPr>
              <w:t>Depends on the good</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 xml:space="preserve">Mystery shopping exercise </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 xml:space="preserve">Likelihood of a consumer finding an alternative that has at least an additional year of guaranteed lifespan within an acceptable price range  </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235" w:hanging="142"/>
              <w:rPr>
                <w:b/>
                <w:bCs/>
                <w:noProof/>
                <w:color w:val="000000" w:themeColor="text1"/>
                <w:sz w:val="18"/>
                <w:szCs w:val="20"/>
              </w:rPr>
            </w:pPr>
            <w:r w:rsidRPr="009B5734">
              <w:rPr>
                <w:noProof/>
                <w:sz w:val="18"/>
                <w:szCs w:val="20"/>
              </w:rPr>
              <w:t>Depends on the expected evolution of the offer of commercial guarantees. This was studied using an agent-based model and two scenarios were developed considering the results of the simulations:</w:t>
            </w:r>
          </w:p>
          <w:p w:rsidR="00EA45F9" w:rsidRPr="009B5734" w:rsidRDefault="00EA45F9" w:rsidP="00981615">
            <w:pPr>
              <w:pStyle w:val="TableTextNoSpace"/>
              <w:numPr>
                <w:ilvl w:val="0"/>
                <w:numId w:val="187"/>
              </w:numPr>
              <w:spacing w:before="120" w:line="276" w:lineRule="auto"/>
              <w:ind w:left="235" w:right="0" w:hanging="142"/>
              <w:jc w:val="left"/>
              <w:rPr>
                <w:noProof/>
                <w:sz w:val="18"/>
                <w:szCs w:val="20"/>
              </w:rPr>
            </w:pPr>
            <w:r w:rsidRPr="009B5734">
              <w:rPr>
                <w:noProof/>
                <w:sz w:val="18"/>
                <w:szCs w:val="20"/>
              </w:rPr>
              <w:t>Low-moderate effectiveness (evolution of products with commercial guarantees longer than 2 years and closer to the expected lifespan low-moderate about 0.25% a year)</w:t>
            </w:r>
          </w:p>
          <w:p w:rsidR="00EA45F9" w:rsidRPr="009B5734" w:rsidRDefault="00EA45F9" w:rsidP="00981615">
            <w:pPr>
              <w:pStyle w:val="TableTextNoSpace"/>
              <w:numPr>
                <w:ilvl w:val="0"/>
                <w:numId w:val="187"/>
              </w:numPr>
              <w:spacing w:before="120" w:line="276" w:lineRule="auto"/>
              <w:ind w:left="235" w:right="0" w:hanging="142"/>
              <w:jc w:val="left"/>
              <w:rPr>
                <w:noProof/>
                <w:sz w:val="18"/>
                <w:szCs w:val="20"/>
              </w:rPr>
            </w:pPr>
            <w:r w:rsidRPr="009B5734">
              <w:rPr>
                <w:noProof/>
                <w:sz w:val="18"/>
                <w:szCs w:val="20"/>
              </w:rPr>
              <w:t>Moderate-high effectiveness (evolution of products with commercial guarantees longer than 2 years and closer to the expected lifespan moderate-high about 1% a year)</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Agent-based model provided an indication on how the offer of commercial guarantees might evolve</w:t>
            </w:r>
          </w:p>
          <w:p w:rsidR="00EA45F9" w:rsidRPr="009B5734" w:rsidRDefault="00EA45F9" w:rsidP="00981615">
            <w:pPr>
              <w:pStyle w:val="TableTextNoSpace"/>
              <w:spacing w:line="276" w:lineRule="auto"/>
              <w:ind w:left="170" w:firstLine="0"/>
              <w:rPr>
                <w:noProof/>
                <w:sz w:val="18"/>
                <w:szCs w:val="20"/>
              </w:rPr>
            </w:pPr>
            <w:r w:rsidRPr="009B5734">
              <w:rPr>
                <w:noProof/>
                <w:sz w:val="18"/>
                <w:szCs w:val="20"/>
              </w:rPr>
              <w:t>Expert judgement by a panel based on interviews and surveys with stakeholders and desk research</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Comparability of information at the baseline</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235" w:hanging="131"/>
              <w:rPr>
                <w:noProof/>
                <w:color w:val="000000" w:themeColor="text1"/>
                <w:sz w:val="18"/>
                <w:szCs w:val="20"/>
              </w:rPr>
            </w:pPr>
            <w:r w:rsidRPr="009B5734">
              <w:rPr>
                <w:noProof/>
                <w:sz w:val="18"/>
                <w:szCs w:val="20"/>
              </w:rPr>
              <w:t>The data collected related the difficulties of consumers in comparing the available information varied greatly and for that reason we defined this parameter as a uniform distribution with a lower limit of 0.5 and an upper limit of 0.85.</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 xml:space="preserve">Mystery shopping exercise </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Current lifespan of products</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235" w:hanging="142"/>
              <w:jc w:val="center"/>
              <w:rPr>
                <w:noProof/>
                <w:color w:val="000000" w:themeColor="text1"/>
                <w:sz w:val="18"/>
                <w:szCs w:val="20"/>
              </w:rPr>
            </w:pPr>
            <w:r w:rsidRPr="009B5734">
              <w:rPr>
                <w:noProof/>
                <w:sz w:val="18"/>
                <w:szCs w:val="20"/>
              </w:rPr>
              <w:t>Varies depending on the product</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 xml:space="preserve">Desk research complemented by results of the consumer survey </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Available information on expected lifespan at the baseline</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235" w:hanging="142"/>
              <w:jc w:val="center"/>
              <w:rPr>
                <w:noProof/>
                <w:color w:val="000000" w:themeColor="text1"/>
                <w:sz w:val="18"/>
                <w:szCs w:val="20"/>
              </w:rPr>
            </w:pPr>
            <w:r w:rsidRPr="009B5734">
              <w:rPr>
                <w:noProof/>
                <w:sz w:val="18"/>
                <w:szCs w:val="20"/>
              </w:rPr>
              <w:t>0%-28% depending on the product</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 xml:space="preserve">Mystery shopping conducted in the context of this study </w:t>
            </w:r>
          </w:p>
        </w:tc>
      </w:tr>
    </w:tbl>
    <w:p w:rsidR="00EA45F9" w:rsidRPr="009B5734" w:rsidRDefault="00EA45F9" w:rsidP="00EA45F9">
      <w:pPr>
        <w:rPr>
          <w:rFonts w:ascii="Verdana" w:hAnsi="Verdana"/>
          <w:noProof/>
          <w:color w:val="000000" w:themeColor="text1"/>
          <w:sz w:val="20"/>
        </w:rPr>
      </w:pPr>
    </w:p>
    <w:p w:rsidR="00EA45F9" w:rsidRPr="009B5734" w:rsidRDefault="00EA45F9" w:rsidP="00EA45F9">
      <w:pPr>
        <w:pStyle w:val="Heading5"/>
        <w:rPr>
          <w:rFonts w:ascii="Times New Roman" w:hAnsi="Times New Roman" w:cs="Times New Roman"/>
          <w:i w:val="0"/>
          <w:noProof/>
          <w:sz w:val="24"/>
        </w:rPr>
      </w:pPr>
      <w:bookmarkStart w:id="597" w:name="_Option_1.2.C:_1.2.B"/>
      <w:bookmarkStart w:id="598" w:name="_Toc60734100"/>
      <w:bookmarkEnd w:id="597"/>
      <w:r w:rsidRPr="009B5734">
        <w:rPr>
          <w:rFonts w:ascii="Times New Roman" w:hAnsi="Times New Roman" w:cs="Times New Roman"/>
          <w:i w:val="0"/>
          <w:noProof/>
          <w:sz w:val="24"/>
        </w:rPr>
        <w:t>Option 1.2.C: 1.2.B + Obligation to inform consumers on the period of time during which free software updates will be provided by manufacturers</w:t>
      </w:r>
    </w:p>
    <w:p w:rsidR="00EA45F9" w:rsidRPr="009B5734" w:rsidRDefault="00EA45F9" w:rsidP="00EA45F9">
      <w:pPr>
        <w:pStyle w:val="Titlecost"/>
        <w:rPr>
          <w:rFonts w:ascii="Times New Roman" w:hAnsi="Times New Roman" w:cs="Times New Roman"/>
          <w:noProof/>
          <w:sz w:val="24"/>
          <w:szCs w:val="24"/>
        </w:rPr>
      </w:pPr>
      <w:r w:rsidRPr="009B5734">
        <w:rPr>
          <w:rFonts w:ascii="Times New Roman" w:hAnsi="Times New Roman" w:cs="Times New Roman"/>
          <w:noProof/>
          <w:sz w:val="24"/>
          <w:szCs w:val="24"/>
        </w:rPr>
        <w:t>Administrative burden</w:t>
      </w:r>
    </w:p>
    <w:tbl>
      <w:tblPr>
        <w:tblW w:w="4916" w:type="pct"/>
        <w:tblBorders>
          <w:top w:val="single" w:sz="4" w:space="0" w:color="auto"/>
          <w:bottom w:val="single" w:sz="4" w:space="0" w:color="auto"/>
          <w:insideH w:val="single" w:sz="4" w:space="0" w:color="auto"/>
        </w:tblBorders>
        <w:shd w:val="solid" w:color="F2F2F2" w:fill="F2F2F2"/>
        <w:tblCellMar>
          <w:left w:w="0" w:type="dxa"/>
          <w:right w:w="0" w:type="dxa"/>
        </w:tblCellMar>
        <w:tblLook w:val="04A0" w:firstRow="1" w:lastRow="0" w:firstColumn="1" w:lastColumn="0" w:noHBand="0" w:noVBand="1"/>
      </w:tblPr>
      <w:tblGrid>
        <w:gridCol w:w="1742"/>
        <w:gridCol w:w="4468"/>
        <w:gridCol w:w="2262"/>
      </w:tblGrid>
      <w:tr w:rsidR="00EA45F9" w:rsidRPr="009B5734" w:rsidTr="00C84A99">
        <w:trPr>
          <w:trHeight w:val="727"/>
        </w:trPr>
        <w:tc>
          <w:tcPr>
            <w:tcW w:w="1028" w:type="pct"/>
            <w:tcBorders>
              <w:top w:val="single" w:sz="4" w:space="0" w:color="auto"/>
              <w:left w:val="nil"/>
              <w:bottom w:val="single" w:sz="4" w:space="0" w:color="auto"/>
              <w:right w:val="nil"/>
            </w:tcBorders>
            <w:shd w:val="clear" w:color="auto" w:fill="002395"/>
          </w:tcPr>
          <w:p w:rsidR="00EA45F9" w:rsidRPr="009B5734" w:rsidRDefault="00EA45F9" w:rsidP="00981615">
            <w:pPr>
              <w:pStyle w:val="TableHeadingWhite"/>
              <w:spacing w:line="276" w:lineRule="auto"/>
              <w:ind w:left="142" w:firstLine="0"/>
              <w:rPr>
                <w:noProof/>
                <w:sz w:val="18"/>
                <w:szCs w:val="20"/>
              </w:rPr>
            </w:pPr>
          </w:p>
        </w:tc>
        <w:tc>
          <w:tcPr>
            <w:tcW w:w="2637" w:type="pct"/>
            <w:tcBorders>
              <w:top w:val="single" w:sz="4" w:space="0" w:color="auto"/>
              <w:left w:val="nil"/>
              <w:bottom w:val="single" w:sz="4" w:space="0" w:color="auto"/>
              <w:right w:val="nil"/>
            </w:tcBorders>
            <w:shd w:val="clear" w:color="auto" w:fill="002395"/>
            <w:hideMark/>
          </w:tcPr>
          <w:p w:rsidR="00EA45F9" w:rsidRPr="009B5734" w:rsidRDefault="00EA45F9" w:rsidP="00981615">
            <w:pPr>
              <w:pStyle w:val="TableHeadingWhite"/>
              <w:spacing w:line="276" w:lineRule="auto"/>
              <w:ind w:left="101" w:hanging="101"/>
              <w:jc w:val="center"/>
              <w:rPr>
                <w:noProof/>
                <w:sz w:val="18"/>
                <w:szCs w:val="20"/>
              </w:rPr>
            </w:pPr>
            <w:r w:rsidRPr="009B5734">
              <w:rPr>
                <w:noProof/>
                <w:sz w:val="18"/>
                <w:szCs w:val="20"/>
              </w:rPr>
              <w:t>Assumption</w:t>
            </w:r>
          </w:p>
        </w:tc>
        <w:tc>
          <w:tcPr>
            <w:tcW w:w="1335" w:type="pct"/>
            <w:tcBorders>
              <w:top w:val="single" w:sz="4" w:space="0" w:color="auto"/>
              <w:left w:val="nil"/>
              <w:bottom w:val="single" w:sz="4" w:space="0" w:color="auto"/>
              <w:right w:val="nil"/>
            </w:tcBorders>
            <w:shd w:val="clear" w:color="auto" w:fill="002395"/>
            <w:hideMark/>
          </w:tcPr>
          <w:p w:rsidR="00EA45F9" w:rsidRPr="009B5734" w:rsidRDefault="00EA45F9" w:rsidP="00981615">
            <w:pPr>
              <w:pStyle w:val="TableHeadingWhite"/>
              <w:spacing w:line="276" w:lineRule="auto"/>
              <w:ind w:left="169" w:firstLine="0"/>
              <w:jc w:val="center"/>
              <w:rPr>
                <w:noProof/>
                <w:sz w:val="18"/>
                <w:szCs w:val="20"/>
              </w:rPr>
            </w:pPr>
            <w:r w:rsidRPr="009B5734">
              <w:rPr>
                <w:noProof/>
                <w:sz w:val="18"/>
                <w:szCs w:val="20"/>
              </w:rPr>
              <w:t>Source</w:t>
            </w:r>
          </w:p>
        </w:tc>
      </w:tr>
      <w:tr w:rsidR="00EA45F9" w:rsidRPr="009B5734" w:rsidTr="00C84A99">
        <w:trPr>
          <w:trHeight w:val="391"/>
        </w:trPr>
        <w:tc>
          <w:tcPr>
            <w:tcW w:w="5000" w:type="pct"/>
            <w:gridSpan w:val="3"/>
            <w:tcBorders>
              <w:top w:val="single" w:sz="4" w:space="0" w:color="auto"/>
              <w:left w:val="nil"/>
              <w:bottom w:val="single" w:sz="4" w:space="0" w:color="auto"/>
              <w:right w:val="nil"/>
            </w:tcBorders>
            <w:shd w:val="clear" w:color="auto" w:fill="DBE5F1" w:themeFill="accent1" w:themeFillTint="33"/>
            <w:hideMark/>
          </w:tcPr>
          <w:p w:rsidR="00EA45F9" w:rsidRPr="009B5734" w:rsidRDefault="00EA45F9" w:rsidP="00981615">
            <w:pPr>
              <w:pStyle w:val="TableHeadingWhite"/>
              <w:spacing w:line="276" w:lineRule="auto"/>
              <w:ind w:left="169" w:firstLine="0"/>
              <w:rPr>
                <w:noProof/>
                <w:sz w:val="18"/>
                <w:szCs w:val="20"/>
              </w:rPr>
            </w:pPr>
            <w:r w:rsidRPr="009B5734">
              <w:rPr>
                <w:noProof/>
                <w:sz w:val="18"/>
                <w:szCs w:val="20"/>
              </w:rPr>
              <w:t xml:space="preserve">Manufacturers (excluding those that only produce components) </w:t>
            </w:r>
          </w:p>
        </w:tc>
      </w:tr>
      <w:tr w:rsidR="00EA45F9" w:rsidRPr="009B5734" w:rsidTr="00C84A99">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Familiarization with the measure</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hanging="101"/>
              <w:jc w:val="center"/>
              <w:rPr>
                <w:i/>
                <w:iCs/>
                <w:noProof/>
                <w:color w:val="000000" w:themeColor="text1"/>
                <w:sz w:val="18"/>
                <w:szCs w:val="20"/>
              </w:rPr>
            </w:pPr>
            <w:r w:rsidRPr="009B5734">
              <w:rPr>
                <w:i/>
                <w:iCs/>
                <w:noProof/>
                <w:sz w:val="18"/>
                <w:szCs w:val="20"/>
              </w:rPr>
              <w:t>This includes not only identifying the new obligations imposed by the measure but also analysing the steps that need to be taken to comply with it (this considers the fact that SGD already covers these aspects)</w:t>
            </w:r>
          </w:p>
          <w:p w:rsidR="00EA45F9" w:rsidRPr="009B5734" w:rsidRDefault="00EA45F9" w:rsidP="00981615">
            <w:pPr>
              <w:pStyle w:val="TableTextNoSpace"/>
              <w:spacing w:line="276" w:lineRule="auto"/>
              <w:ind w:left="101" w:hanging="101"/>
              <w:rPr>
                <w:noProof/>
                <w:sz w:val="18"/>
                <w:szCs w:val="20"/>
              </w:rPr>
            </w:pPr>
            <w:r w:rsidRPr="009B5734">
              <w:rPr>
                <w:noProof/>
                <w:sz w:val="18"/>
                <w:szCs w:val="20"/>
              </w:rPr>
              <w:t>SME: [7,21]h legal team, [10.5,17.5]h product development team, [10.5,17.5]h commercial team</w:t>
            </w:r>
          </w:p>
          <w:p w:rsidR="00EA45F9" w:rsidRPr="009B5734" w:rsidRDefault="00EA45F9" w:rsidP="00981615">
            <w:pPr>
              <w:pStyle w:val="TableTextNoSpace"/>
              <w:spacing w:line="276" w:lineRule="auto"/>
              <w:ind w:left="101" w:hanging="101"/>
              <w:rPr>
                <w:noProof/>
                <w:sz w:val="18"/>
                <w:szCs w:val="20"/>
              </w:rPr>
            </w:pPr>
            <w:r w:rsidRPr="009B5734">
              <w:rPr>
                <w:noProof/>
                <w:sz w:val="18"/>
                <w:szCs w:val="20"/>
              </w:rPr>
              <w:t>Large Enterprises:  21h legal team, [28,35]h  product development team, [28,35]h  commercial team</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69" w:firstLine="0"/>
              <w:rPr>
                <w:noProof/>
                <w:sz w:val="18"/>
                <w:szCs w:val="20"/>
              </w:rPr>
            </w:pPr>
            <w:r w:rsidRPr="009B5734">
              <w:rPr>
                <w:noProof/>
                <w:sz w:val="18"/>
                <w:szCs w:val="20"/>
              </w:rPr>
              <w:t>Interviews with companies and industry associations</w:t>
            </w:r>
          </w:p>
        </w:tc>
      </w:tr>
      <w:tr w:rsidR="00EA45F9" w:rsidRPr="009B5734" w:rsidTr="00C84A99">
        <w:trPr>
          <w:trHeight w:val="1263"/>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Training</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hanging="101"/>
              <w:jc w:val="center"/>
              <w:rPr>
                <w:i/>
                <w:iCs/>
                <w:noProof/>
                <w:color w:val="000000" w:themeColor="text1"/>
                <w:sz w:val="18"/>
                <w:szCs w:val="20"/>
              </w:rPr>
            </w:pPr>
            <w:r w:rsidRPr="009B5734">
              <w:rPr>
                <w:i/>
                <w:iCs/>
                <w:noProof/>
                <w:sz w:val="18"/>
                <w:szCs w:val="20"/>
              </w:rPr>
              <w:t>This includes an initial training of managers and key employees</w:t>
            </w:r>
          </w:p>
          <w:p w:rsidR="00EA45F9" w:rsidRPr="009B5734" w:rsidRDefault="00EA45F9" w:rsidP="00981615">
            <w:pPr>
              <w:pStyle w:val="TableTextNoSpace"/>
              <w:spacing w:line="276" w:lineRule="auto"/>
              <w:ind w:left="101" w:hanging="101"/>
              <w:rPr>
                <w:noProof/>
                <w:sz w:val="18"/>
                <w:szCs w:val="20"/>
              </w:rPr>
            </w:pPr>
            <w:r w:rsidRPr="009B5734">
              <w:rPr>
                <w:noProof/>
                <w:sz w:val="18"/>
                <w:szCs w:val="20"/>
              </w:rPr>
              <w:t>SME: 1h manager + 3.5h key employees</w:t>
            </w:r>
          </w:p>
          <w:p w:rsidR="00EA45F9" w:rsidRPr="009B5734" w:rsidRDefault="00EA45F9" w:rsidP="00981615">
            <w:pPr>
              <w:pStyle w:val="TableTextNoSpace"/>
              <w:spacing w:line="276" w:lineRule="auto"/>
              <w:ind w:left="101" w:hanging="101"/>
              <w:rPr>
                <w:noProof/>
                <w:sz w:val="18"/>
                <w:szCs w:val="20"/>
              </w:rPr>
            </w:pPr>
            <w:r w:rsidRPr="009B5734">
              <w:rPr>
                <w:noProof/>
                <w:sz w:val="18"/>
                <w:szCs w:val="20"/>
              </w:rPr>
              <w:t>Large enterprises: 1.5h managers + 7h key employees</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69" w:firstLine="0"/>
              <w:rPr>
                <w:noProof/>
                <w:sz w:val="18"/>
                <w:szCs w:val="20"/>
              </w:rPr>
            </w:pPr>
            <w:r w:rsidRPr="009B5734">
              <w:rPr>
                <w:noProof/>
                <w:sz w:val="18"/>
                <w:szCs w:val="20"/>
              </w:rPr>
              <w:t>Interviews with companies and industry associations</w:t>
            </w:r>
          </w:p>
        </w:tc>
      </w:tr>
      <w:tr w:rsidR="00EA45F9" w:rsidRPr="009B5734" w:rsidTr="00C84A99">
        <w:trPr>
          <w:trHeight w:val="558"/>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Retrieving relevant information from existing data and adjusting existing data (including adapting system to retrieve information)</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hanging="101"/>
              <w:jc w:val="center"/>
              <w:rPr>
                <w:i/>
                <w:iCs/>
                <w:noProof/>
                <w:color w:val="000000" w:themeColor="text1"/>
                <w:sz w:val="18"/>
                <w:szCs w:val="20"/>
              </w:rPr>
            </w:pPr>
            <w:r w:rsidRPr="009B5734">
              <w:rPr>
                <w:i/>
                <w:iCs/>
                <w:noProof/>
                <w:sz w:val="18"/>
                <w:szCs w:val="20"/>
              </w:rPr>
              <w:t>This includes identifying and compiling all the information available on commercial guarantees and to identify for how long updates could be available</w:t>
            </w:r>
          </w:p>
          <w:p w:rsidR="00EA45F9" w:rsidRPr="009B5734" w:rsidRDefault="00EA45F9" w:rsidP="00981615">
            <w:pPr>
              <w:pStyle w:val="TableTextNoSpace"/>
              <w:spacing w:line="276" w:lineRule="auto"/>
              <w:ind w:left="101" w:hanging="101"/>
              <w:rPr>
                <w:noProof/>
                <w:sz w:val="18"/>
                <w:szCs w:val="20"/>
              </w:rPr>
            </w:pPr>
            <w:r w:rsidRPr="009B5734">
              <w:rPr>
                <w:noProof/>
                <w:sz w:val="18"/>
                <w:szCs w:val="20"/>
              </w:rPr>
              <w:t xml:space="preserve">SME: 21h </w:t>
            </w:r>
          </w:p>
          <w:p w:rsidR="00EA45F9" w:rsidRPr="009B5734" w:rsidRDefault="00EA45F9" w:rsidP="00981615">
            <w:pPr>
              <w:pStyle w:val="TableTextNoSpace"/>
              <w:spacing w:line="276" w:lineRule="auto"/>
              <w:ind w:left="101" w:hanging="101"/>
              <w:rPr>
                <w:noProof/>
                <w:sz w:val="36"/>
                <w:szCs w:val="40"/>
              </w:rPr>
            </w:pPr>
            <w:r w:rsidRPr="009B5734">
              <w:rPr>
                <w:noProof/>
                <w:sz w:val="18"/>
                <w:szCs w:val="20"/>
              </w:rPr>
              <w:t>Large enterprises: 42h</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69" w:firstLine="0"/>
              <w:rPr>
                <w:i/>
                <w:iCs/>
                <w:noProof/>
                <w:sz w:val="18"/>
                <w:szCs w:val="20"/>
              </w:rPr>
            </w:pPr>
            <w:r w:rsidRPr="009B5734">
              <w:rPr>
                <w:noProof/>
                <w:sz w:val="18"/>
                <w:szCs w:val="20"/>
              </w:rPr>
              <w:t>Interviews with companies and industry associations</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 xml:space="preserve">Producing new data </w:t>
            </w:r>
          </w:p>
        </w:tc>
        <w:tc>
          <w:tcPr>
            <w:tcW w:w="2637" w:type="pct"/>
            <w:tcBorders>
              <w:top w:val="single" w:sz="4" w:space="0" w:color="auto"/>
              <w:left w:val="nil"/>
              <w:bottom w:val="single" w:sz="4" w:space="0" w:color="auto"/>
              <w:right w:val="nil"/>
            </w:tcBorders>
            <w:shd w:val="clear" w:color="auto" w:fill="auto"/>
          </w:tcPr>
          <w:p w:rsidR="00EA45F9" w:rsidRPr="009B5734" w:rsidRDefault="00EA45F9" w:rsidP="00981615">
            <w:pPr>
              <w:pStyle w:val="TableTextNoSpace"/>
              <w:spacing w:line="276" w:lineRule="auto"/>
              <w:ind w:left="101" w:hanging="101"/>
              <w:jc w:val="center"/>
              <w:rPr>
                <w:noProof/>
                <w:color w:val="000000" w:themeColor="text1"/>
                <w:sz w:val="40"/>
                <w:szCs w:val="40"/>
              </w:rPr>
            </w:pPr>
            <w:r w:rsidRPr="009B5734">
              <w:rPr>
                <w:noProof/>
                <w:sz w:val="40"/>
                <w:szCs w:val="40"/>
              </w:rPr>
              <w:t>-</w:t>
            </w:r>
          </w:p>
          <w:p w:rsidR="00EA45F9" w:rsidRPr="009B5734" w:rsidRDefault="00EA45F9" w:rsidP="00981615">
            <w:pPr>
              <w:pStyle w:val="TableTextNoSpace"/>
              <w:spacing w:line="276" w:lineRule="auto"/>
              <w:ind w:left="101" w:hanging="101"/>
              <w:jc w:val="center"/>
              <w:rPr>
                <w:noProof/>
                <w:sz w:val="18"/>
                <w:szCs w:val="20"/>
              </w:rPr>
            </w:pP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169" w:firstLine="0"/>
              <w:rPr>
                <w:iCs/>
                <w:noProof/>
                <w:sz w:val="18"/>
                <w:szCs w:val="20"/>
              </w:rPr>
            </w:pP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Designing and placing information material</w:t>
            </w:r>
          </w:p>
        </w:tc>
        <w:tc>
          <w:tcPr>
            <w:tcW w:w="2637" w:type="pct"/>
            <w:tcBorders>
              <w:top w:val="single" w:sz="4" w:space="0" w:color="auto"/>
              <w:left w:val="nil"/>
              <w:bottom w:val="single" w:sz="4" w:space="0" w:color="auto"/>
              <w:right w:val="nil"/>
            </w:tcBorders>
            <w:shd w:val="clear" w:color="auto" w:fill="auto"/>
          </w:tcPr>
          <w:p w:rsidR="00EA45F9" w:rsidRPr="009B5734" w:rsidRDefault="00EA45F9" w:rsidP="00981615">
            <w:pPr>
              <w:pStyle w:val="TableTextNoSpace"/>
              <w:spacing w:line="276" w:lineRule="auto"/>
              <w:ind w:left="101" w:hanging="101"/>
              <w:jc w:val="center"/>
              <w:rPr>
                <w:noProof/>
                <w:color w:val="000000" w:themeColor="text1"/>
                <w:sz w:val="40"/>
                <w:szCs w:val="40"/>
              </w:rPr>
            </w:pPr>
            <w:r w:rsidRPr="009B5734">
              <w:rPr>
                <w:noProof/>
                <w:sz w:val="40"/>
                <w:szCs w:val="40"/>
              </w:rPr>
              <w:t>-</w:t>
            </w:r>
          </w:p>
          <w:p w:rsidR="00EA45F9" w:rsidRPr="009B5734" w:rsidRDefault="00EA45F9" w:rsidP="00981615">
            <w:pPr>
              <w:pStyle w:val="TableTextNoSpace"/>
              <w:spacing w:line="276" w:lineRule="auto"/>
              <w:ind w:left="101" w:hanging="101"/>
              <w:rPr>
                <w:i/>
                <w:iCs/>
                <w:noProof/>
                <w:sz w:val="18"/>
                <w:szCs w:val="20"/>
              </w:rPr>
            </w:pP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169" w:firstLine="0"/>
              <w:jc w:val="center"/>
              <w:rPr>
                <w:noProof/>
                <w:sz w:val="18"/>
                <w:szCs w:val="20"/>
              </w:rPr>
            </w:pP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Adjust forms and tables (one-off)</w:t>
            </w:r>
          </w:p>
        </w:tc>
        <w:tc>
          <w:tcPr>
            <w:tcW w:w="2637"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101" w:hanging="101"/>
              <w:jc w:val="center"/>
              <w:rPr>
                <w:noProof/>
                <w:color w:val="000000" w:themeColor="text1"/>
                <w:sz w:val="40"/>
                <w:szCs w:val="40"/>
              </w:rPr>
            </w:pPr>
            <w:r w:rsidRPr="009B5734">
              <w:rPr>
                <w:noProof/>
                <w:sz w:val="40"/>
                <w:szCs w:val="40"/>
              </w:rPr>
              <w:t>-</w:t>
            </w:r>
          </w:p>
          <w:p w:rsidR="00EA45F9" w:rsidRPr="009B5734" w:rsidRDefault="00EA45F9" w:rsidP="00981615">
            <w:pPr>
              <w:pStyle w:val="TableTextNoSpace"/>
              <w:spacing w:line="276" w:lineRule="auto"/>
              <w:ind w:left="101" w:hanging="101"/>
              <w:jc w:val="center"/>
              <w:rPr>
                <w:noProof/>
                <w:sz w:val="18"/>
                <w:szCs w:val="20"/>
              </w:rPr>
            </w:pPr>
          </w:p>
        </w:tc>
        <w:tc>
          <w:tcPr>
            <w:tcW w:w="1335" w:type="pct"/>
            <w:tcBorders>
              <w:top w:val="single" w:sz="4" w:space="0" w:color="auto"/>
              <w:left w:val="nil"/>
              <w:bottom w:val="single" w:sz="4" w:space="0" w:color="auto"/>
              <w:right w:val="nil"/>
            </w:tcBorders>
            <w:shd w:val="clear" w:color="auto" w:fill="auto"/>
            <w:vAlign w:val="center"/>
            <w:hideMark/>
          </w:tcPr>
          <w:p w:rsidR="00EA45F9" w:rsidRPr="009B5734" w:rsidRDefault="00EA45F9" w:rsidP="00981615">
            <w:pPr>
              <w:pStyle w:val="TableTextNoSpace"/>
              <w:spacing w:line="276" w:lineRule="auto"/>
              <w:ind w:left="169" w:firstLine="0"/>
              <w:rPr>
                <w:noProof/>
                <w:sz w:val="18"/>
                <w:szCs w:val="20"/>
              </w:rPr>
            </w:pP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Inspections (internal and external)</w:t>
            </w:r>
          </w:p>
        </w:tc>
        <w:tc>
          <w:tcPr>
            <w:tcW w:w="2637"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101" w:hanging="101"/>
              <w:jc w:val="center"/>
              <w:rPr>
                <w:noProof/>
                <w:color w:val="000000" w:themeColor="text1"/>
                <w:sz w:val="40"/>
                <w:szCs w:val="40"/>
              </w:rPr>
            </w:pPr>
            <w:r w:rsidRPr="009B5734">
              <w:rPr>
                <w:noProof/>
                <w:sz w:val="40"/>
                <w:szCs w:val="40"/>
              </w:rPr>
              <w:t>-</w:t>
            </w:r>
          </w:p>
          <w:p w:rsidR="00EA45F9" w:rsidRPr="009B5734" w:rsidRDefault="00EA45F9" w:rsidP="00981615">
            <w:pPr>
              <w:pStyle w:val="TableTextNoSpace"/>
              <w:spacing w:line="276" w:lineRule="auto"/>
              <w:ind w:left="101" w:hanging="101"/>
              <w:rPr>
                <w:noProof/>
                <w:sz w:val="18"/>
                <w:szCs w:val="20"/>
              </w:rPr>
            </w:pPr>
          </w:p>
        </w:tc>
        <w:tc>
          <w:tcPr>
            <w:tcW w:w="1335" w:type="pct"/>
            <w:tcBorders>
              <w:top w:val="single" w:sz="4" w:space="0" w:color="auto"/>
              <w:left w:val="nil"/>
              <w:bottom w:val="single" w:sz="4" w:space="0" w:color="auto"/>
              <w:right w:val="nil"/>
            </w:tcBorders>
            <w:shd w:val="clear" w:color="auto" w:fill="auto"/>
            <w:vAlign w:val="center"/>
            <w:hideMark/>
          </w:tcPr>
          <w:p w:rsidR="00EA45F9" w:rsidRPr="009B5734" w:rsidRDefault="00EA45F9" w:rsidP="00981615">
            <w:pPr>
              <w:pStyle w:val="TableTextNoSpace"/>
              <w:spacing w:line="276" w:lineRule="auto"/>
              <w:ind w:left="169" w:firstLine="0"/>
              <w:rPr>
                <w:noProof/>
                <w:sz w:val="18"/>
                <w:szCs w:val="20"/>
              </w:rPr>
            </w:pPr>
          </w:p>
        </w:tc>
      </w:tr>
      <w:tr w:rsidR="00EA45F9" w:rsidRPr="009B5734" w:rsidTr="00C84A99">
        <w:trPr>
          <w:trHeight w:val="391"/>
        </w:trPr>
        <w:tc>
          <w:tcPr>
            <w:tcW w:w="5000" w:type="pct"/>
            <w:gridSpan w:val="3"/>
            <w:tcBorders>
              <w:top w:val="single" w:sz="4" w:space="0" w:color="auto"/>
              <w:left w:val="nil"/>
              <w:bottom w:val="single" w:sz="4" w:space="0" w:color="auto"/>
              <w:right w:val="nil"/>
            </w:tcBorders>
            <w:shd w:val="clear" w:color="auto" w:fill="DBE5F1" w:themeFill="accent1" w:themeFillTint="33"/>
            <w:hideMark/>
          </w:tcPr>
          <w:p w:rsidR="00EA45F9" w:rsidRPr="009B5734" w:rsidRDefault="00EA45F9" w:rsidP="00981615">
            <w:pPr>
              <w:pStyle w:val="TableHeadingWhite"/>
              <w:spacing w:line="276" w:lineRule="auto"/>
              <w:ind w:left="169" w:firstLine="0"/>
              <w:rPr>
                <w:noProof/>
                <w:sz w:val="18"/>
                <w:szCs w:val="20"/>
              </w:rPr>
            </w:pPr>
            <w:r w:rsidRPr="009B5734">
              <w:rPr>
                <w:noProof/>
                <w:sz w:val="18"/>
                <w:szCs w:val="20"/>
              </w:rPr>
              <w:t xml:space="preserve">Retailers </w:t>
            </w:r>
          </w:p>
        </w:tc>
      </w:tr>
      <w:tr w:rsidR="00EA45F9" w:rsidRPr="009B5734" w:rsidTr="00C84A99">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Familiarization with the measure</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hanging="101"/>
              <w:rPr>
                <w:i/>
                <w:iCs/>
                <w:noProof/>
                <w:color w:val="000000" w:themeColor="text1"/>
                <w:sz w:val="18"/>
                <w:szCs w:val="20"/>
              </w:rPr>
            </w:pPr>
            <w:r w:rsidRPr="009B5734">
              <w:rPr>
                <w:i/>
                <w:iCs/>
                <w:noProof/>
                <w:sz w:val="18"/>
                <w:szCs w:val="20"/>
              </w:rPr>
              <w:t xml:space="preserve">This includes not only identifying the new obligations imposed by the measure but also analysing the steps that need to be taken to comply with it </w:t>
            </w:r>
          </w:p>
          <w:p w:rsidR="00EA45F9" w:rsidRPr="009B5734" w:rsidRDefault="00EA45F9" w:rsidP="00981615">
            <w:pPr>
              <w:pStyle w:val="TableTextNoSpace"/>
              <w:spacing w:line="276" w:lineRule="auto"/>
              <w:ind w:left="101" w:hanging="101"/>
              <w:rPr>
                <w:noProof/>
                <w:sz w:val="18"/>
                <w:szCs w:val="20"/>
              </w:rPr>
            </w:pPr>
            <w:r w:rsidRPr="009B5734">
              <w:rPr>
                <w:noProof/>
                <w:sz w:val="18"/>
                <w:szCs w:val="20"/>
              </w:rPr>
              <w:t>SME: [7,17.5]h legal team; 17.5h commercial team</w:t>
            </w:r>
          </w:p>
          <w:p w:rsidR="00EA45F9" w:rsidRPr="009B5734" w:rsidRDefault="00EA45F9" w:rsidP="00981615">
            <w:pPr>
              <w:pStyle w:val="TableTextNoSpace"/>
              <w:spacing w:line="276" w:lineRule="auto"/>
              <w:ind w:left="101" w:hanging="101"/>
              <w:rPr>
                <w:noProof/>
                <w:sz w:val="18"/>
                <w:szCs w:val="20"/>
              </w:rPr>
            </w:pPr>
            <w:r w:rsidRPr="009B5734">
              <w:rPr>
                <w:noProof/>
                <w:sz w:val="18"/>
                <w:szCs w:val="20"/>
              </w:rPr>
              <w:t>Large Enterprises:  17.5h legal team, 35h commercial team</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69" w:firstLine="0"/>
              <w:rPr>
                <w:noProof/>
                <w:sz w:val="18"/>
                <w:szCs w:val="20"/>
              </w:rPr>
            </w:pPr>
            <w:r w:rsidRPr="009B5734">
              <w:rPr>
                <w:noProof/>
                <w:sz w:val="18"/>
                <w:szCs w:val="20"/>
              </w:rPr>
              <w:t>Interviews with companies and industry associations</w:t>
            </w:r>
          </w:p>
        </w:tc>
      </w:tr>
      <w:tr w:rsidR="00EA45F9" w:rsidRPr="009B5734" w:rsidTr="00C84A99">
        <w:trPr>
          <w:trHeight w:val="1263"/>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Training</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hanging="101"/>
              <w:rPr>
                <w:i/>
                <w:iCs/>
                <w:noProof/>
                <w:color w:val="000000" w:themeColor="text1"/>
                <w:sz w:val="18"/>
                <w:szCs w:val="20"/>
              </w:rPr>
            </w:pPr>
            <w:r w:rsidRPr="009B5734">
              <w:rPr>
                <w:i/>
                <w:iCs/>
                <w:noProof/>
                <w:sz w:val="18"/>
                <w:szCs w:val="20"/>
              </w:rPr>
              <w:t>This includes an initial training of managers and key employees</w:t>
            </w:r>
          </w:p>
          <w:p w:rsidR="00EA45F9" w:rsidRPr="009B5734" w:rsidRDefault="00EA45F9" w:rsidP="00981615">
            <w:pPr>
              <w:pStyle w:val="TableTextNoSpace"/>
              <w:spacing w:line="276" w:lineRule="auto"/>
              <w:ind w:left="101" w:hanging="101"/>
              <w:rPr>
                <w:noProof/>
                <w:sz w:val="18"/>
                <w:szCs w:val="20"/>
              </w:rPr>
            </w:pPr>
            <w:r w:rsidRPr="009B5734">
              <w:rPr>
                <w:noProof/>
                <w:sz w:val="18"/>
                <w:szCs w:val="20"/>
              </w:rPr>
              <w:t>SME: 0.5h manager + 4h key employees</w:t>
            </w:r>
          </w:p>
          <w:p w:rsidR="00EA45F9" w:rsidRPr="009B5734" w:rsidRDefault="00EA45F9" w:rsidP="00981615">
            <w:pPr>
              <w:pStyle w:val="TableTextNoSpace"/>
              <w:spacing w:line="276" w:lineRule="auto"/>
              <w:ind w:left="101" w:hanging="101"/>
              <w:rPr>
                <w:noProof/>
                <w:sz w:val="18"/>
                <w:szCs w:val="20"/>
              </w:rPr>
            </w:pPr>
            <w:r w:rsidRPr="009B5734">
              <w:rPr>
                <w:noProof/>
                <w:sz w:val="18"/>
                <w:szCs w:val="20"/>
              </w:rPr>
              <w:t>Large enterprises: 1h managers + 8h key employees</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69" w:firstLine="0"/>
              <w:rPr>
                <w:noProof/>
                <w:sz w:val="18"/>
                <w:szCs w:val="20"/>
              </w:rPr>
            </w:pPr>
            <w:r w:rsidRPr="009B5734">
              <w:rPr>
                <w:noProof/>
                <w:sz w:val="18"/>
                <w:szCs w:val="20"/>
              </w:rPr>
              <w:t>Interviews with companies and industry associations</w:t>
            </w:r>
          </w:p>
        </w:tc>
      </w:tr>
      <w:tr w:rsidR="00EA45F9" w:rsidRPr="009B5734" w:rsidTr="00C84A99">
        <w:trPr>
          <w:trHeight w:val="558"/>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Retrieving relevant information from existing data and adjusting existing data</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hanging="101"/>
              <w:jc w:val="center"/>
              <w:rPr>
                <w:noProof/>
                <w:color w:val="000000" w:themeColor="text1"/>
                <w:sz w:val="36"/>
                <w:szCs w:val="36"/>
              </w:rPr>
            </w:pPr>
            <w:r w:rsidRPr="009B5734">
              <w:rPr>
                <w:noProof/>
                <w:sz w:val="36"/>
                <w:szCs w:val="36"/>
              </w:rPr>
              <w:t>-</w:t>
            </w:r>
          </w:p>
        </w:tc>
        <w:tc>
          <w:tcPr>
            <w:tcW w:w="1335" w:type="pct"/>
            <w:tcBorders>
              <w:top w:val="single" w:sz="4" w:space="0" w:color="auto"/>
              <w:left w:val="nil"/>
              <w:bottom w:val="single" w:sz="4" w:space="0" w:color="auto"/>
              <w:right w:val="nil"/>
            </w:tcBorders>
            <w:shd w:val="clear" w:color="auto" w:fill="auto"/>
          </w:tcPr>
          <w:p w:rsidR="00EA45F9" w:rsidRPr="009B5734" w:rsidRDefault="00EA45F9" w:rsidP="00981615">
            <w:pPr>
              <w:pStyle w:val="TableTextNoSpace"/>
              <w:spacing w:line="276" w:lineRule="auto"/>
              <w:ind w:left="169" w:firstLine="0"/>
              <w:rPr>
                <w:i/>
                <w:iCs/>
                <w:noProof/>
                <w:sz w:val="18"/>
                <w:szCs w:val="20"/>
              </w:rPr>
            </w:pP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Producing new data</w:t>
            </w:r>
          </w:p>
        </w:tc>
        <w:tc>
          <w:tcPr>
            <w:tcW w:w="2637" w:type="pct"/>
            <w:tcBorders>
              <w:top w:val="single" w:sz="4" w:space="0" w:color="auto"/>
              <w:left w:val="nil"/>
              <w:bottom w:val="single" w:sz="4" w:space="0" w:color="auto"/>
              <w:right w:val="nil"/>
            </w:tcBorders>
            <w:shd w:val="clear" w:color="auto" w:fill="auto"/>
            <w:vAlign w:val="center"/>
            <w:hideMark/>
          </w:tcPr>
          <w:p w:rsidR="00EA45F9" w:rsidRPr="009B5734" w:rsidRDefault="00EA45F9" w:rsidP="00981615">
            <w:pPr>
              <w:pStyle w:val="TableTextNoSpace"/>
              <w:spacing w:line="276" w:lineRule="auto"/>
              <w:ind w:left="101" w:hanging="101"/>
              <w:jc w:val="center"/>
              <w:rPr>
                <w:noProof/>
                <w:color w:val="000000" w:themeColor="text1"/>
                <w:sz w:val="40"/>
                <w:szCs w:val="40"/>
              </w:rPr>
            </w:pPr>
            <w:r w:rsidRPr="009B5734">
              <w:rPr>
                <w:noProof/>
                <w:sz w:val="40"/>
                <w:szCs w:val="40"/>
              </w:rPr>
              <w:t>-</w:t>
            </w:r>
          </w:p>
          <w:p w:rsidR="00EA45F9" w:rsidRPr="009B5734" w:rsidRDefault="00EA45F9" w:rsidP="00981615">
            <w:pPr>
              <w:pStyle w:val="TableTextNoSpace"/>
              <w:spacing w:line="276" w:lineRule="auto"/>
              <w:ind w:left="101" w:hanging="101"/>
              <w:rPr>
                <w:noProof/>
                <w:sz w:val="18"/>
                <w:szCs w:val="20"/>
              </w:rPr>
            </w:pPr>
          </w:p>
        </w:tc>
        <w:tc>
          <w:tcPr>
            <w:tcW w:w="1335" w:type="pct"/>
            <w:tcBorders>
              <w:top w:val="single" w:sz="4" w:space="0" w:color="auto"/>
              <w:left w:val="nil"/>
              <w:bottom w:val="single" w:sz="4" w:space="0" w:color="auto"/>
              <w:right w:val="nil"/>
            </w:tcBorders>
            <w:shd w:val="clear" w:color="auto" w:fill="auto"/>
            <w:vAlign w:val="center"/>
            <w:hideMark/>
          </w:tcPr>
          <w:p w:rsidR="00EA45F9" w:rsidRPr="009B5734" w:rsidRDefault="00EA45F9" w:rsidP="00981615">
            <w:pPr>
              <w:pStyle w:val="TableTextNoSpace"/>
              <w:spacing w:line="276" w:lineRule="auto"/>
              <w:ind w:left="169" w:firstLine="0"/>
              <w:rPr>
                <w:iCs/>
                <w:noProof/>
                <w:sz w:val="18"/>
                <w:szCs w:val="20"/>
              </w:rPr>
            </w:pP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Designing and placing information material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hanging="101"/>
              <w:jc w:val="center"/>
              <w:rPr>
                <w:i/>
                <w:iCs/>
                <w:noProof/>
                <w:color w:val="000000" w:themeColor="text1"/>
                <w:sz w:val="18"/>
                <w:szCs w:val="20"/>
              </w:rPr>
            </w:pPr>
            <w:r w:rsidRPr="009B5734">
              <w:rPr>
                <w:i/>
                <w:iCs/>
                <w:noProof/>
                <w:sz w:val="18"/>
                <w:szCs w:val="20"/>
              </w:rPr>
              <w:t>Replacement of tags in the first year/update of website</w:t>
            </w:r>
          </w:p>
          <w:p w:rsidR="00EA45F9" w:rsidRPr="009B5734" w:rsidRDefault="00EA45F9" w:rsidP="00981615">
            <w:pPr>
              <w:pStyle w:val="TableTextNoSpace"/>
              <w:spacing w:line="276" w:lineRule="auto"/>
              <w:ind w:left="101" w:hanging="101"/>
              <w:jc w:val="center"/>
              <w:rPr>
                <w:i/>
                <w:iCs/>
                <w:noProof/>
                <w:sz w:val="18"/>
                <w:szCs w:val="20"/>
              </w:rPr>
            </w:pPr>
            <w:r w:rsidRPr="009B5734">
              <w:rPr>
                <w:i/>
                <w:iCs/>
                <w:noProof/>
                <w:sz w:val="18"/>
                <w:szCs w:val="20"/>
              </w:rPr>
              <w:t>35h to redesign, 5 minutes to replace existing tags (per tag)</w:t>
            </w:r>
          </w:p>
        </w:tc>
        <w:tc>
          <w:tcPr>
            <w:tcW w:w="1335" w:type="pct"/>
            <w:tcBorders>
              <w:top w:val="single" w:sz="4" w:space="0" w:color="auto"/>
              <w:left w:val="nil"/>
              <w:bottom w:val="single" w:sz="4" w:space="0" w:color="auto"/>
              <w:right w:val="nil"/>
            </w:tcBorders>
            <w:shd w:val="clear" w:color="auto" w:fill="auto"/>
            <w:vAlign w:val="center"/>
            <w:hideMark/>
          </w:tcPr>
          <w:p w:rsidR="00EA45F9" w:rsidRPr="009B5734" w:rsidRDefault="00EA45F9" w:rsidP="00981615">
            <w:pPr>
              <w:pStyle w:val="TableTextNoSpace"/>
              <w:spacing w:line="276" w:lineRule="auto"/>
              <w:ind w:left="169" w:firstLine="0"/>
              <w:rPr>
                <w:noProof/>
                <w:sz w:val="18"/>
                <w:szCs w:val="20"/>
              </w:rPr>
            </w:pPr>
            <w:r w:rsidRPr="009B5734">
              <w:rPr>
                <w:noProof/>
                <w:sz w:val="18"/>
                <w:szCs w:val="20"/>
              </w:rPr>
              <w:t>Interviews with companies and industry associations</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Adjust forms and tables (one-off)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hanging="101"/>
              <w:jc w:val="center"/>
              <w:rPr>
                <w:noProof/>
                <w:color w:val="000000" w:themeColor="text1"/>
                <w:sz w:val="18"/>
                <w:szCs w:val="18"/>
              </w:rPr>
            </w:pPr>
            <w:r w:rsidRPr="009B5734">
              <w:rPr>
                <w:noProof/>
                <w:sz w:val="36"/>
                <w:szCs w:val="36"/>
              </w:rPr>
              <w:t>-</w:t>
            </w: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169" w:firstLine="0"/>
              <w:jc w:val="center"/>
              <w:rPr>
                <w:noProof/>
                <w:sz w:val="18"/>
                <w:szCs w:val="20"/>
              </w:rPr>
            </w:pP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Inspections (internal and external)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hanging="101"/>
              <w:rPr>
                <w:noProof/>
                <w:color w:val="000000" w:themeColor="text1"/>
                <w:sz w:val="18"/>
                <w:szCs w:val="20"/>
              </w:rPr>
            </w:pPr>
            <w:r w:rsidRPr="009B5734">
              <w:rPr>
                <w:noProof/>
                <w:sz w:val="18"/>
                <w:szCs w:val="20"/>
              </w:rPr>
              <w:t>Internal inspections:</w:t>
            </w:r>
          </w:p>
          <w:p w:rsidR="00EA45F9" w:rsidRPr="009B5734" w:rsidRDefault="00EA45F9" w:rsidP="00981615">
            <w:pPr>
              <w:pStyle w:val="TableTextNoSpace"/>
              <w:numPr>
                <w:ilvl w:val="0"/>
                <w:numId w:val="189"/>
              </w:numPr>
              <w:spacing w:before="120" w:line="276" w:lineRule="auto"/>
              <w:ind w:left="101" w:right="0" w:hanging="101"/>
              <w:jc w:val="left"/>
              <w:rPr>
                <w:noProof/>
                <w:sz w:val="18"/>
                <w:szCs w:val="20"/>
              </w:rPr>
            </w:pPr>
            <w:r w:rsidRPr="009B5734">
              <w:rPr>
                <w:noProof/>
                <w:sz w:val="18"/>
                <w:szCs w:val="20"/>
              </w:rPr>
              <w:t>SME: [1,2]h manager plus [7,14]h employee per year</w:t>
            </w:r>
          </w:p>
          <w:p w:rsidR="00EA45F9" w:rsidRPr="009B5734" w:rsidRDefault="00EA45F9" w:rsidP="00981615">
            <w:pPr>
              <w:pStyle w:val="TableTextNoSpace"/>
              <w:numPr>
                <w:ilvl w:val="0"/>
                <w:numId w:val="189"/>
              </w:numPr>
              <w:spacing w:before="120" w:line="276" w:lineRule="auto"/>
              <w:ind w:left="101" w:right="0" w:hanging="101"/>
              <w:jc w:val="left"/>
              <w:rPr>
                <w:noProof/>
                <w:sz w:val="18"/>
                <w:szCs w:val="20"/>
              </w:rPr>
            </w:pPr>
            <w:r w:rsidRPr="009B5734">
              <w:rPr>
                <w:noProof/>
                <w:sz w:val="18"/>
                <w:szCs w:val="20"/>
              </w:rPr>
              <w:t>Large enterprises: [2,4]h manager plus [14,28]h employee per year</w:t>
            </w:r>
          </w:p>
          <w:p w:rsidR="00EA45F9" w:rsidRPr="009B5734" w:rsidRDefault="00EA45F9" w:rsidP="00981615">
            <w:pPr>
              <w:pStyle w:val="TableTextNoSpace"/>
              <w:spacing w:line="276" w:lineRule="auto"/>
              <w:ind w:left="101" w:hanging="101"/>
              <w:rPr>
                <w:noProof/>
                <w:sz w:val="18"/>
                <w:szCs w:val="20"/>
              </w:rPr>
            </w:pPr>
            <w:r w:rsidRPr="009B5734">
              <w:rPr>
                <w:i/>
                <w:iCs/>
                <w:noProof/>
                <w:sz w:val="18"/>
                <w:szCs w:val="20"/>
              </w:rPr>
              <w:t>External inspections are expected to take place in less than 1% of the companies</w:t>
            </w: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169" w:firstLine="0"/>
              <w:rPr>
                <w:noProof/>
                <w:sz w:val="18"/>
                <w:szCs w:val="20"/>
              </w:rPr>
            </w:pPr>
            <w:r w:rsidRPr="009B5734">
              <w:rPr>
                <w:noProof/>
                <w:sz w:val="18"/>
                <w:szCs w:val="20"/>
              </w:rPr>
              <w:t>Interviews with companies and industry associations</w:t>
            </w:r>
          </w:p>
          <w:p w:rsidR="00EA45F9" w:rsidRPr="009B5734" w:rsidRDefault="00EA45F9" w:rsidP="00981615">
            <w:pPr>
              <w:pStyle w:val="TableTextNoSpace"/>
              <w:spacing w:line="276" w:lineRule="auto"/>
              <w:ind w:left="169" w:firstLine="0"/>
              <w:rPr>
                <w:noProof/>
                <w:sz w:val="18"/>
                <w:szCs w:val="20"/>
              </w:rPr>
            </w:pPr>
          </w:p>
          <w:p w:rsidR="00EA45F9" w:rsidRPr="009B5734" w:rsidRDefault="00EA45F9" w:rsidP="00981615">
            <w:pPr>
              <w:pStyle w:val="TableTextNoSpace"/>
              <w:spacing w:line="276" w:lineRule="auto"/>
              <w:ind w:left="169" w:firstLine="0"/>
              <w:rPr>
                <w:noProof/>
                <w:sz w:val="18"/>
                <w:szCs w:val="20"/>
              </w:rPr>
            </w:pPr>
          </w:p>
          <w:p w:rsidR="00EA45F9" w:rsidRPr="009B5734" w:rsidRDefault="00EA45F9" w:rsidP="00981615">
            <w:pPr>
              <w:pStyle w:val="TableTextNoSpace"/>
              <w:spacing w:line="276" w:lineRule="auto"/>
              <w:ind w:left="169" w:firstLine="0"/>
              <w:rPr>
                <w:noProof/>
                <w:sz w:val="18"/>
                <w:szCs w:val="20"/>
              </w:rPr>
            </w:pPr>
            <w:r w:rsidRPr="009B5734">
              <w:rPr>
                <w:noProof/>
                <w:sz w:val="18"/>
                <w:szCs w:val="20"/>
              </w:rPr>
              <w:t>Expert judgment by panel</w:t>
            </w:r>
          </w:p>
        </w:tc>
      </w:tr>
    </w:tbl>
    <w:p w:rsidR="00EA45F9" w:rsidRPr="009B5734" w:rsidRDefault="00EA45F9" w:rsidP="00EA45F9">
      <w:pPr>
        <w:rPr>
          <w:rFonts w:ascii="Verdana" w:hAnsi="Verdana"/>
          <w:noProof/>
          <w:color w:val="000000" w:themeColor="text1"/>
          <w:sz w:val="20"/>
        </w:rPr>
      </w:pPr>
    </w:p>
    <w:p w:rsidR="00EA45F9" w:rsidRPr="009B5734" w:rsidRDefault="00EA45F9" w:rsidP="00EA45F9">
      <w:pPr>
        <w:pStyle w:val="Titlecost"/>
        <w:rPr>
          <w:rFonts w:ascii="Times New Roman" w:hAnsi="Times New Roman" w:cs="Times New Roman"/>
          <w:noProof/>
          <w:sz w:val="24"/>
          <w:szCs w:val="24"/>
        </w:rPr>
      </w:pPr>
      <w:r w:rsidRPr="009B5734">
        <w:rPr>
          <w:rFonts w:ascii="Times New Roman" w:hAnsi="Times New Roman" w:cs="Times New Roman"/>
          <w:noProof/>
          <w:sz w:val="24"/>
          <w:szCs w:val="24"/>
        </w:rPr>
        <w:t>Enforcement costs</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enforcement costs are expected to be the same as for option 1.2.B.</w:t>
      </w:r>
    </w:p>
    <w:p w:rsidR="00EA45F9" w:rsidRPr="009B5734" w:rsidRDefault="00EA45F9" w:rsidP="00EA45F9">
      <w:pPr>
        <w:pStyle w:val="Titlecost"/>
        <w:rPr>
          <w:rFonts w:ascii="Times New Roman" w:hAnsi="Times New Roman" w:cs="Times New Roman"/>
          <w:noProof/>
          <w:sz w:val="24"/>
          <w:szCs w:val="24"/>
        </w:rPr>
      </w:pPr>
      <w:r w:rsidRPr="009B5734">
        <w:rPr>
          <w:rFonts w:ascii="Times New Roman" w:hAnsi="Times New Roman" w:cs="Times New Roman"/>
          <w:noProof/>
          <w:sz w:val="24"/>
          <w:szCs w:val="24"/>
        </w:rPr>
        <w:t>Impact on monetisable consumer welfare</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impact on monetisable consumer welfare is equal to the impacts calculated for option 1.2.B plus the impacts to consumers arising from receiving information about software updates (when applicable).</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approach followed to monetise the consumer welfare related to the provision of information on software updates is illustrated in the figure below.</w:t>
      </w:r>
    </w:p>
    <w:p w:rsidR="00EA45F9" w:rsidRPr="009B5734" w:rsidRDefault="00EA45F9" w:rsidP="00EA45F9">
      <w:pPr>
        <w:rPr>
          <w:noProof/>
        </w:rPr>
      </w:pPr>
      <w:r w:rsidRPr="009B5734">
        <w:rPr>
          <w:noProof/>
          <w:lang w:eastAsia="en-GB"/>
        </w:rPr>
        <w:drawing>
          <wp:inline distT="0" distB="0" distL="0" distR="0" wp14:anchorId="03762A80" wp14:editId="67491331">
            <wp:extent cx="5584825" cy="2585720"/>
            <wp:effectExtent l="0" t="0" r="0" b="508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84825" cy="2585720"/>
                    </a:xfrm>
                    <a:prstGeom prst="rect">
                      <a:avLst/>
                    </a:prstGeom>
                    <a:noFill/>
                    <a:ln>
                      <a:noFill/>
                    </a:ln>
                  </pic:spPr>
                </pic:pic>
              </a:graphicData>
            </a:graphic>
          </wp:inline>
        </w:drawing>
      </w:r>
    </w:p>
    <w:p w:rsidR="00EA45F9" w:rsidRPr="009B5734" w:rsidRDefault="00EA45F9" w:rsidP="00EA45F9">
      <w:pPr>
        <w:rPr>
          <w:noProof/>
        </w:rPr>
      </w:pPr>
    </w:p>
    <w:tbl>
      <w:tblPr>
        <w:tblW w:w="4916" w:type="pct"/>
        <w:tblBorders>
          <w:top w:val="single" w:sz="4" w:space="0" w:color="auto"/>
          <w:bottom w:val="single" w:sz="4" w:space="0" w:color="auto"/>
          <w:insideH w:val="single" w:sz="4" w:space="0" w:color="auto"/>
        </w:tblBorders>
        <w:shd w:val="solid" w:color="F2F2F2" w:fill="F2F2F2"/>
        <w:tblCellMar>
          <w:left w:w="0" w:type="dxa"/>
          <w:right w:w="0" w:type="dxa"/>
        </w:tblCellMar>
        <w:tblLook w:val="04A0" w:firstRow="1" w:lastRow="0" w:firstColumn="1" w:lastColumn="0" w:noHBand="0" w:noVBand="1"/>
      </w:tblPr>
      <w:tblGrid>
        <w:gridCol w:w="1742"/>
        <w:gridCol w:w="4468"/>
        <w:gridCol w:w="2262"/>
      </w:tblGrid>
      <w:tr w:rsidR="00EA45F9" w:rsidRPr="009B5734" w:rsidTr="00981615">
        <w:trPr>
          <w:trHeight w:val="727"/>
        </w:trPr>
        <w:tc>
          <w:tcPr>
            <w:tcW w:w="1028" w:type="pct"/>
            <w:tcBorders>
              <w:top w:val="single" w:sz="4" w:space="0" w:color="auto"/>
              <w:left w:val="nil"/>
              <w:bottom w:val="single" w:sz="4" w:space="0" w:color="auto"/>
              <w:right w:val="nil"/>
            </w:tcBorders>
            <w:shd w:val="solid" w:color="002395" w:fill="002395"/>
          </w:tcPr>
          <w:p w:rsidR="00EA45F9" w:rsidRPr="009B5734" w:rsidRDefault="00EA45F9" w:rsidP="00981615">
            <w:pPr>
              <w:pStyle w:val="TableHeadingWhite"/>
              <w:spacing w:line="276" w:lineRule="auto"/>
              <w:ind w:left="142" w:firstLine="0"/>
              <w:rPr>
                <w:noProof/>
                <w:sz w:val="18"/>
                <w:szCs w:val="20"/>
              </w:rPr>
            </w:pPr>
          </w:p>
        </w:tc>
        <w:tc>
          <w:tcPr>
            <w:tcW w:w="2637" w:type="pct"/>
            <w:tcBorders>
              <w:top w:val="single" w:sz="4" w:space="0" w:color="auto"/>
              <w:left w:val="nil"/>
              <w:bottom w:val="single" w:sz="4" w:space="0" w:color="auto"/>
              <w:right w:val="nil"/>
            </w:tcBorders>
            <w:shd w:val="solid" w:color="002395" w:fill="002395"/>
            <w:hideMark/>
          </w:tcPr>
          <w:p w:rsidR="00EA45F9" w:rsidRPr="009B5734" w:rsidRDefault="00EA45F9" w:rsidP="00981615">
            <w:pPr>
              <w:pStyle w:val="TableHeadingWhite"/>
              <w:spacing w:line="276" w:lineRule="auto"/>
              <w:ind w:left="93" w:hanging="93"/>
              <w:jc w:val="center"/>
              <w:rPr>
                <w:noProof/>
                <w:sz w:val="18"/>
                <w:szCs w:val="20"/>
              </w:rPr>
            </w:pPr>
            <w:r w:rsidRPr="009B5734">
              <w:rPr>
                <w:noProof/>
                <w:sz w:val="18"/>
                <w:szCs w:val="20"/>
              </w:rPr>
              <w:t>Assumption</w:t>
            </w:r>
          </w:p>
        </w:tc>
        <w:tc>
          <w:tcPr>
            <w:tcW w:w="1335" w:type="pct"/>
            <w:tcBorders>
              <w:top w:val="single" w:sz="4" w:space="0" w:color="auto"/>
              <w:left w:val="nil"/>
              <w:bottom w:val="single" w:sz="4" w:space="0" w:color="auto"/>
              <w:right w:val="nil"/>
            </w:tcBorders>
            <w:shd w:val="solid" w:color="002395" w:fill="002395"/>
            <w:hideMark/>
          </w:tcPr>
          <w:p w:rsidR="00EA45F9" w:rsidRPr="009B5734" w:rsidRDefault="00EA45F9" w:rsidP="00981615">
            <w:pPr>
              <w:pStyle w:val="TableHeadingWhite"/>
              <w:spacing w:line="276" w:lineRule="auto"/>
              <w:ind w:left="170" w:hanging="170"/>
              <w:jc w:val="center"/>
              <w:rPr>
                <w:noProof/>
                <w:sz w:val="18"/>
                <w:szCs w:val="20"/>
              </w:rPr>
            </w:pPr>
            <w:r w:rsidRPr="009B5734">
              <w:rPr>
                <w:noProof/>
                <w:sz w:val="18"/>
                <w:szCs w:val="20"/>
              </w:rPr>
              <w:t>Source</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Share of consumers that did not repair a product because of lack of updated</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jc w:val="center"/>
              <w:rPr>
                <w:noProof/>
                <w:color w:val="000000" w:themeColor="text1"/>
                <w:sz w:val="18"/>
                <w:szCs w:val="20"/>
              </w:rPr>
            </w:pPr>
            <w:r w:rsidRPr="009B5734">
              <w:rPr>
                <w:noProof/>
                <w:sz w:val="18"/>
                <w:szCs w:val="20"/>
              </w:rPr>
              <w:t>1%-10% depending on the product</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hanging="170"/>
              <w:rPr>
                <w:noProof/>
                <w:sz w:val="18"/>
                <w:szCs w:val="20"/>
              </w:rPr>
            </w:pPr>
            <w:r w:rsidRPr="009B5734">
              <w:rPr>
                <w:noProof/>
                <w:sz w:val="18"/>
                <w:szCs w:val="20"/>
              </w:rPr>
              <w:t xml:space="preserve">Consumer survey </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Average price of goods</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jc w:val="center"/>
              <w:rPr>
                <w:noProof/>
                <w:color w:val="000000" w:themeColor="text1"/>
                <w:sz w:val="18"/>
                <w:szCs w:val="20"/>
              </w:rPr>
            </w:pPr>
            <w:r w:rsidRPr="009B5734">
              <w:rPr>
                <w:noProof/>
                <w:sz w:val="18"/>
                <w:szCs w:val="20"/>
              </w:rPr>
              <w:t>Depends on the good</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hanging="170"/>
              <w:rPr>
                <w:noProof/>
                <w:sz w:val="18"/>
                <w:szCs w:val="20"/>
              </w:rPr>
            </w:pPr>
            <w:r w:rsidRPr="009B5734">
              <w:rPr>
                <w:noProof/>
                <w:sz w:val="18"/>
                <w:szCs w:val="20"/>
              </w:rPr>
              <w:t>Statista</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 xml:space="preserve">Likelihood of a consumer being able to repair a product due to the existence of updated (when that would have not been the case in the baseline)  </w:t>
            </w:r>
          </w:p>
        </w:tc>
        <w:tc>
          <w:tcPr>
            <w:tcW w:w="2637" w:type="pct"/>
            <w:tcBorders>
              <w:top w:val="single" w:sz="4" w:space="0" w:color="auto"/>
              <w:left w:val="nil"/>
              <w:bottom w:val="single" w:sz="4" w:space="0" w:color="auto"/>
              <w:right w:val="nil"/>
            </w:tcBorders>
            <w:shd w:val="clear" w:color="auto" w:fill="auto"/>
          </w:tcPr>
          <w:p w:rsidR="00EA45F9" w:rsidRPr="009B5734" w:rsidRDefault="00EA45F9" w:rsidP="00981615">
            <w:pPr>
              <w:pStyle w:val="TableTextNoSpace"/>
              <w:spacing w:line="276" w:lineRule="auto"/>
              <w:ind w:left="93" w:hanging="93"/>
              <w:jc w:val="center"/>
              <w:rPr>
                <w:noProof/>
                <w:color w:val="000000" w:themeColor="text1"/>
                <w:sz w:val="18"/>
                <w:szCs w:val="20"/>
              </w:rPr>
            </w:pPr>
            <w:r w:rsidRPr="009B5734">
              <w:rPr>
                <w:noProof/>
                <w:sz w:val="18"/>
                <w:szCs w:val="20"/>
              </w:rPr>
              <w:t>We considered that not all products that were not repaired because of lack of updates after the reasonably expected period of time (this is already a requirement per SGD) will be reparable.</w:t>
            </w:r>
          </w:p>
          <w:p w:rsidR="00EA45F9" w:rsidRPr="009B5734" w:rsidRDefault="00EA45F9" w:rsidP="00981615">
            <w:pPr>
              <w:pStyle w:val="TableTextNoSpace"/>
              <w:spacing w:line="276" w:lineRule="auto"/>
              <w:ind w:left="93" w:hanging="93"/>
              <w:jc w:val="center"/>
              <w:rPr>
                <w:noProof/>
                <w:sz w:val="18"/>
                <w:szCs w:val="20"/>
              </w:rPr>
            </w:pPr>
            <w:r w:rsidRPr="009B5734">
              <w:rPr>
                <w:noProof/>
                <w:sz w:val="18"/>
                <w:szCs w:val="20"/>
              </w:rPr>
              <w:t>Uniform(0.5,1)</w:t>
            </w:r>
          </w:p>
          <w:p w:rsidR="00EA45F9" w:rsidRPr="009B5734" w:rsidRDefault="00EA45F9" w:rsidP="00981615">
            <w:pPr>
              <w:pStyle w:val="TableTextNoSpace"/>
              <w:spacing w:line="276" w:lineRule="auto"/>
              <w:ind w:left="93" w:hanging="93"/>
              <w:jc w:val="center"/>
              <w:rPr>
                <w:noProof/>
                <w:szCs w:val="22"/>
              </w:rPr>
            </w:pP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hanging="170"/>
              <w:rPr>
                <w:noProof/>
                <w:sz w:val="18"/>
                <w:szCs w:val="20"/>
              </w:rPr>
            </w:pPr>
            <w:r w:rsidRPr="009B5734">
              <w:rPr>
                <w:noProof/>
                <w:sz w:val="18"/>
                <w:szCs w:val="20"/>
              </w:rPr>
              <w:t>Expert judgement by a panel</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Additional lifespan as a result of a repair</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jc w:val="center"/>
              <w:rPr>
                <w:noProof/>
                <w:color w:val="000000" w:themeColor="text1"/>
                <w:sz w:val="18"/>
                <w:szCs w:val="20"/>
              </w:rPr>
            </w:pPr>
            <w:r w:rsidRPr="009B5734">
              <w:rPr>
                <w:noProof/>
                <w:sz w:val="18"/>
                <w:szCs w:val="20"/>
              </w:rPr>
              <w:t>See previous measures.</w:t>
            </w:r>
          </w:p>
        </w:tc>
        <w:tc>
          <w:tcPr>
            <w:tcW w:w="1335" w:type="pct"/>
            <w:tcBorders>
              <w:top w:val="single" w:sz="4" w:space="0" w:color="auto"/>
              <w:left w:val="nil"/>
              <w:bottom w:val="single" w:sz="4" w:space="0" w:color="auto"/>
              <w:right w:val="nil"/>
            </w:tcBorders>
            <w:shd w:val="clear" w:color="auto" w:fill="auto"/>
          </w:tcPr>
          <w:p w:rsidR="00EA45F9" w:rsidRPr="009B5734" w:rsidRDefault="00EA45F9" w:rsidP="00981615">
            <w:pPr>
              <w:pStyle w:val="TableTextNoSpace"/>
              <w:spacing w:line="276" w:lineRule="auto"/>
              <w:ind w:left="170" w:hanging="170"/>
              <w:rPr>
                <w:noProof/>
                <w:sz w:val="18"/>
                <w:szCs w:val="20"/>
              </w:rPr>
            </w:pP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Available spare part information at the baseline</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jc w:val="center"/>
              <w:rPr>
                <w:noProof/>
                <w:color w:val="000000" w:themeColor="text1"/>
                <w:sz w:val="18"/>
                <w:szCs w:val="20"/>
              </w:rPr>
            </w:pPr>
            <w:r w:rsidRPr="009B5734">
              <w:rPr>
                <w:noProof/>
                <w:sz w:val="18"/>
                <w:szCs w:val="20"/>
              </w:rPr>
              <w:t>5%-6%</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hanging="170"/>
              <w:rPr>
                <w:noProof/>
                <w:sz w:val="18"/>
                <w:szCs w:val="20"/>
              </w:rPr>
            </w:pPr>
            <w:r w:rsidRPr="009B5734">
              <w:rPr>
                <w:noProof/>
                <w:sz w:val="18"/>
                <w:szCs w:val="20"/>
              </w:rPr>
              <w:t>Mystery shopping conducted in the context of this study</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Likelihood of finding a product that offers updates after the reasonable period of time</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rPr>
                <w:noProof/>
                <w:color w:val="000000" w:themeColor="text1"/>
                <w:sz w:val="18"/>
                <w:szCs w:val="20"/>
              </w:rPr>
            </w:pPr>
            <w:r w:rsidRPr="009B5734">
              <w:rPr>
                <w:noProof/>
                <w:sz w:val="18"/>
                <w:szCs w:val="20"/>
              </w:rPr>
              <w:t>This probability will follow a triangular distribution with a lower limit of zero and upper limit of 1. The peak is considered to be below 50%, at around 25%.</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hanging="170"/>
              <w:rPr>
                <w:noProof/>
                <w:sz w:val="18"/>
                <w:szCs w:val="20"/>
              </w:rPr>
            </w:pPr>
            <w:r w:rsidRPr="009B5734">
              <w:rPr>
                <w:noProof/>
                <w:sz w:val="18"/>
                <w:szCs w:val="20"/>
              </w:rPr>
              <w:t>Expert judgement by a panel</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 xml:space="preserve">Willingness to pay for an additional year of updates </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rPr>
                <w:noProof/>
                <w:color w:val="000000" w:themeColor="text1"/>
                <w:sz w:val="18"/>
                <w:szCs w:val="20"/>
              </w:rPr>
            </w:pPr>
            <w:r w:rsidRPr="009B5734">
              <w:rPr>
                <w:noProof/>
                <w:sz w:val="18"/>
                <w:szCs w:val="20"/>
              </w:rPr>
              <w:t>Values from the information provided respondents to the survey. It varies depending on the product.</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hanging="170"/>
              <w:rPr>
                <w:noProof/>
                <w:sz w:val="18"/>
                <w:szCs w:val="20"/>
              </w:rPr>
            </w:pPr>
            <w:r w:rsidRPr="009B5734">
              <w:rPr>
                <w:noProof/>
                <w:sz w:val="18"/>
                <w:szCs w:val="20"/>
              </w:rPr>
              <w:t xml:space="preserve">Consumer survey </w:t>
            </w:r>
          </w:p>
        </w:tc>
      </w:tr>
    </w:tbl>
    <w:p w:rsidR="00EA45F9" w:rsidRPr="009B5734" w:rsidRDefault="00EA45F9" w:rsidP="00EA45F9">
      <w:pPr>
        <w:rPr>
          <w:rFonts w:ascii="Verdana" w:hAnsi="Verdana"/>
          <w:noProof/>
          <w:color w:val="000000" w:themeColor="text1"/>
          <w:sz w:val="20"/>
        </w:rPr>
      </w:pPr>
    </w:p>
    <w:p w:rsidR="00EA45F9" w:rsidRPr="009B5734" w:rsidRDefault="00EA45F9" w:rsidP="00EA45F9">
      <w:pPr>
        <w:rPr>
          <w:bCs/>
          <w:noProof/>
          <w:szCs w:val="24"/>
        </w:rPr>
      </w:pPr>
    </w:p>
    <w:p w:rsidR="00EA45F9" w:rsidRPr="009B5734" w:rsidRDefault="00A00208" w:rsidP="00A00208">
      <w:pPr>
        <w:pStyle w:val="Heading4"/>
        <w:rPr>
          <w:noProof/>
        </w:rPr>
      </w:pPr>
      <w:bookmarkStart w:id="599" w:name="_Toc75440993"/>
      <w:bookmarkStart w:id="600" w:name="_Toc75446992"/>
      <w:bookmarkStart w:id="601" w:name="_Toc75448865"/>
      <w:r w:rsidRPr="00A00208">
        <w:t>4.3.</w:t>
      </w:r>
      <w:r w:rsidRPr="00A00208">
        <w:tab/>
      </w:r>
      <w:r w:rsidR="00EA45F9" w:rsidRPr="009B5734">
        <w:rPr>
          <w:noProof/>
        </w:rPr>
        <w:t xml:space="preserve">“Sub-problem 1.3: </w:t>
      </w:r>
      <w:r w:rsidR="00D60C0B" w:rsidRPr="009B5734">
        <w:rPr>
          <w:noProof/>
        </w:rPr>
        <w:t>Lack of reliable information</w:t>
      </w:r>
      <w:r w:rsidR="00EA45F9" w:rsidRPr="009B5734">
        <w:rPr>
          <w:noProof/>
        </w:rPr>
        <w:t xml:space="preserve"> about product’s reparability”</w:t>
      </w:r>
      <w:bookmarkEnd w:id="598"/>
      <w:bookmarkEnd w:id="599"/>
      <w:bookmarkEnd w:id="600"/>
      <w:bookmarkEnd w:id="601"/>
    </w:p>
    <w:p w:rsidR="00EA45F9" w:rsidRPr="009B5734" w:rsidRDefault="00EA45F9" w:rsidP="00EA45F9">
      <w:pPr>
        <w:pStyle w:val="Heading5"/>
        <w:rPr>
          <w:rFonts w:ascii="Times New Roman" w:hAnsi="Times New Roman" w:cs="Times New Roman"/>
          <w:i w:val="0"/>
          <w:noProof/>
          <w:sz w:val="24"/>
        </w:rPr>
      </w:pPr>
      <w:r w:rsidRPr="009B5734">
        <w:rPr>
          <w:rFonts w:ascii="Times New Roman" w:hAnsi="Times New Roman" w:cs="Times New Roman"/>
          <w:i w:val="0"/>
          <w:noProof/>
          <w:sz w:val="24"/>
        </w:rPr>
        <w:t>Option 1.3.A. Provision of updated, user-friendly repair and user manuals</w:t>
      </w:r>
    </w:p>
    <w:p w:rsidR="00EA45F9" w:rsidRPr="009B5734" w:rsidRDefault="00EA45F9" w:rsidP="00EA45F9">
      <w:pPr>
        <w:pStyle w:val="Titlecost"/>
        <w:rPr>
          <w:rFonts w:ascii="Times New Roman" w:hAnsi="Times New Roman" w:cs="Times New Roman"/>
          <w:noProof/>
          <w:sz w:val="24"/>
          <w:szCs w:val="24"/>
        </w:rPr>
      </w:pPr>
      <w:r w:rsidRPr="009B5734">
        <w:rPr>
          <w:rFonts w:ascii="Times New Roman" w:hAnsi="Times New Roman" w:cs="Times New Roman"/>
          <w:noProof/>
          <w:sz w:val="24"/>
          <w:szCs w:val="24"/>
        </w:rPr>
        <w:t>Administrative burden</w:t>
      </w:r>
    </w:p>
    <w:tbl>
      <w:tblPr>
        <w:tblW w:w="4916" w:type="pct"/>
        <w:tblBorders>
          <w:top w:val="single" w:sz="4" w:space="0" w:color="auto"/>
          <w:bottom w:val="single" w:sz="4" w:space="0" w:color="auto"/>
          <w:insideH w:val="single" w:sz="4" w:space="0" w:color="auto"/>
        </w:tblBorders>
        <w:shd w:val="solid" w:color="F2F2F2" w:fill="F2F2F2"/>
        <w:tblCellMar>
          <w:left w:w="0" w:type="dxa"/>
          <w:right w:w="0" w:type="dxa"/>
        </w:tblCellMar>
        <w:tblLook w:val="04A0" w:firstRow="1" w:lastRow="0" w:firstColumn="1" w:lastColumn="0" w:noHBand="0" w:noVBand="1"/>
      </w:tblPr>
      <w:tblGrid>
        <w:gridCol w:w="1742"/>
        <w:gridCol w:w="4468"/>
        <w:gridCol w:w="2262"/>
      </w:tblGrid>
      <w:tr w:rsidR="00EA45F9" w:rsidRPr="009B5734" w:rsidTr="00C84A99">
        <w:trPr>
          <w:trHeight w:val="727"/>
        </w:trPr>
        <w:tc>
          <w:tcPr>
            <w:tcW w:w="1028" w:type="pct"/>
            <w:tcBorders>
              <w:top w:val="single" w:sz="4" w:space="0" w:color="auto"/>
              <w:left w:val="nil"/>
              <w:bottom w:val="single" w:sz="4" w:space="0" w:color="auto"/>
              <w:right w:val="nil"/>
            </w:tcBorders>
            <w:shd w:val="clear" w:color="auto" w:fill="002395"/>
          </w:tcPr>
          <w:p w:rsidR="00EA45F9" w:rsidRPr="009B5734" w:rsidRDefault="00EA45F9" w:rsidP="00981615">
            <w:pPr>
              <w:pStyle w:val="TableHeadingWhite"/>
              <w:spacing w:line="276" w:lineRule="auto"/>
              <w:ind w:left="142" w:firstLine="0"/>
              <w:rPr>
                <w:noProof/>
                <w:sz w:val="18"/>
                <w:szCs w:val="20"/>
              </w:rPr>
            </w:pPr>
          </w:p>
        </w:tc>
        <w:tc>
          <w:tcPr>
            <w:tcW w:w="2637" w:type="pct"/>
            <w:tcBorders>
              <w:top w:val="single" w:sz="4" w:space="0" w:color="auto"/>
              <w:left w:val="nil"/>
              <w:bottom w:val="single" w:sz="4" w:space="0" w:color="auto"/>
              <w:right w:val="nil"/>
            </w:tcBorders>
            <w:shd w:val="clear" w:color="auto" w:fill="002395"/>
            <w:hideMark/>
          </w:tcPr>
          <w:p w:rsidR="00EA45F9" w:rsidRPr="009B5734" w:rsidRDefault="00EA45F9" w:rsidP="00981615">
            <w:pPr>
              <w:pStyle w:val="TableHeadingWhite"/>
              <w:spacing w:line="276" w:lineRule="auto"/>
              <w:ind w:left="101" w:firstLine="0"/>
              <w:jc w:val="center"/>
              <w:rPr>
                <w:noProof/>
                <w:sz w:val="18"/>
                <w:szCs w:val="20"/>
              </w:rPr>
            </w:pPr>
            <w:r w:rsidRPr="009B5734">
              <w:rPr>
                <w:noProof/>
                <w:sz w:val="18"/>
                <w:szCs w:val="20"/>
              </w:rPr>
              <w:t>Assumption</w:t>
            </w:r>
          </w:p>
        </w:tc>
        <w:tc>
          <w:tcPr>
            <w:tcW w:w="1335" w:type="pct"/>
            <w:tcBorders>
              <w:top w:val="single" w:sz="4" w:space="0" w:color="auto"/>
              <w:left w:val="nil"/>
              <w:bottom w:val="single" w:sz="4" w:space="0" w:color="auto"/>
              <w:right w:val="nil"/>
            </w:tcBorders>
            <w:shd w:val="clear" w:color="auto" w:fill="002395"/>
            <w:hideMark/>
          </w:tcPr>
          <w:p w:rsidR="00EA45F9" w:rsidRPr="009B5734" w:rsidRDefault="00EA45F9" w:rsidP="00981615">
            <w:pPr>
              <w:pStyle w:val="TableHeadingWhite"/>
              <w:spacing w:line="276" w:lineRule="auto"/>
              <w:ind w:left="169" w:firstLine="0"/>
              <w:jc w:val="center"/>
              <w:rPr>
                <w:noProof/>
                <w:sz w:val="18"/>
                <w:szCs w:val="20"/>
              </w:rPr>
            </w:pPr>
            <w:r w:rsidRPr="009B5734">
              <w:rPr>
                <w:noProof/>
                <w:sz w:val="18"/>
                <w:szCs w:val="20"/>
              </w:rPr>
              <w:t>Source</w:t>
            </w:r>
          </w:p>
        </w:tc>
      </w:tr>
      <w:tr w:rsidR="00EA45F9" w:rsidRPr="009B5734" w:rsidTr="00C84A99">
        <w:trPr>
          <w:trHeight w:val="391"/>
        </w:trPr>
        <w:tc>
          <w:tcPr>
            <w:tcW w:w="5000" w:type="pct"/>
            <w:gridSpan w:val="3"/>
            <w:tcBorders>
              <w:top w:val="single" w:sz="4" w:space="0" w:color="auto"/>
              <w:left w:val="nil"/>
              <w:bottom w:val="single" w:sz="4" w:space="0" w:color="auto"/>
              <w:right w:val="nil"/>
            </w:tcBorders>
            <w:shd w:val="clear" w:color="auto" w:fill="DBE5F1" w:themeFill="accent1" w:themeFillTint="33"/>
            <w:hideMark/>
          </w:tcPr>
          <w:p w:rsidR="00EA45F9" w:rsidRPr="009B5734" w:rsidRDefault="00EA45F9" w:rsidP="00981615">
            <w:pPr>
              <w:pStyle w:val="TableHeadingWhite"/>
              <w:spacing w:line="276" w:lineRule="auto"/>
              <w:ind w:left="169" w:firstLine="0"/>
              <w:rPr>
                <w:noProof/>
                <w:sz w:val="18"/>
                <w:szCs w:val="20"/>
              </w:rPr>
            </w:pPr>
            <w:r w:rsidRPr="009B5734">
              <w:rPr>
                <w:noProof/>
                <w:sz w:val="18"/>
                <w:szCs w:val="20"/>
              </w:rPr>
              <w:t xml:space="preserve">Manufacturers (excluding those that only produce components) </w:t>
            </w:r>
          </w:p>
        </w:tc>
      </w:tr>
      <w:tr w:rsidR="00EA45F9" w:rsidRPr="009B5734" w:rsidTr="00C84A99">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Familiarization with the measure</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rPr>
                <w:i/>
                <w:iCs/>
                <w:noProof/>
                <w:color w:val="000000" w:themeColor="text1"/>
                <w:sz w:val="18"/>
                <w:szCs w:val="20"/>
              </w:rPr>
            </w:pPr>
            <w:r w:rsidRPr="009B5734">
              <w:rPr>
                <w:i/>
                <w:iCs/>
                <w:noProof/>
                <w:sz w:val="18"/>
                <w:szCs w:val="20"/>
              </w:rPr>
              <w:t xml:space="preserve">This includes not only identifying the new obligations imposed by the measure but also analysing the steps that need to be taken to comply with it </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SME: [7,21]h legal team, 14h product development team, 3.5h commercial team</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Large Enterprises:  21h legal team, 28h product development team, 7h commercial team</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69" w:firstLine="0"/>
              <w:rPr>
                <w:noProof/>
                <w:sz w:val="18"/>
                <w:szCs w:val="20"/>
              </w:rPr>
            </w:pPr>
            <w:r w:rsidRPr="009B5734">
              <w:rPr>
                <w:noProof/>
                <w:sz w:val="18"/>
                <w:szCs w:val="20"/>
              </w:rPr>
              <w:t>Interviews with companies and industry associations</w:t>
            </w:r>
          </w:p>
        </w:tc>
      </w:tr>
      <w:tr w:rsidR="00EA45F9" w:rsidRPr="009B5734" w:rsidTr="00C84A99">
        <w:trPr>
          <w:trHeight w:val="1263"/>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Training</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rPr>
                <w:i/>
                <w:iCs/>
                <w:noProof/>
                <w:color w:val="000000" w:themeColor="text1"/>
                <w:sz w:val="18"/>
                <w:szCs w:val="20"/>
              </w:rPr>
            </w:pPr>
            <w:r w:rsidRPr="009B5734">
              <w:rPr>
                <w:i/>
                <w:iCs/>
                <w:noProof/>
                <w:sz w:val="18"/>
                <w:szCs w:val="20"/>
              </w:rPr>
              <w:t>This includes an initial training of managers and key employees including on how to develop repair manuals</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SME: 0.5h manager + 7h key employees</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Large enterprises: 1h managers + 14h key employees</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69" w:firstLine="0"/>
              <w:rPr>
                <w:noProof/>
                <w:sz w:val="18"/>
                <w:szCs w:val="20"/>
              </w:rPr>
            </w:pPr>
            <w:r w:rsidRPr="009B5734">
              <w:rPr>
                <w:noProof/>
                <w:sz w:val="18"/>
                <w:szCs w:val="20"/>
              </w:rPr>
              <w:t>Interviews with companies and industry associations</w:t>
            </w:r>
          </w:p>
        </w:tc>
      </w:tr>
      <w:tr w:rsidR="00EA45F9" w:rsidRPr="009B5734" w:rsidTr="00C84A99">
        <w:trPr>
          <w:trHeight w:val="558"/>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Retrieving relevant information from existing data and adjusting existing data (including adapting system to retrieve information)</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rPr>
                <w:i/>
                <w:iCs/>
                <w:noProof/>
                <w:color w:val="000000" w:themeColor="text1"/>
                <w:sz w:val="18"/>
                <w:szCs w:val="20"/>
              </w:rPr>
            </w:pPr>
            <w:r w:rsidRPr="009B5734">
              <w:rPr>
                <w:i/>
                <w:iCs/>
                <w:noProof/>
                <w:sz w:val="18"/>
                <w:szCs w:val="20"/>
              </w:rPr>
              <w:t>This includes identifying and compiling all the information available to develop the repair manuals for models already in the market and adjust internal systems to collect data to prepare repair manuals</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SME: [7,35]h in total</w:t>
            </w:r>
          </w:p>
          <w:p w:rsidR="00EA45F9" w:rsidRPr="009B5734" w:rsidRDefault="00EA45F9" w:rsidP="00981615">
            <w:pPr>
              <w:pStyle w:val="TableTextNoSpace"/>
              <w:spacing w:line="276" w:lineRule="auto"/>
              <w:ind w:left="101" w:firstLine="0"/>
              <w:rPr>
                <w:noProof/>
                <w:sz w:val="36"/>
                <w:szCs w:val="40"/>
              </w:rPr>
            </w:pPr>
            <w:r w:rsidRPr="009B5734">
              <w:rPr>
                <w:noProof/>
                <w:sz w:val="18"/>
                <w:szCs w:val="20"/>
              </w:rPr>
              <w:t>Large enterprises: 105h in total</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69" w:firstLine="0"/>
              <w:rPr>
                <w:i/>
                <w:iCs/>
                <w:noProof/>
                <w:sz w:val="18"/>
                <w:szCs w:val="20"/>
              </w:rPr>
            </w:pPr>
            <w:r w:rsidRPr="009B5734">
              <w:rPr>
                <w:noProof/>
                <w:sz w:val="18"/>
                <w:szCs w:val="20"/>
              </w:rPr>
              <w:t>Interviews with companies and industry associations</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 xml:space="preserve">Producing new data </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 per model)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jc w:val="center"/>
              <w:rPr>
                <w:i/>
                <w:iCs/>
                <w:noProof/>
                <w:color w:val="000000" w:themeColor="text1"/>
                <w:sz w:val="18"/>
                <w:szCs w:val="20"/>
              </w:rPr>
            </w:pPr>
            <w:r w:rsidRPr="009B5734">
              <w:rPr>
                <w:i/>
                <w:iCs/>
                <w:noProof/>
                <w:sz w:val="18"/>
                <w:szCs w:val="20"/>
              </w:rPr>
              <w:t xml:space="preserve">Cost with producing a user-friendly repair manual </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A simple repair manual for users is expected to cost between EUR 3,500 and 6,000 (per model)</w:t>
            </w:r>
          </w:p>
          <w:p w:rsidR="00EA45F9" w:rsidRPr="009B5734" w:rsidRDefault="00EA45F9" w:rsidP="00981615">
            <w:pPr>
              <w:pStyle w:val="TableTextNoSpace"/>
              <w:spacing w:line="276" w:lineRule="auto"/>
              <w:ind w:left="101" w:firstLine="0"/>
              <w:rPr>
                <w:i/>
                <w:iCs/>
                <w:noProof/>
                <w:sz w:val="18"/>
                <w:szCs w:val="20"/>
              </w:rPr>
            </w:pPr>
            <w:r w:rsidRPr="009B5734">
              <w:rPr>
                <w:noProof/>
                <w:sz w:val="18"/>
                <w:szCs w:val="20"/>
              </w:rPr>
              <w:t>The difference might be due to the complexity of the product and to the existence or not of a repair manual developed for professional repairers. For this reason, in the analysis, we consider the unit costs to follow a uniform distribution.</w:t>
            </w:r>
          </w:p>
        </w:tc>
        <w:tc>
          <w:tcPr>
            <w:tcW w:w="1335" w:type="pct"/>
            <w:tcBorders>
              <w:top w:val="single" w:sz="4" w:space="0" w:color="auto"/>
              <w:left w:val="nil"/>
              <w:bottom w:val="single" w:sz="4" w:space="0" w:color="auto"/>
              <w:right w:val="nil"/>
            </w:tcBorders>
            <w:shd w:val="clear" w:color="auto" w:fill="auto"/>
            <w:vAlign w:val="center"/>
            <w:hideMark/>
          </w:tcPr>
          <w:p w:rsidR="00EA45F9" w:rsidRPr="00F67503" w:rsidRDefault="00EA45F9" w:rsidP="004931D3">
            <w:pPr>
              <w:pStyle w:val="TableTextNoSpace"/>
              <w:spacing w:line="276" w:lineRule="auto"/>
              <w:ind w:left="169" w:firstLine="0"/>
              <w:rPr>
                <w:noProof/>
                <w:sz w:val="18"/>
                <w:szCs w:val="18"/>
              </w:rPr>
            </w:pPr>
            <w:r w:rsidRPr="005D24D2">
              <w:rPr>
                <w:noProof/>
                <w:sz w:val="18"/>
                <w:szCs w:val="18"/>
              </w:rPr>
              <w:t>Data provided by iFixit</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Designing and placing information material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jc w:val="center"/>
              <w:rPr>
                <w:i/>
                <w:iCs/>
                <w:noProof/>
                <w:color w:val="000000" w:themeColor="text1"/>
                <w:sz w:val="18"/>
                <w:szCs w:val="20"/>
              </w:rPr>
            </w:pPr>
            <w:r w:rsidRPr="009B5734">
              <w:rPr>
                <w:i/>
                <w:iCs/>
                <w:noProof/>
                <w:sz w:val="18"/>
                <w:szCs w:val="20"/>
              </w:rPr>
              <w:t>Two scenarios were developed:</w:t>
            </w:r>
          </w:p>
          <w:p w:rsidR="00EA45F9" w:rsidRPr="009B5734" w:rsidRDefault="00EA45F9" w:rsidP="00981615">
            <w:pPr>
              <w:pStyle w:val="TableTextNoSpace"/>
              <w:numPr>
                <w:ilvl w:val="0"/>
                <w:numId w:val="188"/>
              </w:numPr>
              <w:spacing w:before="120" w:line="276" w:lineRule="auto"/>
              <w:ind w:left="101" w:right="0" w:firstLine="0"/>
              <w:jc w:val="left"/>
              <w:rPr>
                <w:i/>
                <w:iCs/>
                <w:noProof/>
                <w:sz w:val="18"/>
                <w:szCs w:val="20"/>
              </w:rPr>
            </w:pPr>
            <w:r w:rsidRPr="009B5734">
              <w:rPr>
                <w:i/>
                <w:iCs/>
                <w:noProof/>
                <w:sz w:val="18"/>
                <w:szCs w:val="20"/>
              </w:rPr>
              <w:t>The repair manual is made available on the website (in this case it will require [7,14]h for SMEs and 28h for large enterprises), version updates will be done once a month and will take [0.5,1]h for SMEs and 2h for large enterprises</w:t>
            </w:r>
          </w:p>
          <w:p w:rsidR="00EA45F9" w:rsidRPr="009B5734" w:rsidRDefault="00EA45F9" w:rsidP="00981615">
            <w:pPr>
              <w:pStyle w:val="TableTextNoSpace"/>
              <w:numPr>
                <w:ilvl w:val="0"/>
                <w:numId w:val="188"/>
              </w:numPr>
              <w:spacing w:before="120" w:line="276" w:lineRule="auto"/>
              <w:ind w:left="101" w:right="0" w:firstLine="0"/>
              <w:jc w:val="left"/>
              <w:rPr>
                <w:i/>
                <w:iCs/>
                <w:noProof/>
                <w:sz w:val="18"/>
                <w:szCs w:val="20"/>
              </w:rPr>
            </w:pPr>
            <w:r w:rsidRPr="009B5734">
              <w:rPr>
                <w:i/>
                <w:iCs/>
                <w:noProof/>
                <w:sz w:val="18"/>
                <w:szCs w:val="20"/>
              </w:rPr>
              <w:t xml:space="preserve"> The repair manual is printed. The costs will be equal to EUR 2.16 per manual</w:t>
            </w: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169" w:firstLine="0"/>
              <w:jc w:val="center"/>
              <w:rPr>
                <w:noProof/>
                <w:sz w:val="18"/>
                <w:szCs w:val="20"/>
              </w:rPr>
            </w:pPr>
            <w:r w:rsidRPr="009B5734">
              <w:rPr>
                <w:noProof/>
                <w:sz w:val="18"/>
                <w:szCs w:val="20"/>
              </w:rPr>
              <w:t>Update of website, Expert judgement by a panel based on interviews with companies.</w:t>
            </w:r>
          </w:p>
          <w:p w:rsidR="00EA45F9" w:rsidRPr="009B5734" w:rsidRDefault="00EA45F9" w:rsidP="00981615">
            <w:pPr>
              <w:pStyle w:val="TableTextNoSpace"/>
              <w:spacing w:line="276" w:lineRule="auto"/>
              <w:ind w:left="169" w:firstLine="0"/>
              <w:jc w:val="center"/>
              <w:rPr>
                <w:noProof/>
                <w:sz w:val="18"/>
                <w:szCs w:val="20"/>
              </w:rPr>
            </w:pPr>
          </w:p>
          <w:p w:rsidR="00EA45F9" w:rsidRPr="009B5734" w:rsidRDefault="00EA45F9" w:rsidP="00981615">
            <w:pPr>
              <w:pStyle w:val="TableTextNoSpace"/>
              <w:spacing w:line="276" w:lineRule="auto"/>
              <w:ind w:left="169" w:firstLine="0"/>
              <w:jc w:val="center"/>
              <w:rPr>
                <w:noProof/>
                <w:sz w:val="18"/>
                <w:szCs w:val="20"/>
              </w:rPr>
            </w:pPr>
            <w:r w:rsidRPr="009B5734">
              <w:rPr>
                <w:noProof/>
                <w:sz w:val="18"/>
                <w:szCs w:val="20"/>
              </w:rPr>
              <w:t>Cost of printing: 80 pages times average cost of EUR 0.027 a page (ICF data)</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Adjust forms and tables (one-off)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rPr>
                <w:i/>
                <w:iCs/>
                <w:noProof/>
                <w:color w:val="000000" w:themeColor="text1"/>
                <w:sz w:val="18"/>
                <w:szCs w:val="20"/>
              </w:rPr>
            </w:pPr>
            <w:r w:rsidRPr="009B5734">
              <w:rPr>
                <w:i/>
                <w:iCs/>
                <w:noProof/>
                <w:sz w:val="18"/>
                <w:szCs w:val="20"/>
              </w:rPr>
              <w:t>This includes re-designing existing forms to include data related to the measure. Filling in the tables/forms was considered business as usual (as the additional time spent on this is judged to be negligible)</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SME: [0.5,1]h manager + [7,14]h employee</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Large: 1h manager + [14,21]h employee</w:t>
            </w:r>
          </w:p>
        </w:tc>
        <w:tc>
          <w:tcPr>
            <w:tcW w:w="1335" w:type="pct"/>
            <w:tcBorders>
              <w:top w:val="single" w:sz="4" w:space="0" w:color="auto"/>
              <w:left w:val="nil"/>
              <w:bottom w:val="single" w:sz="4" w:space="0" w:color="auto"/>
              <w:right w:val="nil"/>
            </w:tcBorders>
            <w:shd w:val="clear" w:color="auto" w:fill="auto"/>
            <w:vAlign w:val="center"/>
            <w:hideMark/>
          </w:tcPr>
          <w:p w:rsidR="00EA45F9" w:rsidRPr="009B5734" w:rsidRDefault="00EA45F9" w:rsidP="00981615">
            <w:pPr>
              <w:pStyle w:val="TableTextNoSpace"/>
              <w:spacing w:line="276" w:lineRule="auto"/>
              <w:ind w:left="169" w:firstLine="0"/>
              <w:rPr>
                <w:noProof/>
                <w:sz w:val="18"/>
                <w:szCs w:val="20"/>
              </w:rPr>
            </w:pPr>
            <w:r w:rsidRPr="009B5734">
              <w:rPr>
                <w:noProof/>
                <w:sz w:val="18"/>
                <w:szCs w:val="20"/>
              </w:rPr>
              <w:t>Interviews with companies and industry associations</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Inspections (internal and external)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rPr>
                <w:noProof/>
                <w:color w:val="000000" w:themeColor="text1"/>
                <w:sz w:val="18"/>
                <w:szCs w:val="20"/>
              </w:rPr>
            </w:pPr>
            <w:r w:rsidRPr="009B5734">
              <w:rPr>
                <w:noProof/>
                <w:sz w:val="18"/>
                <w:szCs w:val="20"/>
              </w:rPr>
              <w:t>Internal inspections take place quarterly and in total involve:</w:t>
            </w:r>
          </w:p>
          <w:p w:rsidR="00EA45F9" w:rsidRPr="009B5734" w:rsidRDefault="00EA45F9" w:rsidP="00981615">
            <w:pPr>
              <w:pStyle w:val="TableTextNoSpace"/>
              <w:numPr>
                <w:ilvl w:val="0"/>
                <w:numId w:val="189"/>
              </w:numPr>
              <w:spacing w:before="120" w:line="276" w:lineRule="auto"/>
              <w:ind w:left="101" w:right="0" w:firstLine="0"/>
              <w:jc w:val="left"/>
              <w:rPr>
                <w:noProof/>
                <w:sz w:val="18"/>
                <w:szCs w:val="20"/>
              </w:rPr>
            </w:pPr>
            <w:r w:rsidRPr="009B5734">
              <w:rPr>
                <w:noProof/>
                <w:sz w:val="18"/>
                <w:szCs w:val="20"/>
              </w:rPr>
              <w:t xml:space="preserve">0.5h of a manager in the case of SMEs and 1h for large enterprises </w:t>
            </w:r>
          </w:p>
          <w:p w:rsidR="00EA45F9" w:rsidRPr="009B5734" w:rsidRDefault="00EA45F9" w:rsidP="00981615">
            <w:pPr>
              <w:pStyle w:val="TableTextNoSpace"/>
              <w:numPr>
                <w:ilvl w:val="0"/>
                <w:numId w:val="189"/>
              </w:numPr>
              <w:spacing w:before="120" w:line="276" w:lineRule="auto"/>
              <w:ind w:left="101" w:right="0" w:firstLine="0"/>
              <w:jc w:val="left"/>
              <w:rPr>
                <w:noProof/>
                <w:sz w:val="18"/>
                <w:szCs w:val="20"/>
              </w:rPr>
            </w:pPr>
            <w:r w:rsidRPr="009B5734">
              <w:rPr>
                <w:noProof/>
                <w:sz w:val="18"/>
                <w:szCs w:val="20"/>
              </w:rPr>
              <w:t>[3.5,7]h of an employee in the case of SMEs or 14h in the case of large enterprises</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 xml:space="preserve">External inspections are expected to take place in less than 1% of the companies. Each external inspection will involve 1h of a manager and 2h of an employee. </w:t>
            </w:r>
          </w:p>
        </w:tc>
        <w:tc>
          <w:tcPr>
            <w:tcW w:w="1335" w:type="pct"/>
            <w:tcBorders>
              <w:top w:val="single" w:sz="4" w:space="0" w:color="auto"/>
              <w:left w:val="nil"/>
              <w:bottom w:val="single" w:sz="4" w:space="0" w:color="auto"/>
              <w:right w:val="nil"/>
            </w:tcBorders>
            <w:shd w:val="clear" w:color="auto" w:fill="auto"/>
            <w:vAlign w:val="center"/>
            <w:hideMark/>
          </w:tcPr>
          <w:p w:rsidR="00EA45F9" w:rsidRPr="009B5734" w:rsidRDefault="00EA45F9" w:rsidP="00981615">
            <w:pPr>
              <w:pStyle w:val="TableTextNoSpace"/>
              <w:spacing w:line="276" w:lineRule="auto"/>
              <w:ind w:left="169" w:firstLine="0"/>
              <w:rPr>
                <w:noProof/>
                <w:sz w:val="18"/>
                <w:szCs w:val="20"/>
              </w:rPr>
            </w:pPr>
            <w:r w:rsidRPr="009B5734">
              <w:rPr>
                <w:noProof/>
                <w:sz w:val="18"/>
                <w:szCs w:val="20"/>
              </w:rPr>
              <w:t>Interviews with companies and industry associations</w:t>
            </w:r>
          </w:p>
        </w:tc>
      </w:tr>
      <w:tr w:rsidR="00EA45F9" w:rsidRPr="009B5734" w:rsidTr="00C84A99">
        <w:trPr>
          <w:trHeight w:val="391"/>
        </w:trPr>
        <w:tc>
          <w:tcPr>
            <w:tcW w:w="5000" w:type="pct"/>
            <w:gridSpan w:val="3"/>
            <w:tcBorders>
              <w:top w:val="single" w:sz="4" w:space="0" w:color="auto"/>
              <w:left w:val="nil"/>
              <w:bottom w:val="single" w:sz="4" w:space="0" w:color="auto"/>
              <w:right w:val="nil"/>
            </w:tcBorders>
            <w:shd w:val="clear" w:color="auto" w:fill="DBE5F1" w:themeFill="accent1" w:themeFillTint="33"/>
            <w:hideMark/>
          </w:tcPr>
          <w:p w:rsidR="00EA45F9" w:rsidRPr="009B5734" w:rsidRDefault="00EA45F9" w:rsidP="00981615">
            <w:pPr>
              <w:pStyle w:val="TableHeadingWhite"/>
              <w:spacing w:line="276" w:lineRule="auto"/>
              <w:ind w:left="169" w:firstLine="0"/>
              <w:rPr>
                <w:noProof/>
                <w:sz w:val="18"/>
                <w:szCs w:val="20"/>
              </w:rPr>
            </w:pPr>
            <w:r w:rsidRPr="009B5734">
              <w:rPr>
                <w:noProof/>
                <w:sz w:val="18"/>
                <w:szCs w:val="20"/>
              </w:rPr>
              <w:t xml:space="preserve">Retailers </w:t>
            </w:r>
          </w:p>
        </w:tc>
      </w:tr>
      <w:tr w:rsidR="00EA45F9" w:rsidRPr="009B5734" w:rsidTr="00C84A99">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Familiarization with the measure</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jc w:val="center"/>
              <w:rPr>
                <w:i/>
                <w:iCs/>
                <w:noProof/>
                <w:color w:val="000000" w:themeColor="text1"/>
                <w:sz w:val="18"/>
                <w:szCs w:val="20"/>
              </w:rPr>
            </w:pPr>
            <w:r w:rsidRPr="009B5734">
              <w:rPr>
                <w:i/>
                <w:iCs/>
                <w:noProof/>
                <w:sz w:val="18"/>
                <w:szCs w:val="20"/>
              </w:rPr>
              <w:t xml:space="preserve">This includes not only identifying the new obligations imposed by the measure but analysing the steps that need to be taken to comply with it </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SME: 3.5h legal team + 3.5h commercial team</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Large Enterprises:  3.5h legal team + 7h commercial team</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69" w:firstLine="0"/>
              <w:rPr>
                <w:noProof/>
                <w:sz w:val="18"/>
                <w:szCs w:val="20"/>
              </w:rPr>
            </w:pPr>
            <w:r w:rsidRPr="009B5734">
              <w:rPr>
                <w:noProof/>
                <w:sz w:val="18"/>
                <w:szCs w:val="20"/>
              </w:rPr>
              <w:t>Interviews with companies and industry associations</w:t>
            </w:r>
          </w:p>
        </w:tc>
      </w:tr>
      <w:tr w:rsidR="00EA45F9" w:rsidRPr="009B5734" w:rsidTr="00C84A99">
        <w:trPr>
          <w:trHeight w:val="1263"/>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Training</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jc w:val="center"/>
              <w:rPr>
                <w:i/>
                <w:iCs/>
                <w:noProof/>
                <w:color w:val="000000" w:themeColor="text1"/>
                <w:sz w:val="18"/>
                <w:szCs w:val="20"/>
              </w:rPr>
            </w:pPr>
            <w:r w:rsidRPr="009B5734">
              <w:rPr>
                <w:i/>
                <w:iCs/>
                <w:noProof/>
                <w:sz w:val="18"/>
                <w:szCs w:val="20"/>
              </w:rPr>
              <w:t>This includes an initial training of managers and key employees</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SME: 0.5h manager + 2h key employees</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Large enterprises: 1h managers + 4h key employees</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69" w:firstLine="0"/>
              <w:rPr>
                <w:noProof/>
                <w:sz w:val="18"/>
                <w:szCs w:val="20"/>
              </w:rPr>
            </w:pPr>
            <w:r w:rsidRPr="009B5734">
              <w:rPr>
                <w:noProof/>
                <w:sz w:val="18"/>
                <w:szCs w:val="20"/>
              </w:rPr>
              <w:t>Interviews with companies and industry associations</w:t>
            </w:r>
          </w:p>
        </w:tc>
      </w:tr>
      <w:tr w:rsidR="00EA45F9" w:rsidRPr="009B5734" w:rsidTr="00C84A99">
        <w:trPr>
          <w:trHeight w:val="558"/>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Retrieving relevant information from existing data and adjusting existing data</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jc w:val="center"/>
              <w:rPr>
                <w:noProof/>
                <w:color w:val="000000" w:themeColor="text1"/>
                <w:sz w:val="36"/>
                <w:szCs w:val="36"/>
              </w:rPr>
            </w:pPr>
            <w:r w:rsidRPr="009B5734">
              <w:rPr>
                <w:noProof/>
                <w:sz w:val="36"/>
                <w:szCs w:val="36"/>
              </w:rPr>
              <w:t>-</w:t>
            </w:r>
          </w:p>
        </w:tc>
        <w:tc>
          <w:tcPr>
            <w:tcW w:w="1335" w:type="pct"/>
            <w:tcBorders>
              <w:top w:val="single" w:sz="4" w:space="0" w:color="auto"/>
              <w:left w:val="nil"/>
              <w:bottom w:val="single" w:sz="4" w:space="0" w:color="auto"/>
              <w:right w:val="nil"/>
            </w:tcBorders>
            <w:shd w:val="clear" w:color="auto" w:fill="auto"/>
          </w:tcPr>
          <w:p w:rsidR="00EA45F9" w:rsidRPr="009B5734" w:rsidRDefault="00EA45F9" w:rsidP="00981615">
            <w:pPr>
              <w:pStyle w:val="TableTextNoSpace"/>
              <w:spacing w:line="276" w:lineRule="auto"/>
              <w:ind w:left="169" w:firstLine="0"/>
              <w:rPr>
                <w:i/>
                <w:iCs/>
                <w:noProof/>
                <w:sz w:val="18"/>
                <w:szCs w:val="20"/>
              </w:rPr>
            </w:pP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Producing new data</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jc w:val="center"/>
              <w:rPr>
                <w:noProof/>
                <w:color w:val="000000" w:themeColor="text1"/>
                <w:sz w:val="18"/>
                <w:szCs w:val="18"/>
              </w:rPr>
            </w:pPr>
            <w:r w:rsidRPr="009B5734">
              <w:rPr>
                <w:noProof/>
                <w:sz w:val="36"/>
                <w:szCs w:val="36"/>
              </w:rPr>
              <w:t>-</w:t>
            </w: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169" w:firstLine="0"/>
              <w:rPr>
                <w:iCs/>
                <w:noProof/>
                <w:sz w:val="18"/>
                <w:szCs w:val="20"/>
              </w:rPr>
            </w:pP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Designing and placing information material</w:t>
            </w:r>
          </w:p>
        </w:tc>
        <w:tc>
          <w:tcPr>
            <w:tcW w:w="2637" w:type="pct"/>
            <w:tcBorders>
              <w:top w:val="single" w:sz="4" w:space="0" w:color="auto"/>
              <w:left w:val="nil"/>
              <w:bottom w:val="single" w:sz="4" w:space="0" w:color="auto"/>
              <w:right w:val="nil"/>
            </w:tcBorders>
            <w:shd w:val="clear" w:color="auto" w:fill="auto"/>
            <w:hideMark/>
          </w:tcPr>
          <w:p w:rsidR="00EA45F9" w:rsidRPr="00F67503" w:rsidRDefault="00EA45F9" w:rsidP="004931D3">
            <w:pPr>
              <w:pStyle w:val="TableTextNoSpace"/>
              <w:spacing w:line="276" w:lineRule="auto"/>
              <w:ind w:left="101" w:firstLine="0"/>
              <w:jc w:val="center"/>
              <w:rPr>
                <w:i/>
                <w:noProof/>
                <w:color w:val="000000" w:themeColor="text1"/>
                <w:sz w:val="18"/>
                <w:szCs w:val="18"/>
              </w:rPr>
            </w:pPr>
            <w:r w:rsidRPr="009B5734">
              <w:rPr>
                <w:noProof/>
                <w:sz w:val="36"/>
                <w:szCs w:val="36"/>
              </w:rPr>
              <w:t>-</w:t>
            </w: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169" w:firstLine="0"/>
              <w:jc w:val="center"/>
              <w:rPr>
                <w:noProof/>
                <w:sz w:val="18"/>
                <w:szCs w:val="20"/>
              </w:rPr>
            </w:pP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Adjust forms and tables (one-off)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jc w:val="center"/>
              <w:rPr>
                <w:noProof/>
                <w:color w:val="000000" w:themeColor="text1"/>
                <w:sz w:val="18"/>
                <w:szCs w:val="18"/>
              </w:rPr>
            </w:pPr>
            <w:r w:rsidRPr="009B5734">
              <w:rPr>
                <w:noProof/>
                <w:sz w:val="36"/>
                <w:szCs w:val="36"/>
              </w:rPr>
              <w:t>-</w:t>
            </w: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169" w:firstLine="0"/>
              <w:jc w:val="center"/>
              <w:rPr>
                <w:noProof/>
                <w:sz w:val="18"/>
                <w:szCs w:val="20"/>
              </w:rPr>
            </w:pP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Inspections (internal and external)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jc w:val="center"/>
              <w:rPr>
                <w:noProof/>
                <w:color w:val="000000" w:themeColor="text1"/>
                <w:sz w:val="18"/>
                <w:szCs w:val="18"/>
              </w:rPr>
            </w:pPr>
            <w:r w:rsidRPr="009B5734">
              <w:rPr>
                <w:noProof/>
                <w:sz w:val="36"/>
                <w:szCs w:val="36"/>
              </w:rPr>
              <w:t>-</w:t>
            </w: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169" w:firstLine="0"/>
              <w:jc w:val="center"/>
              <w:rPr>
                <w:noProof/>
                <w:sz w:val="18"/>
                <w:szCs w:val="20"/>
              </w:rPr>
            </w:pPr>
          </w:p>
        </w:tc>
      </w:tr>
    </w:tbl>
    <w:p w:rsidR="00EA45F9" w:rsidRPr="009B5734" w:rsidRDefault="00EA45F9" w:rsidP="00EA45F9">
      <w:pPr>
        <w:rPr>
          <w:rFonts w:ascii="Verdana" w:hAnsi="Verdana"/>
          <w:noProof/>
          <w:color w:val="000000" w:themeColor="text1"/>
          <w:sz w:val="20"/>
        </w:rPr>
      </w:pPr>
    </w:p>
    <w:p w:rsidR="00EA45F9" w:rsidRPr="009B5734" w:rsidRDefault="00EA45F9" w:rsidP="00EA45F9">
      <w:pPr>
        <w:pStyle w:val="Titlecost"/>
        <w:rPr>
          <w:rFonts w:ascii="Times New Roman" w:hAnsi="Times New Roman" w:cs="Times New Roman"/>
          <w:noProof/>
          <w:sz w:val="24"/>
          <w:szCs w:val="24"/>
        </w:rPr>
      </w:pPr>
      <w:r w:rsidRPr="009B5734">
        <w:rPr>
          <w:rFonts w:ascii="Times New Roman" w:hAnsi="Times New Roman" w:cs="Times New Roman"/>
          <w:noProof/>
          <w:sz w:val="24"/>
          <w:szCs w:val="24"/>
        </w:rPr>
        <w:t>Enforcement costs</w:t>
      </w:r>
    </w:p>
    <w:p w:rsidR="00EA45F9" w:rsidRPr="009B5734" w:rsidRDefault="00EA45F9" w:rsidP="00EA45F9">
      <w:pPr>
        <w:ind w:left="0" w:firstLine="0"/>
        <w:rPr>
          <w:rFonts w:ascii="Times New Roman" w:hAnsi="Times New Roman" w:cs="Times New Roman"/>
          <w:noProof/>
          <w:sz w:val="24"/>
          <w:szCs w:val="24"/>
        </w:rPr>
      </w:pPr>
      <w:bookmarkStart w:id="602" w:name="_Hlk58503694"/>
      <w:r w:rsidRPr="009B5734">
        <w:rPr>
          <w:rFonts w:ascii="Times New Roman" w:hAnsi="Times New Roman" w:cs="Times New Roman"/>
          <w:noProof/>
          <w:sz w:val="24"/>
          <w:szCs w:val="24"/>
        </w:rPr>
        <w:t>Based on interviews with some CPC authorities, it is assumed that the measure would not require significant additional resources on top of the existing ones to enforce CRD and SGD.</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We therefore assume that the measure will require one additional Full Time Equivalent (per Member State), with its time divided equally between monitoring, inspecting, and handling complaints.</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We assumed 70h for familiarization with the measure and adjusting the internal procedures to start enforcing the measure. 16 employees will receive a 7h training.</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It is also assumed that there will be a yearly action per Member State, which will cost EUR 20,000 (based on market research).</w:t>
      </w:r>
    </w:p>
    <w:p w:rsidR="00EA45F9" w:rsidRPr="009B5734" w:rsidRDefault="00EA45F9" w:rsidP="00EA45F9">
      <w:pPr>
        <w:spacing w:after="240"/>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The other unit costs are assumed to be the same as in the previous measures. </w:t>
      </w:r>
    </w:p>
    <w:bookmarkEnd w:id="602"/>
    <w:p w:rsidR="00EA45F9" w:rsidRPr="009B5734" w:rsidRDefault="00EA45F9" w:rsidP="00EA45F9">
      <w:pPr>
        <w:pStyle w:val="Titlecost"/>
        <w:rPr>
          <w:rFonts w:ascii="Times New Roman" w:hAnsi="Times New Roman" w:cs="Times New Roman"/>
          <w:noProof/>
          <w:sz w:val="24"/>
          <w:szCs w:val="24"/>
        </w:rPr>
      </w:pPr>
      <w:r w:rsidRPr="009B5734">
        <w:rPr>
          <w:rFonts w:ascii="Times New Roman" w:hAnsi="Times New Roman" w:cs="Times New Roman"/>
          <w:noProof/>
          <w:sz w:val="24"/>
          <w:szCs w:val="24"/>
        </w:rPr>
        <w:t>Impact on monetisable consumer welfare</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approach followed to monetise the consumer welfare is illustrated in the figure below.</w:t>
      </w:r>
    </w:p>
    <w:p w:rsidR="00EA45F9" w:rsidRPr="009B5734" w:rsidRDefault="00EA45F9" w:rsidP="00EA45F9">
      <w:pPr>
        <w:rPr>
          <w:noProof/>
        </w:rPr>
      </w:pPr>
      <w:r w:rsidRPr="009B5734">
        <w:rPr>
          <w:noProof/>
          <w:lang w:eastAsia="en-GB"/>
        </w:rPr>
        <w:drawing>
          <wp:inline distT="0" distB="0" distL="0" distR="0" wp14:anchorId="79721C75" wp14:editId="29BAB6A8">
            <wp:extent cx="5545455" cy="20548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545455" cy="2054860"/>
                    </a:xfrm>
                    <a:prstGeom prst="rect">
                      <a:avLst/>
                    </a:prstGeom>
                    <a:noFill/>
                    <a:ln>
                      <a:noFill/>
                    </a:ln>
                  </pic:spPr>
                </pic:pic>
              </a:graphicData>
            </a:graphic>
          </wp:inline>
        </w:drawing>
      </w:r>
    </w:p>
    <w:p w:rsidR="00EA45F9" w:rsidRPr="009B5734" w:rsidRDefault="00EA45F9" w:rsidP="00EA45F9">
      <w:pPr>
        <w:rPr>
          <w:noProof/>
        </w:rPr>
      </w:pPr>
    </w:p>
    <w:tbl>
      <w:tblPr>
        <w:tblW w:w="4916" w:type="pct"/>
        <w:tblBorders>
          <w:top w:val="single" w:sz="4" w:space="0" w:color="auto"/>
          <w:bottom w:val="single" w:sz="4" w:space="0" w:color="auto"/>
          <w:insideH w:val="single" w:sz="4" w:space="0" w:color="auto"/>
        </w:tblBorders>
        <w:shd w:val="solid" w:color="F2F2F2" w:fill="F2F2F2"/>
        <w:tblCellMar>
          <w:left w:w="0" w:type="dxa"/>
          <w:right w:w="0" w:type="dxa"/>
        </w:tblCellMar>
        <w:tblLook w:val="04A0" w:firstRow="1" w:lastRow="0" w:firstColumn="1" w:lastColumn="0" w:noHBand="0" w:noVBand="1"/>
      </w:tblPr>
      <w:tblGrid>
        <w:gridCol w:w="1742"/>
        <w:gridCol w:w="4468"/>
        <w:gridCol w:w="2262"/>
      </w:tblGrid>
      <w:tr w:rsidR="00EA45F9" w:rsidRPr="009B5734" w:rsidTr="00981615">
        <w:trPr>
          <w:trHeight w:val="727"/>
        </w:trPr>
        <w:tc>
          <w:tcPr>
            <w:tcW w:w="1028" w:type="pct"/>
            <w:tcBorders>
              <w:top w:val="single" w:sz="4" w:space="0" w:color="auto"/>
              <w:left w:val="nil"/>
              <w:bottom w:val="single" w:sz="4" w:space="0" w:color="auto"/>
              <w:right w:val="nil"/>
            </w:tcBorders>
            <w:shd w:val="solid" w:color="002395" w:fill="002395"/>
          </w:tcPr>
          <w:p w:rsidR="00EA45F9" w:rsidRPr="009B5734" w:rsidRDefault="00EA45F9" w:rsidP="00981615">
            <w:pPr>
              <w:pStyle w:val="TableHeadingWhite"/>
              <w:spacing w:line="276" w:lineRule="auto"/>
              <w:ind w:left="142" w:firstLine="0"/>
              <w:rPr>
                <w:noProof/>
                <w:sz w:val="18"/>
                <w:szCs w:val="20"/>
              </w:rPr>
            </w:pPr>
          </w:p>
        </w:tc>
        <w:tc>
          <w:tcPr>
            <w:tcW w:w="2637" w:type="pct"/>
            <w:tcBorders>
              <w:top w:val="single" w:sz="4" w:space="0" w:color="auto"/>
              <w:left w:val="nil"/>
              <w:bottom w:val="single" w:sz="4" w:space="0" w:color="auto"/>
              <w:right w:val="nil"/>
            </w:tcBorders>
            <w:shd w:val="solid" w:color="002395" w:fill="002395"/>
            <w:hideMark/>
          </w:tcPr>
          <w:p w:rsidR="00EA45F9" w:rsidRPr="009B5734" w:rsidRDefault="00EA45F9" w:rsidP="00981615">
            <w:pPr>
              <w:pStyle w:val="TableHeadingWhite"/>
              <w:spacing w:line="276" w:lineRule="auto"/>
              <w:ind w:left="93" w:firstLine="0"/>
              <w:jc w:val="center"/>
              <w:rPr>
                <w:noProof/>
                <w:sz w:val="18"/>
                <w:szCs w:val="20"/>
              </w:rPr>
            </w:pPr>
            <w:r w:rsidRPr="009B5734">
              <w:rPr>
                <w:noProof/>
                <w:sz w:val="18"/>
                <w:szCs w:val="20"/>
              </w:rPr>
              <w:t>Assumption</w:t>
            </w:r>
          </w:p>
        </w:tc>
        <w:tc>
          <w:tcPr>
            <w:tcW w:w="1335" w:type="pct"/>
            <w:tcBorders>
              <w:top w:val="single" w:sz="4" w:space="0" w:color="auto"/>
              <w:left w:val="nil"/>
              <w:bottom w:val="single" w:sz="4" w:space="0" w:color="auto"/>
              <w:right w:val="nil"/>
            </w:tcBorders>
            <w:shd w:val="solid" w:color="002395" w:fill="002395"/>
            <w:hideMark/>
          </w:tcPr>
          <w:p w:rsidR="00EA45F9" w:rsidRPr="009B5734" w:rsidRDefault="00EA45F9" w:rsidP="00981615">
            <w:pPr>
              <w:pStyle w:val="TableHeadingWhite"/>
              <w:spacing w:line="276" w:lineRule="auto"/>
              <w:ind w:left="170" w:firstLine="0"/>
              <w:jc w:val="center"/>
              <w:rPr>
                <w:noProof/>
                <w:sz w:val="18"/>
                <w:szCs w:val="20"/>
              </w:rPr>
            </w:pPr>
            <w:r w:rsidRPr="009B5734">
              <w:rPr>
                <w:noProof/>
                <w:sz w:val="18"/>
                <w:szCs w:val="20"/>
              </w:rPr>
              <w:t>Source</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Share of consumers that did not repair a product because of lack of repair manual at the baseline</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firstLine="0"/>
              <w:jc w:val="center"/>
              <w:rPr>
                <w:noProof/>
                <w:color w:val="000000" w:themeColor="text1"/>
                <w:sz w:val="18"/>
                <w:szCs w:val="20"/>
              </w:rPr>
            </w:pPr>
            <w:r w:rsidRPr="009B5734">
              <w:rPr>
                <w:noProof/>
                <w:sz w:val="18"/>
                <w:szCs w:val="20"/>
              </w:rPr>
              <w:t>2%-5% depending on the product</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 xml:space="preserve">Consumer survey </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Average price of goods</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firstLine="0"/>
              <w:jc w:val="center"/>
              <w:rPr>
                <w:noProof/>
                <w:color w:val="000000" w:themeColor="text1"/>
                <w:sz w:val="18"/>
                <w:szCs w:val="20"/>
              </w:rPr>
            </w:pPr>
            <w:r w:rsidRPr="009B5734">
              <w:rPr>
                <w:noProof/>
                <w:sz w:val="18"/>
                <w:szCs w:val="20"/>
              </w:rPr>
              <w:t>Depends on the good</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 xml:space="preserve">Statista </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 xml:space="preserve">Likelihood of a consumer being able to repair a product due to the existence of a repair manual (when that would have not been the case in the baseline)  </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firstLine="0"/>
              <w:jc w:val="center"/>
              <w:rPr>
                <w:noProof/>
                <w:color w:val="000000" w:themeColor="text1"/>
                <w:szCs w:val="22"/>
              </w:rPr>
            </w:pPr>
            <w:r w:rsidRPr="009B5734">
              <w:rPr>
                <w:noProof/>
                <w:sz w:val="18"/>
                <w:szCs w:val="20"/>
              </w:rPr>
              <w:t>We considered that on average between 50% to 100% of the products that were not repaired because of lack of manual could be successfully repaired if one were available.</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Expert judgement by a panel</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Additional lifespan as a result of a repair</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firstLine="0"/>
              <w:jc w:val="center"/>
              <w:rPr>
                <w:noProof/>
                <w:color w:val="000000" w:themeColor="text1"/>
                <w:sz w:val="18"/>
                <w:szCs w:val="20"/>
              </w:rPr>
            </w:pPr>
            <w:r w:rsidRPr="009B5734">
              <w:rPr>
                <w:noProof/>
                <w:sz w:val="18"/>
                <w:szCs w:val="20"/>
              </w:rPr>
              <w:t xml:space="preserve">Adopted a conservative approach and assumed that it will be between 0.5 years and 1 year depending on the product. This is considered reasonable as lower gains would most likely lead to replacement instead of repair (given the costs with repair)  </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Expert judgement by a panel</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Available repair manuals at the baseline</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firstLine="0"/>
              <w:jc w:val="center"/>
              <w:rPr>
                <w:noProof/>
                <w:color w:val="000000" w:themeColor="text1"/>
                <w:sz w:val="18"/>
                <w:szCs w:val="20"/>
              </w:rPr>
            </w:pPr>
            <w:r w:rsidRPr="009B5734">
              <w:rPr>
                <w:noProof/>
                <w:sz w:val="18"/>
                <w:szCs w:val="20"/>
              </w:rPr>
              <w:t>0%</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Mystery shopping conducted in the context of this study</w:t>
            </w:r>
          </w:p>
        </w:tc>
      </w:tr>
    </w:tbl>
    <w:p w:rsidR="00EA45F9" w:rsidRPr="009B5734" w:rsidRDefault="00EA45F9" w:rsidP="00EA45F9">
      <w:pPr>
        <w:rPr>
          <w:rFonts w:ascii="Verdana" w:hAnsi="Verdana"/>
          <w:noProof/>
          <w:color w:val="000000" w:themeColor="text1"/>
          <w:sz w:val="20"/>
        </w:rPr>
      </w:pPr>
    </w:p>
    <w:p w:rsidR="00EA45F9" w:rsidRPr="009B5734" w:rsidRDefault="00EA45F9" w:rsidP="00EA45F9">
      <w:pPr>
        <w:pStyle w:val="Heading5"/>
        <w:rPr>
          <w:rFonts w:ascii="Times New Roman" w:hAnsi="Times New Roman" w:cs="Times New Roman"/>
          <w:i w:val="0"/>
          <w:noProof/>
          <w:sz w:val="24"/>
        </w:rPr>
      </w:pPr>
      <w:r w:rsidRPr="009B5734">
        <w:rPr>
          <w:rFonts w:ascii="Times New Roman" w:hAnsi="Times New Roman" w:cs="Times New Roman"/>
          <w:i w:val="0"/>
          <w:noProof/>
          <w:sz w:val="24"/>
        </w:rPr>
        <w:t xml:space="preserve">Option 1.3.B. Provision of information about how long and which spare parts are available </w:t>
      </w:r>
    </w:p>
    <w:p w:rsidR="00EA45F9" w:rsidRPr="009B5734" w:rsidRDefault="00EA45F9" w:rsidP="00EA45F9">
      <w:pPr>
        <w:pStyle w:val="Titlecost"/>
        <w:rPr>
          <w:rFonts w:ascii="Times New Roman" w:hAnsi="Times New Roman" w:cs="Times New Roman"/>
          <w:noProof/>
          <w:sz w:val="24"/>
          <w:szCs w:val="24"/>
        </w:rPr>
      </w:pPr>
      <w:r w:rsidRPr="009B5734">
        <w:rPr>
          <w:rFonts w:ascii="Times New Roman" w:hAnsi="Times New Roman" w:cs="Times New Roman"/>
          <w:noProof/>
          <w:sz w:val="24"/>
          <w:szCs w:val="24"/>
        </w:rPr>
        <w:t>Administrative burden</w:t>
      </w:r>
    </w:p>
    <w:tbl>
      <w:tblPr>
        <w:tblW w:w="4916" w:type="pct"/>
        <w:tblBorders>
          <w:top w:val="single" w:sz="4" w:space="0" w:color="auto"/>
          <w:bottom w:val="single" w:sz="4" w:space="0" w:color="auto"/>
          <w:insideH w:val="single" w:sz="4" w:space="0" w:color="auto"/>
        </w:tblBorders>
        <w:shd w:val="solid" w:color="F2F2F2" w:fill="F2F2F2"/>
        <w:tblCellMar>
          <w:left w:w="0" w:type="dxa"/>
          <w:right w:w="0" w:type="dxa"/>
        </w:tblCellMar>
        <w:tblLook w:val="04A0" w:firstRow="1" w:lastRow="0" w:firstColumn="1" w:lastColumn="0" w:noHBand="0" w:noVBand="1"/>
      </w:tblPr>
      <w:tblGrid>
        <w:gridCol w:w="1742"/>
        <w:gridCol w:w="4468"/>
        <w:gridCol w:w="2262"/>
      </w:tblGrid>
      <w:tr w:rsidR="00EA45F9" w:rsidRPr="009B5734" w:rsidTr="00C84A99">
        <w:trPr>
          <w:trHeight w:val="727"/>
        </w:trPr>
        <w:tc>
          <w:tcPr>
            <w:tcW w:w="1028" w:type="pct"/>
            <w:tcBorders>
              <w:top w:val="single" w:sz="4" w:space="0" w:color="auto"/>
              <w:left w:val="nil"/>
              <w:bottom w:val="single" w:sz="4" w:space="0" w:color="auto"/>
              <w:right w:val="nil"/>
            </w:tcBorders>
            <w:shd w:val="clear" w:color="auto" w:fill="002395"/>
          </w:tcPr>
          <w:p w:rsidR="00EA45F9" w:rsidRPr="009B5734" w:rsidRDefault="00EA45F9" w:rsidP="00981615">
            <w:pPr>
              <w:pStyle w:val="TableHeadingWhite"/>
              <w:spacing w:line="276" w:lineRule="auto"/>
              <w:ind w:left="142" w:firstLine="0"/>
              <w:rPr>
                <w:noProof/>
                <w:sz w:val="18"/>
                <w:szCs w:val="20"/>
              </w:rPr>
            </w:pPr>
          </w:p>
        </w:tc>
        <w:tc>
          <w:tcPr>
            <w:tcW w:w="2637" w:type="pct"/>
            <w:tcBorders>
              <w:top w:val="single" w:sz="4" w:space="0" w:color="auto"/>
              <w:left w:val="nil"/>
              <w:bottom w:val="single" w:sz="4" w:space="0" w:color="auto"/>
              <w:right w:val="nil"/>
            </w:tcBorders>
            <w:shd w:val="clear" w:color="auto" w:fill="002395"/>
            <w:hideMark/>
          </w:tcPr>
          <w:p w:rsidR="00EA45F9" w:rsidRPr="009B5734" w:rsidRDefault="00EA45F9" w:rsidP="00981615">
            <w:pPr>
              <w:pStyle w:val="TableHeadingWhite"/>
              <w:spacing w:line="276" w:lineRule="auto"/>
              <w:ind w:left="101" w:firstLine="0"/>
              <w:jc w:val="center"/>
              <w:rPr>
                <w:noProof/>
                <w:sz w:val="18"/>
                <w:szCs w:val="20"/>
              </w:rPr>
            </w:pPr>
            <w:r w:rsidRPr="009B5734">
              <w:rPr>
                <w:noProof/>
                <w:sz w:val="18"/>
                <w:szCs w:val="20"/>
              </w:rPr>
              <w:t>Assumption</w:t>
            </w:r>
          </w:p>
        </w:tc>
        <w:tc>
          <w:tcPr>
            <w:tcW w:w="1335" w:type="pct"/>
            <w:tcBorders>
              <w:top w:val="single" w:sz="4" w:space="0" w:color="auto"/>
              <w:left w:val="nil"/>
              <w:bottom w:val="single" w:sz="4" w:space="0" w:color="auto"/>
              <w:right w:val="nil"/>
            </w:tcBorders>
            <w:shd w:val="clear" w:color="auto" w:fill="002395"/>
            <w:hideMark/>
          </w:tcPr>
          <w:p w:rsidR="00EA45F9" w:rsidRPr="009B5734" w:rsidRDefault="00EA45F9" w:rsidP="00981615">
            <w:pPr>
              <w:pStyle w:val="TableHeadingWhite"/>
              <w:spacing w:line="276" w:lineRule="auto"/>
              <w:ind w:left="169" w:hanging="142"/>
              <w:jc w:val="center"/>
              <w:rPr>
                <w:noProof/>
                <w:sz w:val="18"/>
                <w:szCs w:val="20"/>
              </w:rPr>
            </w:pPr>
            <w:r w:rsidRPr="009B5734">
              <w:rPr>
                <w:noProof/>
                <w:sz w:val="18"/>
                <w:szCs w:val="20"/>
              </w:rPr>
              <w:t>Source</w:t>
            </w:r>
          </w:p>
        </w:tc>
      </w:tr>
      <w:tr w:rsidR="00EA45F9" w:rsidRPr="009B5734" w:rsidTr="00C84A99">
        <w:trPr>
          <w:trHeight w:val="391"/>
        </w:trPr>
        <w:tc>
          <w:tcPr>
            <w:tcW w:w="5000" w:type="pct"/>
            <w:gridSpan w:val="3"/>
            <w:tcBorders>
              <w:top w:val="single" w:sz="4" w:space="0" w:color="auto"/>
              <w:left w:val="nil"/>
              <w:bottom w:val="single" w:sz="4" w:space="0" w:color="auto"/>
              <w:right w:val="nil"/>
            </w:tcBorders>
            <w:shd w:val="clear" w:color="auto" w:fill="DBE5F1" w:themeFill="accent1" w:themeFillTint="33"/>
            <w:hideMark/>
          </w:tcPr>
          <w:p w:rsidR="00EA45F9" w:rsidRPr="009B5734" w:rsidRDefault="00EA45F9" w:rsidP="00981615">
            <w:pPr>
              <w:pStyle w:val="TableHeadingWhite"/>
              <w:spacing w:line="276" w:lineRule="auto"/>
              <w:ind w:left="169" w:hanging="142"/>
              <w:rPr>
                <w:noProof/>
                <w:sz w:val="18"/>
                <w:szCs w:val="20"/>
              </w:rPr>
            </w:pPr>
            <w:r w:rsidRPr="009B5734">
              <w:rPr>
                <w:noProof/>
                <w:sz w:val="18"/>
                <w:szCs w:val="20"/>
              </w:rPr>
              <w:t xml:space="preserve">Manufacturers (excluding those that only produce components) </w:t>
            </w:r>
          </w:p>
        </w:tc>
      </w:tr>
      <w:tr w:rsidR="00EA45F9" w:rsidRPr="009B5734" w:rsidTr="00C84A99">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Familiarization with the measure</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jc w:val="center"/>
              <w:rPr>
                <w:i/>
                <w:iCs/>
                <w:noProof/>
                <w:color w:val="000000" w:themeColor="text1"/>
                <w:sz w:val="18"/>
                <w:szCs w:val="20"/>
              </w:rPr>
            </w:pPr>
            <w:r w:rsidRPr="009B5734">
              <w:rPr>
                <w:i/>
                <w:iCs/>
                <w:noProof/>
                <w:sz w:val="18"/>
                <w:szCs w:val="20"/>
              </w:rPr>
              <w:t xml:space="preserve">This includes not only identifying the new obligations imposed by the measure but analysing the steps that need to be taken to comply with it </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SME: [7,21]h legal team, 17.5h product development team, 3.5h commercial team</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Large Enterprises:  21h legal team, 35h product development team, 7h commercial team</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69" w:hanging="142"/>
              <w:rPr>
                <w:noProof/>
                <w:sz w:val="18"/>
                <w:szCs w:val="20"/>
              </w:rPr>
            </w:pPr>
            <w:r w:rsidRPr="009B5734">
              <w:rPr>
                <w:noProof/>
                <w:sz w:val="18"/>
                <w:szCs w:val="20"/>
              </w:rPr>
              <w:t>Interviews with companies and industry associations</w:t>
            </w:r>
          </w:p>
        </w:tc>
      </w:tr>
      <w:tr w:rsidR="00EA45F9" w:rsidRPr="009B5734" w:rsidTr="00C84A99">
        <w:trPr>
          <w:trHeight w:val="1263"/>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Training</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jc w:val="center"/>
              <w:rPr>
                <w:i/>
                <w:iCs/>
                <w:noProof/>
                <w:color w:val="000000" w:themeColor="text1"/>
                <w:sz w:val="18"/>
                <w:szCs w:val="20"/>
              </w:rPr>
            </w:pPr>
            <w:r w:rsidRPr="009B5734">
              <w:rPr>
                <w:i/>
                <w:iCs/>
                <w:noProof/>
                <w:sz w:val="18"/>
                <w:szCs w:val="20"/>
              </w:rPr>
              <w:t>This includes an initial training of managers and key employees</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SME: 0.5h manager + 3.5h key employees</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Large enterprises: 1h managers + 7h key employees</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69" w:hanging="142"/>
              <w:rPr>
                <w:noProof/>
                <w:sz w:val="18"/>
                <w:szCs w:val="20"/>
              </w:rPr>
            </w:pPr>
            <w:r w:rsidRPr="009B5734">
              <w:rPr>
                <w:noProof/>
                <w:sz w:val="18"/>
                <w:szCs w:val="20"/>
              </w:rPr>
              <w:t>Interviews with companies and industry associations</w:t>
            </w:r>
          </w:p>
        </w:tc>
      </w:tr>
      <w:tr w:rsidR="00EA45F9" w:rsidRPr="009B5734" w:rsidTr="00C84A99">
        <w:trPr>
          <w:trHeight w:val="558"/>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Retrieving relevant information from existing data and adjusting existing data (including adapting system to retrieve information)</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jc w:val="center"/>
              <w:rPr>
                <w:i/>
                <w:iCs/>
                <w:noProof/>
                <w:color w:val="000000" w:themeColor="text1"/>
                <w:sz w:val="18"/>
                <w:szCs w:val="20"/>
              </w:rPr>
            </w:pPr>
            <w:r w:rsidRPr="009B5734">
              <w:rPr>
                <w:i/>
                <w:iCs/>
                <w:noProof/>
                <w:sz w:val="18"/>
                <w:szCs w:val="20"/>
              </w:rPr>
              <w:t>This includes identifying and compiling all the information available to identify which spare parts are provided and adjusting internal systems to ensure that this information is consistently accessible</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SME: [14,35]h in total</w:t>
            </w:r>
          </w:p>
          <w:p w:rsidR="00EA45F9" w:rsidRPr="009B5734" w:rsidRDefault="00EA45F9" w:rsidP="00981615">
            <w:pPr>
              <w:pStyle w:val="TableTextNoSpace"/>
              <w:spacing w:line="276" w:lineRule="auto"/>
              <w:ind w:left="101" w:firstLine="0"/>
              <w:rPr>
                <w:noProof/>
                <w:sz w:val="36"/>
                <w:szCs w:val="40"/>
              </w:rPr>
            </w:pPr>
            <w:r w:rsidRPr="009B5734">
              <w:rPr>
                <w:noProof/>
                <w:sz w:val="18"/>
                <w:szCs w:val="20"/>
              </w:rPr>
              <w:t>Large enterprises: 105h in total</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69" w:hanging="142"/>
              <w:rPr>
                <w:i/>
                <w:iCs/>
                <w:noProof/>
                <w:sz w:val="18"/>
                <w:szCs w:val="20"/>
              </w:rPr>
            </w:pPr>
            <w:r w:rsidRPr="009B5734">
              <w:rPr>
                <w:noProof/>
                <w:sz w:val="18"/>
                <w:szCs w:val="20"/>
              </w:rPr>
              <w:t>Interviews with companies and industry associations</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 xml:space="preserve">Producing new data </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jc w:val="center"/>
              <w:rPr>
                <w:i/>
                <w:iCs/>
                <w:noProof/>
                <w:color w:val="000000" w:themeColor="text1"/>
                <w:sz w:val="18"/>
                <w:szCs w:val="20"/>
              </w:rPr>
            </w:pPr>
            <w:r w:rsidRPr="009B5734">
              <w:rPr>
                <w:i/>
                <w:iCs/>
                <w:noProof/>
                <w:sz w:val="18"/>
                <w:szCs w:val="20"/>
              </w:rPr>
              <w:t>Meetings to decide which spare parts will be available and for how long</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[0.5,1]h per product (this decision will be taken during meetings organized as part of business as usual).</w:t>
            </w:r>
          </w:p>
        </w:tc>
        <w:tc>
          <w:tcPr>
            <w:tcW w:w="1335" w:type="pct"/>
            <w:tcBorders>
              <w:top w:val="single" w:sz="4" w:space="0" w:color="auto"/>
              <w:left w:val="nil"/>
              <w:bottom w:val="single" w:sz="4" w:space="0" w:color="auto"/>
              <w:right w:val="nil"/>
            </w:tcBorders>
            <w:shd w:val="clear" w:color="auto" w:fill="auto"/>
            <w:vAlign w:val="center"/>
            <w:hideMark/>
          </w:tcPr>
          <w:p w:rsidR="00EA45F9" w:rsidRPr="009B5734" w:rsidRDefault="00EA45F9" w:rsidP="00981615">
            <w:pPr>
              <w:pStyle w:val="TableTextNoSpace"/>
              <w:spacing w:line="276" w:lineRule="auto"/>
              <w:ind w:left="169" w:hanging="142"/>
              <w:rPr>
                <w:iCs/>
                <w:noProof/>
                <w:sz w:val="18"/>
                <w:szCs w:val="20"/>
              </w:rPr>
            </w:pPr>
            <w:r w:rsidRPr="009B5734">
              <w:rPr>
                <w:noProof/>
                <w:sz w:val="18"/>
                <w:szCs w:val="20"/>
              </w:rPr>
              <w:t>Interviews with companies and industry associations</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Designing and placing information material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rPr>
                <w:noProof/>
                <w:color w:val="000000" w:themeColor="text1"/>
                <w:sz w:val="18"/>
                <w:szCs w:val="20"/>
              </w:rPr>
            </w:pPr>
            <w:r w:rsidRPr="009B5734">
              <w:rPr>
                <w:noProof/>
                <w:sz w:val="18"/>
                <w:szCs w:val="20"/>
              </w:rPr>
              <w:t>35h for SMEs and 70h for large enterprises to update their websites to be able to provide the necessary information</w:t>
            </w:r>
          </w:p>
          <w:p w:rsidR="00EA45F9" w:rsidRPr="009B5734" w:rsidRDefault="00EA45F9" w:rsidP="00981615">
            <w:pPr>
              <w:pStyle w:val="TableTextNoSpace"/>
              <w:spacing w:line="276" w:lineRule="auto"/>
              <w:ind w:left="101" w:firstLine="0"/>
              <w:rPr>
                <w:i/>
                <w:iCs/>
                <w:noProof/>
                <w:sz w:val="18"/>
                <w:szCs w:val="20"/>
              </w:rPr>
            </w:pPr>
            <w:r w:rsidRPr="009B5734">
              <w:rPr>
                <w:noProof/>
                <w:sz w:val="18"/>
                <w:szCs w:val="20"/>
              </w:rPr>
              <w:t>[0.25,0.5]h for SME and 1h for large enterprises to weekly update their websites.</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69" w:hanging="142"/>
              <w:rPr>
                <w:noProof/>
                <w:sz w:val="18"/>
                <w:szCs w:val="20"/>
              </w:rPr>
            </w:pPr>
            <w:r w:rsidRPr="009B5734">
              <w:rPr>
                <w:noProof/>
                <w:sz w:val="18"/>
                <w:szCs w:val="20"/>
              </w:rPr>
              <w:t>Market data from ICF</w:t>
            </w:r>
          </w:p>
          <w:p w:rsidR="00EA45F9" w:rsidRPr="009B5734" w:rsidRDefault="00EA45F9" w:rsidP="00981615">
            <w:pPr>
              <w:pStyle w:val="TableTextNoSpace"/>
              <w:spacing w:line="276" w:lineRule="auto"/>
              <w:ind w:left="169" w:hanging="142"/>
              <w:rPr>
                <w:noProof/>
                <w:sz w:val="18"/>
                <w:szCs w:val="20"/>
              </w:rPr>
            </w:pPr>
            <w:r w:rsidRPr="009B5734">
              <w:rPr>
                <w:noProof/>
                <w:sz w:val="18"/>
                <w:szCs w:val="20"/>
              </w:rPr>
              <w:t>Interviews with companies and industry associations</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Adjust forms and tables (one-off)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rPr>
                <w:i/>
                <w:iCs/>
                <w:noProof/>
                <w:color w:val="000000" w:themeColor="text1"/>
                <w:sz w:val="18"/>
                <w:szCs w:val="20"/>
              </w:rPr>
            </w:pPr>
            <w:r w:rsidRPr="009B5734">
              <w:rPr>
                <w:i/>
                <w:iCs/>
                <w:noProof/>
                <w:sz w:val="18"/>
                <w:szCs w:val="20"/>
              </w:rPr>
              <w:t>This includes re-designing existing forms to include data related to the measure. Filling in the tables/forms was considered business as usual (as the additional time spent on this is judged to be negligible)</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SME: [0.5,1]h manager + [7,14]h employee</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Large: 1h manager + [14,21]h employee</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69" w:hanging="142"/>
              <w:rPr>
                <w:noProof/>
                <w:sz w:val="18"/>
                <w:szCs w:val="20"/>
              </w:rPr>
            </w:pPr>
            <w:r w:rsidRPr="009B5734">
              <w:rPr>
                <w:noProof/>
                <w:sz w:val="18"/>
                <w:szCs w:val="20"/>
              </w:rPr>
              <w:t>Expert judgement by a panel based on interviews with companies</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Inspections (internal and external)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rPr>
                <w:noProof/>
                <w:color w:val="000000" w:themeColor="text1"/>
                <w:sz w:val="18"/>
                <w:szCs w:val="20"/>
              </w:rPr>
            </w:pPr>
            <w:r w:rsidRPr="009B5734">
              <w:rPr>
                <w:noProof/>
                <w:sz w:val="18"/>
                <w:szCs w:val="20"/>
              </w:rPr>
              <w:t xml:space="preserve">Internal inspections take place quarterly and in total involve </w:t>
            </w:r>
          </w:p>
          <w:p w:rsidR="00EA45F9" w:rsidRPr="009B5734" w:rsidRDefault="00EA45F9" w:rsidP="00981615">
            <w:pPr>
              <w:pStyle w:val="TableTextNoSpace"/>
              <w:numPr>
                <w:ilvl w:val="0"/>
                <w:numId w:val="190"/>
              </w:numPr>
              <w:spacing w:before="120" w:line="276" w:lineRule="auto"/>
              <w:ind w:left="101" w:right="0" w:firstLine="0"/>
              <w:jc w:val="left"/>
              <w:rPr>
                <w:noProof/>
                <w:sz w:val="18"/>
                <w:szCs w:val="20"/>
              </w:rPr>
            </w:pPr>
            <w:r w:rsidRPr="009B5734">
              <w:rPr>
                <w:noProof/>
                <w:sz w:val="18"/>
                <w:szCs w:val="20"/>
              </w:rPr>
              <w:t xml:space="preserve">0.5h of a manager in the case of SMEs and 1h for large enterprises </w:t>
            </w:r>
          </w:p>
          <w:p w:rsidR="00EA45F9" w:rsidRPr="009B5734" w:rsidRDefault="00EA45F9" w:rsidP="00981615">
            <w:pPr>
              <w:pStyle w:val="TableTextNoSpace"/>
              <w:numPr>
                <w:ilvl w:val="0"/>
                <w:numId w:val="190"/>
              </w:numPr>
              <w:spacing w:before="120" w:line="276" w:lineRule="auto"/>
              <w:ind w:left="101" w:right="0" w:firstLine="0"/>
              <w:jc w:val="left"/>
              <w:rPr>
                <w:noProof/>
                <w:sz w:val="18"/>
                <w:szCs w:val="20"/>
              </w:rPr>
            </w:pPr>
            <w:r w:rsidRPr="009B5734">
              <w:rPr>
                <w:noProof/>
                <w:sz w:val="18"/>
                <w:szCs w:val="20"/>
              </w:rPr>
              <w:t>[3.5,7]h of an employee in the case of SMEs or 14h in the case of large enterprises</w:t>
            </w:r>
          </w:p>
          <w:p w:rsidR="00EA45F9" w:rsidRPr="009B5734" w:rsidRDefault="00EA45F9" w:rsidP="00981615">
            <w:pPr>
              <w:pStyle w:val="TableTextNoSpace"/>
              <w:spacing w:line="276" w:lineRule="auto"/>
              <w:ind w:left="101" w:firstLine="0"/>
              <w:rPr>
                <w:i/>
                <w:iCs/>
                <w:noProof/>
                <w:sz w:val="18"/>
                <w:szCs w:val="20"/>
              </w:rPr>
            </w:pPr>
            <w:r w:rsidRPr="009B5734">
              <w:rPr>
                <w:i/>
                <w:iCs/>
                <w:noProof/>
                <w:sz w:val="18"/>
                <w:szCs w:val="20"/>
              </w:rPr>
              <w:t xml:space="preserve">External inspections are expected to take place in less than 1% of the companies. Each external inspection will involve 1h manager and 2h of an employee. </w:t>
            </w:r>
          </w:p>
        </w:tc>
        <w:tc>
          <w:tcPr>
            <w:tcW w:w="1335" w:type="pct"/>
            <w:tcBorders>
              <w:top w:val="single" w:sz="4" w:space="0" w:color="auto"/>
              <w:left w:val="nil"/>
              <w:bottom w:val="single" w:sz="4" w:space="0" w:color="auto"/>
              <w:right w:val="nil"/>
            </w:tcBorders>
            <w:shd w:val="clear" w:color="auto" w:fill="auto"/>
          </w:tcPr>
          <w:p w:rsidR="00EA45F9" w:rsidRPr="009B5734" w:rsidRDefault="00EA45F9" w:rsidP="00981615">
            <w:pPr>
              <w:pStyle w:val="TableTextNoSpace"/>
              <w:spacing w:line="276" w:lineRule="auto"/>
              <w:ind w:left="169" w:hanging="142"/>
              <w:rPr>
                <w:noProof/>
                <w:sz w:val="18"/>
                <w:szCs w:val="20"/>
              </w:rPr>
            </w:pPr>
            <w:r w:rsidRPr="009B5734">
              <w:rPr>
                <w:noProof/>
                <w:sz w:val="18"/>
                <w:szCs w:val="20"/>
              </w:rPr>
              <w:t>Interviews with companies and industry associations</w:t>
            </w:r>
          </w:p>
          <w:p w:rsidR="00EA45F9" w:rsidRPr="009B5734" w:rsidRDefault="00EA45F9" w:rsidP="00981615">
            <w:pPr>
              <w:pStyle w:val="TableTextNoSpace"/>
              <w:spacing w:line="276" w:lineRule="auto"/>
              <w:ind w:left="169" w:hanging="142"/>
              <w:rPr>
                <w:noProof/>
                <w:sz w:val="18"/>
                <w:szCs w:val="20"/>
              </w:rPr>
            </w:pPr>
          </w:p>
          <w:p w:rsidR="00EA45F9" w:rsidRPr="009B5734" w:rsidRDefault="00EA45F9" w:rsidP="00981615">
            <w:pPr>
              <w:pStyle w:val="TableTextNoSpace"/>
              <w:spacing w:line="276" w:lineRule="auto"/>
              <w:ind w:left="169" w:hanging="142"/>
              <w:rPr>
                <w:noProof/>
                <w:sz w:val="18"/>
                <w:szCs w:val="20"/>
              </w:rPr>
            </w:pPr>
          </w:p>
          <w:p w:rsidR="00EA45F9" w:rsidRPr="009B5734" w:rsidRDefault="00EA45F9" w:rsidP="00981615">
            <w:pPr>
              <w:pStyle w:val="TableTextNoSpace"/>
              <w:spacing w:line="276" w:lineRule="auto"/>
              <w:ind w:left="169" w:hanging="142"/>
              <w:rPr>
                <w:noProof/>
                <w:sz w:val="18"/>
                <w:szCs w:val="20"/>
              </w:rPr>
            </w:pPr>
          </w:p>
          <w:p w:rsidR="00EA45F9" w:rsidRPr="009B5734" w:rsidRDefault="00EA45F9" w:rsidP="00981615">
            <w:pPr>
              <w:pStyle w:val="TableTextNoSpace"/>
              <w:spacing w:line="276" w:lineRule="auto"/>
              <w:ind w:left="169" w:hanging="142"/>
              <w:rPr>
                <w:noProof/>
                <w:sz w:val="18"/>
                <w:szCs w:val="20"/>
              </w:rPr>
            </w:pPr>
          </w:p>
          <w:p w:rsidR="00EA45F9" w:rsidRPr="009B5734" w:rsidRDefault="00EA45F9" w:rsidP="00981615">
            <w:pPr>
              <w:pStyle w:val="TableTextNoSpace"/>
              <w:spacing w:line="276" w:lineRule="auto"/>
              <w:ind w:left="169" w:hanging="142"/>
              <w:rPr>
                <w:noProof/>
                <w:sz w:val="18"/>
                <w:szCs w:val="20"/>
              </w:rPr>
            </w:pPr>
            <w:r w:rsidRPr="009B5734">
              <w:rPr>
                <w:noProof/>
                <w:sz w:val="18"/>
                <w:szCs w:val="20"/>
              </w:rPr>
              <w:t>Expert judgment by a panel</w:t>
            </w:r>
          </w:p>
        </w:tc>
      </w:tr>
      <w:tr w:rsidR="00EA45F9" w:rsidRPr="009B5734" w:rsidTr="00C84A99">
        <w:trPr>
          <w:trHeight w:val="391"/>
        </w:trPr>
        <w:tc>
          <w:tcPr>
            <w:tcW w:w="5000" w:type="pct"/>
            <w:gridSpan w:val="3"/>
            <w:tcBorders>
              <w:top w:val="single" w:sz="4" w:space="0" w:color="auto"/>
              <w:left w:val="nil"/>
              <w:bottom w:val="single" w:sz="4" w:space="0" w:color="auto"/>
              <w:right w:val="nil"/>
            </w:tcBorders>
            <w:shd w:val="clear" w:color="auto" w:fill="DBE5F1" w:themeFill="accent1" w:themeFillTint="33"/>
            <w:hideMark/>
          </w:tcPr>
          <w:p w:rsidR="00EA45F9" w:rsidRPr="009B5734" w:rsidRDefault="00EA45F9" w:rsidP="00981615">
            <w:pPr>
              <w:pStyle w:val="TableHeadingWhite"/>
              <w:spacing w:line="276" w:lineRule="auto"/>
              <w:ind w:left="169" w:hanging="142"/>
              <w:rPr>
                <w:noProof/>
                <w:sz w:val="18"/>
                <w:szCs w:val="20"/>
              </w:rPr>
            </w:pPr>
            <w:r w:rsidRPr="009B5734">
              <w:rPr>
                <w:noProof/>
                <w:sz w:val="18"/>
                <w:szCs w:val="20"/>
              </w:rPr>
              <w:t xml:space="preserve">Retailers </w:t>
            </w:r>
          </w:p>
        </w:tc>
      </w:tr>
      <w:tr w:rsidR="00EA45F9" w:rsidRPr="009B5734" w:rsidTr="00C84A99">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Familiarization with the measure</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F67503" w:rsidRDefault="00EA45F9" w:rsidP="004931D3">
            <w:pPr>
              <w:pStyle w:val="TableTextNoSpace"/>
              <w:spacing w:line="276" w:lineRule="auto"/>
              <w:ind w:left="101" w:firstLine="0"/>
              <w:jc w:val="center"/>
              <w:rPr>
                <w:i/>
                <w:noProof/>
                <w:color w:val="000000" w:themeColor="text1"/>
                <w:sz w:val="18"/>
                <w:szCs w:val="18"/>
              </w:rPr>
            </w:pPr>
            <w:r w:rsidRPr="005D24D2">
              <w:rPr>
                <w:i/>
                <w:iCs/>
                <w:noProof/>
                <w:sz w:val="18"/>
                <w:szCs w:val="18"/>
              </w:rPr>
              <w:t xml:space="preserve">This includes not only identifying the new obligations imposed by the measure but analyzing the steps that need to be taken to comply with it </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SME: [7,17.5]h legal team; 10.5h key employees</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Large Enterprises:  17.5h legal team, 21h key employee</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69" w:hanging="142"/>
              <w:rPr>
                <w:noProof/>
                <w:sz w:val="18"/>
                <w:szCs w:val="20"/>
              </w:rPr>
            </w:pPr>
            <w:r w:rsidRPr="009B5734">
              <w:rPr>
                <w:noProof/>
                <w:sz w:val="18"/>
                <w:szCs w:val="20"/>
              </w:rPr>
              <w:t>Interviews with companies and industry associations</w:t>
            </w:r>
          </w:p>
        </w:tc>
      </w:tr>
      <w:tr w:rsidR="00EA45F9" w:rsidRPr="009B5734" w:rsidTr="00C84A99">
        <w:trPr>
          <w:trHeight w:val="1263"/>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Training</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jc w:val="center"/>
              <w:rPr>
                <w:i/>
                <w:iCs/>
                <w:noProof/>
                <w:color w:val="000000" w:themeColor="text1"/>
                <w:sz w:val="18"/>
                <w:szCs w:val="20"/>
              </w:rPr>
            </w:pPr>
            <w:r w:rsidRPr="009B5734">
              <w:rPr>
                <w:i/>
                <w:iCs/>
                <w:noProof/>
                <w:sz w:val="18"/>
                <w:szCs w:val="20"/>
              </w:rPr>
              <w:t>This includes an initial training of managers and key employees</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SME: 0.5h manager + 2h key employees</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Large enterprises: 1h managers + 4h key employees</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69" w:hanging="142"/>
              <w:rPr>
                <w:noProof/>
                <w:sz w:val="18"/>
                <w:szCs w:val="20"/>
              </w:rPr>
            </w:pPr>
            <w:r w:rsidRPr="009B5734">
              <w:rPr>
                <w:noProof/>
                <w:sz w:val="18"/>
                <w:szCs w:val="20"/>
              </w:rPr>
              <w:t>Interviews with companies and industry associations</w:t>
            </w:r>
          </w:p>
        </w:tc>
      </w:tr>
      <w:tr w:rsidR="00EA45F9" w:rsidRPr="009B5734" w:rsidTr="00C84A99">
        <w:trPr>
          <w:trHeight w:val="558"/>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Retrieving relevant information from existing data and adjusting existing data</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jc w:val="center"/>
              <w:rPr>
                <w:noProof/>
                <w:color w:val="000000" w:themeColor="text1"/>
                <w:sz w:val="36"/>
                <w:szCs w:val="36"/>
              </w:rPr>
            </w:pPr>
            <w:r w:rsidRPr="009B5734">
              <w:rPr>
                <w:noProof/>
                <w:sz w:val="36"/>
                <w:szCs w:val="36"/>
              </w:rPr>
              <w:t>-</w:t>
            </w:r>
          </w:p>
        </w:tc>
        <w:tc>
          <w:tcPr>
            <w:tcW w:w="1335" w:type="pct"/>
            <w:tcBorders>
              <w:top w:val="single" w:sz="4" w:space="0" w:color="auto"/>
              <w:left w:val="nil"/>
              <w:bottom w:val="single" w:sz="4" w:space="0" w:color="auto"/>
              <w:right w:val="nil"/>
            </w:tcBorders>
            <w:shd w:val="clear" w:color="auto" w:fill="auto"/>
          </w:tcPr>
          <w:p w:rsidR="00EA45F9" w:rsidRPr="009B5734" w:rsidRDefault="00EA45F9" w:rsidP="00981615">
            <w:pPr>
              <w:pStyle w:val="TableTextNoSpace"/>
              <w:spacing w:line="276" w:lineRule="auto"/>
              <w:ind w:left="169" w:hanging="142"/>
              <w:rPr>
                <w:i/>
                <w:iCs/>
                <w:noProof/>
                <w:sz w:val="18"/>
                <w:szCs w:val="20"/>
              </w:rPr>
            </w:pP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Producing new data</w:t>
            </w:r>
          </w:p>
        </w:tc>
        <w:tc>
          <w:tcPr>
            <w:tcW w:w="2637" w:type="pct"/>
            <w:tcBorders>
              <w:top w:val="single" w:sz="4" w:space="0" w:color="auto"/>
              <w:left w:val="nil"/>
              <w:bottom w:val="single" w:sz="4" w:space="0" w:color="auto"/>
              <w:right w:val="nil"/>
            </w:tcBorders>
            <w:shd w:val="clear" w:color="auto" w:fill="auto"/>
          </w:tcPr>
          <w:p w:rsidR="00EA45F9" w:rsidRPr="009B5734" w:rsidRDefault="00EA45F9" w:rsidP="00981615">
            <w:pPr>
              <w:pStyle w:val="TableTextNoSpace"/>
              <w:spacing w:line="276" w:lineRule="auto"/>
              <w:ind w:left="101" w:firstLine="0"/>
              <w:jc w:val="center"/>
              <w:rPr>
                <w:noProof/>
                <w:color w:val="000000" w:themeColor="text1"/>
                <w:sz w:val="18"/>
                <w:szCs w:val="20"/>
              </w:rPr>
            </w:pPr>
            <w:r w:rsidRPr="009B5734">
              <w:rPr>
                <w:i/>
                <w:iCs/>
                <w:noProof/>
                <w:sz w:val="18"/>
                <w:szCs w:val="20"/>
              </w:rPr>
              <w:t>Negotiations with manufacturers and importers to make sure that they provide this information</w:t>
            </w:r>
            <w:r w:rsidRPr="009B5734">
              <w:rPr>
                <w:noProof/>
                <w:sz w:val="18"/>
                <w:szCs w:val="20"/>
              </w:rPr>
              <w:t>.</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We only considered the incremental time devoted to discussing this aspect</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SME: 7h per year</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Large enterprises: 21h per year</w:t>
            </w:r>
          </w:p>
          <w:p w:rsidR="00EA45F9" w:rsidRPr="009B5734" w:rsidRDefault="00EA45F9" w:rsidP="00981615">
            <w:pPr>
              <w:pStyle w:val="TableTextNoSpace"/>
              <w:spacing w:line="276" w:lineRule="auto"/>
              <w:ind w:left="101" w:firstLine="0"/>
              <w:jc w:val="center"/>
              <w:rPr>
                <w:noProof/>
                <w:sz w:val="18"/>
                <w:szCs w:val="20"/>
              </w:rPr>
            </w:pPr>
          </w:p>
          <w:p w:rsidR="00EA45F9" w:rsidRPr="009B5734" w:rsidRDefault="00EA45F9" w:rsidP="00981615">
            <w:pPr>
              <w:pStyle w:val="TableTextNoSpace"/>
              <w:spacing w:line="276" w:lineRule="auto"/>
              <w:ind w:left="101" w:firstLine="0"/>
              <w:jc w:val="center"/>
              <w:rPr>
                <w:noProof/>
                <w:sz w:val="18"/>
                <w:szCs w:val="20"/>
              </w:rPr>
            </w:pPr>
          </w:p>
        </w:tc>
        <w:tc>
          <w:tcPr>
            <w:tcW w:w="1335" w:type="pct"/>
            <w:tcBorders>
              <w:top w:val="single" w:sz="4" w:space="0" w:color="auto"/>
              <w:left w:val="nil"/>
              <w:bottom w:val="single" w:sz="4" w:space="0" w:color="auto"/>
              <w:right w:val="nil"/>
            </w:tcBorders>
            <w:shd w:val="clear" w:color="auto" w:fill="auto"/>
            <w:vAlign w:val="center"/>
            <w:hideMark/>
          </w:tcPr>
          <w:p w:rsidR="00EA45F9" w:rsidRPr="009B5734" w:rsidRDefault="00EA45F9" w:rsidP="00981615">
            <w:pPr>
              <w:pStyle w:val="TableTextNoSpace"/>
              <w:spacing w:line="276" w:lineRule="auto"/>
              <w:ind w:left="169" w:hanging="142"/>
              <w:rPr>
                <w:iCs/>
                <w:noProof/>
                <w:sz w:val="18"/>
                <w:szCs w:val="20"/>
              </w:rPr>
            </w:pPr>
            <w:r w:rsidRPr="009B5734">
              <w:rPr>
                <w:noProof/>
                <w:sz w:val="18"/>
                <w:szCs w:val="20"/>
              </w:rPr>
              <w:t>Interviews with companies and industry associations</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Designing and placing information material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rPr>
                <w:i/>
                <w:iCs/>
                <w:noProof/>
                <w:color w:val="000000" w:themeColor="text1"/>
                <w:sz w:val="18"/>
                <w:szCs w:val="20"/>
              </w:rPr>
            </w:pPr>
            <w:r w:rsidRPr="009B5734">
              <w:rPr>
                <w:i/>
                <w:iCs/>
                <w:noProof/>
                <w:sz w:val="18"/>
                <w:szCs w:val="20"/>
              </w:rPr>
              <w:t>This includes the costs of re-designing their websites and updating information if they sell online.</w:t>
            </w:r>
          </w:p>
          <w:p w:rsidR="00EA45F9" w:rsidRPr="009B5734" w:rsidRDefault="00EA45F9" w:rsidP="00981615">
            <w:pPr>
              <w:pStyle w:val="TableTextNoSpace"/>
              <w:spacing w:line="276" w:lineRule="auto"/>
              <w:ind w:left="101" w:firstLine="0"/>
              <w:rPr>
                <w:noProof/>
                <w:sz w:val="18"/>
                <w:szCs w:val="20"/>
              </w:rPr>
            </w:pPr>
            <w:r w:rsidRPr="009B5734">
              <w:rPr>
                <w:noProof/>
                <w:sz w:val="18"/>
                <w:szCs w:val="20"/>
              </w:rPr>
              <w:t>SME: 14h for updating website and 3.5h per month to keep the information up to date</w:t>
            </w:r>
          </w:p>
          <w:p w:rsidR="00EA45F9" w:rsidRPr="009B5734" w:rsidRDefault="00EA45F9" w:rsidP="00981615">
            <w:pPr>
              <w:pStyle w:val="TableTextNoSpace"/>
              <w:spacing w:line="276" w:lineRule="auto"/>
              <w:ind w:left="101" w:firstLine="0"/>
              <w:rPr>
                <w:i/>
                <w:iCs/>
                <w:noProof/>
                <w:sz w:val="18"/>
                <w:szCs w:val="20"/>
              </w:rPr>
            </w:pPr>
            <w:r w:rsidRPr="009B5734">
              <w:rPr>
                <w:noProof/>
                <w:sz w:val="18"/>
                <w:szCs w:val="20"/>
              </w:rPr>
              <w:t>Large enterprises: 21h for updating website and 7h per month to keep the information up to date</w:t>
            </w:r>
          </w:p>
        </w:tc>
        <w:tc>
          <w:tcPr>
            <w:tcW w:w="1335" w:type="pct"/>
            <w:tcBorders>
              <w:top w:val="single" w:sz="4" w:space="0" w:color="auto"/>
              <w:left w:val="nil"/>
              <w:bottom w:val="single" w:sz="4" w:space="0" w:color="auto"/>
              <w:right w:val="nil"/>
            </w:tcBorders>
            <w:shd w:val="clear" w:color="auto" w:fill="auto"/>
            <w:vAlign w:val="center"/>
            <w:hideMark/>
          </w:tcPr>
          <w:p w:rsidR="00EA45F9" w:rsidRPr="009B5734" w:rsidRDefault="00EA45F9" w:rsidP="00981615">
            <w:pPr>
              <w:pStyle w:val="TableTextNoSpace"/>
              <w:spacing w:line="276" w:lineRule="auto"/>
              <w:ind w:left="169" w:hanging="142"/>
              <w:rPr>
                <w:noProof/>
                <w:sz w:val="18"/>
                <w:szCs w:val="20"/>
              </w:rPr>
            </w:pPr>
            <w:r w:rsidRPr="009B5734">
              <w:rPr>
                <w:noProof/>
                <w:sz w:val="18"/>
                <w:szCs w:val="20"/>
              </w:rPr>
              <w:t>Interviews with companies and industry associations</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Adjust forms and tables (one-off)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jc w:val="center"/>
              <w:rPr>
                <w:noProof/>
                <w:color w:val="000000" w:themeColor="text1"/>
                <w:sz w:val="18"/>
                <w:szCs w:val="18"/>
              </w:rPr>
            </w:pPr>
            <w:r w:rsidRPr="009B5734">
              <w:rPr>
                <w:noProof/>
                <w:sz w:val="36"/>
                <w:szCs w:val="36"/>
              </w:rPr>
              <w:t>-</w:t>
            </w: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169" w:hanging="142"/>
              <w:jc w:val="center"/>
              <w:rPr>
                <w:noProof/>
                <w:sz w:val="18"/>
                <w:szCs w:val="20"/>
              </w:rPr>
            </w:pP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Inspections (internal and external)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rPr>
                <w:noProof/>
                <w:color w:val="000000" w:themeColor="text1"/>
                <w:sz w:val="18"/>
                <w:szCs w:val="20"/>
              </w:rPr>
            </w:pPr>
            <w:r w:rsidRPr="009B5734">
              <w:rPr>
                <w:noProof/>
                <w:sz w:val="18"/>
                <w:szCs w:val="20"/>
              </w:rPr>
              <w:t>Internal inspections:</w:t>
            </w:r>
          </w:p>
          <w:p w:rsidR="00EA45F9" w:rsidRPr="009B5734" w:rsidRDefault="00EA45F9" w:rsidP="00981615">
            <w:pPr>
              <w:pStyle w:val="TableTextNoSpace"/>
              <w:numPr>
                <w:ilvl w:val="0"/>
                <w:numId w:val="189"/>
              </w:numPr>
              <w:spacing w:before="120" w:line="276" w:lineRule="auto"/>
              <w:ind w:left="101" w:right="0" w:firstLine="0"/>
              <w:jc w:val="left"/>
              <w:rPr>
                <w:noProof/>
                <w:sz w:val="18"/>
                <w:szCs w:val="20"/>
              </w:rPr>
            </w:pPr>
            <w:r w:rsidRPr="009B5734">
              <w:rPr>
                <w:noProof/>
                <w:sz w:val="18"/>
                <w:szCs w:val="20"/>
              </w:rPr>
              <w:t>SME: 0.5h manager plus 3.5h employee per year</w:t>
            </w:r>
          </w:p>
          <w:p w:rsidR="00EA45F9" w:rsidRPr="009B5734" w:rsidRDefault="00EA45F9" w:rsidP="00981615">
            <w:pPr>
              <w:pStyle w:val="TableTextNoSpace"/>
              <w:numPr>
                <w:ilvl w:val="0"/>
                <w:numId w:val="189"/>
              </w:numPr>
              <w:spacing w:before="120" w:line="276" w:lineRule="auto"/>
              <w:ind w:left="101" w:right="0" w:firstLine="0"/>
              <w:jc w:val="left"/>
              <w:rPr>
                <w:noProof/>
                <w:sz w:val="18"/>
                <w:szCs w:val="20"/>
              </w:rPr>
            </w:pPr>
            <w:r w:rsidRPr="009B5734">
              <w:rPr>
                <w:noProof/>
                <w:sz w:val="18"/>
                <w:szCs w:val="20"/>
              </w:rPr>
              <w:t>Large enterprises: 1h manager plus 7h employee per year</w:t>
            </w:r>
          </w:p>
          <w:p w:rsidR="00EA45F9" w:rsidRPr="009B5734" w:rsidRDefault="00EA45F9" w:rsidP="00981615">
            <w:pPr>
              <w:pStyle w:val="TableTextNoSpace"/>
              <w:spacing w:line="276" w:lineRule="auto"/>
              <w:ind w:left="101" w:firstLine="0"/>
              <w:rPr>
                <w:noProof/>
                <w:sz w:val="18"/>
                <w:szCs w:val="20"/>
              </w:rPr>
            </w:pPr>
            <w:r w:rsidRPr="009B5734">
              <w:rPr>
                <w:i/>
                <w:iCs/>
                <w:noProof/>
                <w:sz w:val="18"/>
                <w:szCs w:val="20"/>
              </w:rPr>
              <w:t>External inspections are expected to take place in less than 1% of the companies</w:t>
            </w: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169" w:hanging="142"/>
              <w:rPr>
                <w:noProof/>
                <w:sz w:val="18"/>
                <w:szCs w:val="20"/>
              </w:rPr>
            </w:pPr>
            <w:r w:rsidRPr="009B5734">
              <w:rPr>
                <w:noProof/>
                <w:sz w:val="18"/>
                <w:szCs w:val="20"/>
              </w:rPr>
              <w:t>Interviews with companies and industry associations</w:t>
            </w:r>
          </w:p>
          <w:p w:rsidR="00EA45F9" w:rsidRPr="009B5734" w:rsidRDefault="00EA45F9" w:rsidP="00981615">
            <w:pPr>
              <w:pStyle w:val="TableTextNoSpace"/>
              <w:spacing w:line="276" w:lineRule="auto"/>
              <w:ind w:left="169" w:hanging="142"/>
              <w:rPr>
                <w:noProof/>
                <w:sz w:val="18"/>
                <w:szCs w:val="20"/>
              </w:rPr>
            </w:pPr>
          </w:p>
          <w:p w:rsidR="00EA45F9" w:rsidRPr="009B5734" w:rsidRDefault="00EA45F9" w:rsidP="00981615">
            <w:pPr>
              <w:pStyle w:val="TableTextNoSpace"/>
              <w:spacing w:line="276" w:lineRule="auto"/>
              <w:ind w:left="169" w:hanging="142"/>
              <w:rPr>
                <w:noProof/>
                <w:sz w:val="18"/>
                <w:szCs w:val="20"/>
              </w:rPr>
            </w:pPr>
          </w:p>
          <w:p w:rsidR="00EA45F9" w:rsidRPr="009B5734" w:rsidRDefault="00EA45F9" w:rsidP="00981615">
            <w:pPr>
              <w:pStyle w:val="TableTextNoSpace"/>
              <w:spacing w:line="276" w:lineRule="auto"/>
              <w:ind w:left="169" w:hanging="142"/>
              <w:rPr>
                <w:noProof/>
                <w:sz w:val="18"/>
                <w:szCs w:val="20"/>
              </w:rPr>
            </w:pPr>
            <w:r w:rsidRPr="009B5734">
              <w:rPr>
                <w:noProof/>
                <w:sz w:val="18"/>
                <w:szCs w:val="20"/>
              </w:rPr>
              <w:t>Expert judgement by a panel</w:t>
            </w:r>
          </w:p>
        </w:tc>
      </w:tr>
    </w:tbl>
    <w:p w:rsidR="00EA45F9" w:rsidRPr="009B5734" w:rsidRDefault="00EA45F9" w:rsidP="00EA45F9">
      <w:pPr>
        <w:pStyle w:val="Titlecost"/>
        <w:rPr>
          <w:rFonts w:ascii="Times New Roman" w:hAnsi="Times New Roman" w:cs="Times New Roman"/>
          <w:noProof/>
          <w:sz w:val="24"/>
          <w:szCs w:val="24"/>
        </w:rPr>
      </w:pPr>
      <w:r w:rsidRPr="009B5734">
        <w:rPr>
          <w:rFonts w:ascii="Times New Roman" w:hAnsi="Times New Roman" w:cs="Times New Roman"/>
          <w:noProof/>
          <w:sz w:val="24"/>
          <w:szCs w:val="24"/>
        </w:rPr>
        <w:t>Enforcement costs</w:t>
      </w:r>
    </w:p>
    <w:p w:rsidR="00EA45F9" w:rsidRPr="009B5734" w:rsidRDefault="00EA45F9" w:rsidP="00EA45F9">
      <w:pPr>
        <w:ind w:left="0" w:firstLine="0"/>
        <w:rPr>
          <w:rFonts w:ascii="Times New Roman" w:hAnsi="Times New Roman" w:cs="Times New Roman"/>
          <w:noProof/>
          <w:sz w:val="24"/>
          <w:szCs w:val="24"/>
        </w:rPr>
      </w:pPr>
      <w:bookmarkStart w:id="603" w:name="_Hlk58503720"/>
      <w:r w:rsidRPr="009B5734">
        <w:rPr>
          <w:rFonts w:ascii="Times New Roman" w:hAnsi="Times New Roman" w:cs="Times New Roman"/>
          <w:noProof/>
          <w:sz w:val="24"/>
          <w:szCs w:val="24"/>
        </w:rPr>
        <w:t>Based on interviews with some CPC authorities, it is assumed that the measure would not require significant additional resources on top of the existing ones to enforce CRD and SGD.</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We therefore assume that the measure will require one additional Full Time Equivalent (per Member State), with its time divided equally between monitoring, inspecting, and handling complaints.</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We assumed 70h for familiarization with the measure and adjusting the internal procedures to start enforcing the measure. 16 employees will receive a 7h training.</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It is also assumed that there might be a yearly action per Member State, which will cost EUR 20,000 (based on market research).</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The other unit costs are assumed to be the same as in the previous measures. </w:t>
      </w:r>
    </w:p>
    <w:bookmarkEnd w:id="603"/>
    <w:p w:rsidR="00EA45F9" w:rsidRPr="009B5734" w:rsidRDefault="00EA45F9" w:rsidP="00EA45F9">
      <w:pPr>
        <w:pStyle w:val="Titlecost"/>
        <w:rPr>
          <w:rFonts w:ascii="Times New Roman" w:hAnsi="Times New Roman" w:cs="Times New Roman"/>
          <w:noProof/>
          <w:sz w:val="24"/>
          <w:szCs w:val="24"/>
        </w:rPr>
      </w:pPr>
      <w:r w:rsidRPr="009B5734">
        <w:rPr>
          <w:rFonts w:ascii="Times New Roman" w:hAnsi="Times New Roman" w:cs="Times New Roman"/>
          <w:noProof/>
          <w:sz w:val="24"/>
          <w:szCs w:val="24"/>
        </w:rPr>
        <w:t>Impact on monetisable consumer welfare</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approach followed to monetize the consumer welfare is illustrated in the figure below.</w:t>
      </w:r>
    </w:p>
    <w:p w:rsidR="00EA45F9" w:rsidRPr="009B5734" w:rsidRDefault="00EA45F9" w:rsidP="00EA45F9">
      <w:pPr>
        <w:rPr>
          <w:noProof/>
        </w:rPr>
      </w:pPr>
      <w:r w:rsidRPr="009B5734">
        <w:rPr>
          <w:noProof/>
          <w:lang w:eastAsia="en-GB"/>
        </w:rPr>
        <w:drawing>
          <wp:inline distT="0" distB="0" distL="0" distR="0" wp14:anchorId="7AFE1223" wp14:editId="000AB105">
            <wp:extent cx="4857115" cy="225171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57115" cy="2251710"/>
                    </a:xfrm>
                    <a:prstGeom prst="rect">
                      <a:avLst/>
                    </a:prstGeom>
                    <a:noFill/>
                    <a:ln>
                      <a:noFill/>
                    </a:ln>
                  </pic:spPr>
                </pic:pic>
              </a:graphicData>
            </a:graphic>
          </wp:inline>
        </w:drawing>
      </w:r>
    </w:p>
    <w:p w:rsidR="00EA45F9" w:rsidRPr="009B5734" w:rsidRDefault="00EA45F9" w:rsidP="00EA45F9">
      <w:pPr>
        <w:rPr>
          <w:noProof/>
        </w:rPr>
      </w:pPr>
    </w:p>
    <w:tbl>
      <w:tblPr>
        <w:tblW w:w="4916" w:type="pct"/>
        <w:tblBorders>
          <w:top w:val="single" w:sz="4" w:space="0" w:color="auto"/>
          <w:bottom w:val="single" w:sz="4" w:space="0" w:color="auto"/>
          <w:insideH w:val="single" w:sz="4" w:space="0" w:color="auto"/>
        </w:tblBorders>
        <w:shd w:val="solid" w:color="F2F2F2" w:fill="F2F2F2"/>
        <w:tblCellMar>
          <w:left w:w="0" w:type="dxa"/>
          <w:right w:w="0" w:type="dxa"/>
        </w:tblCellMar>
        <w:tblLook w:val="04A0" w:firstRow="1" w:lastRow="0" w:firstColumn="1" w:lastColumn="0" w:noHBand="0" w:noVBand="1"/>
      </w:tblPr>
      <w:tblGrid>
        <w:gridCol w:w="1742"/>
        <w:gridCol w:w="4468"/>
        <w:gridCol w:w="2262"/>
      </w:tblGrid>
      <w:tr w:rsidR="00EA45F9" w:rsidRPr="009B5734" w:rsidTr="00981615">
        <w:trPr>
          <w:trHeight w:val="727"/>
        </w:trPr>
        <w:tc>
          <w:tcPr>
            <w:tcW w:w="1028" w:type="pct"/>
            <w:tcBorders>
              <w:top w:val="single" w:sz="4" w:space="0" w:color="auto"/>
              <w:left w:val="nil"/>
              <w:bottom w:val="single" w:sz="4" w:space="0" w:color="auto"/>
              <w:right w:val="nil"/>
            </w:tcBorders>
            <w:shd w:val="solid" w:color="002395" w:fill="002395"/>
          </w:tcPr>
          <w:p w:rsidR="00EA45F9" w:rsidRPr="009B5734" w:rsidRDefault="00EA45F9" w:rsidP="00981615">
            <w:pPr>
              <w:pStyle w:val="TableHeadingWhite"/>
              <w:spacing w:line="276" w:lineRule="auto"/>
              <w:ind w:left="0" w:firstLine="0"/>
              <w:rPr>
                <w:noProof/>
                <w:sz w:val="18"/>
                <w:szCs w:val="20"/>
              </w:rPr>
            </w:pPr>
          </w:p>
        </w:tc>
        <w:tc>
          <w:tcPr>
            <w:tcW w:w="2637" w:type="pct"/>
            <w:tcBorders>
              <w:top w:val="single" w:sz="4" w:space="0" w:color="auto"/>
              <w:left w:val="nil"/>
              <w:bottom w:val="single" w:sz="4" w:space="0" w:color="auto"/>
              <w:right w:val="nil"/>
            </w:tcBorders>
            <w:shd w:val="solid" w:color="002395" w:fill="002395"/>
            <w:hideMark/>
          </w:tcPr>
          <w:p w:rsidR="00EA45F9" w:rsidRPr="009B5734" w:rsidRDefault="00EA45F9" w:rsidP="00981615">
            <w:pPr>
              <w:pStyle w:val="TableHeadingWhite"/>
              <w:spacing w:line="276" w:lineRule="auto"/>
              <w:ind w:left="93" w:firstLine="0"/>
              <w:jc w:val="center"/>
              <w:rPr>
                <w:noProof/>
                <w:sz w:val="18"/>
                <w:szCs w:val="20"/>
              </w:rPr>
            </w:pPr>
            <w:r w:rsidRPr="009B5734">
              <w:rPr>
                <w:noProof/>
                <w:sz w:val="18"/>
                <w:szCs w:val="20"/>
              </w:rPr>
              <w:t>Assumption</w:t>
            </w:r>
          </w:p>
        </w:tc>
        <w:tc>
          <w:tcPr>
            <w:tcW w:w="1335" w:type="pct"/>
            <w:tcBorders>
              <w:top w:val="single" w:sz="4" w:space="0" w:color="auto"/>
              <w:left w:val="nil"/>
              <w:bottom w:val="single" w:sz="4" w:space="0" w:color="auto"/>
              <w:right w:val="nil"/>
            </w:tcBorders>
            <w:shd w:val="solid" w:color="002395" w:fill="002395"/>
            <w:hideMark/>
          </w:tcPr>
          <w:p w:rsidR="00EA45F9" w:rsidRPr="009B5734" w:rsidRDefault="00EA45F9" w:rsidP="00981615">
            <w:pPr>
              <w:pStyle w:val="TableHeadingWhite"/>
              <w:spacing w:line="276" w:lineRule="auto"/>
              <w:ind w:left="170" w:firstLine="0"/>
              <w:jc w:val="center"/>
              <w:rPr>
                <w:noProof/>
                <w:sz w:val="18"/>
                <w:szCs w:val="20"/>
              </w:rPr>
            </w:pPr>
            <w:r w:rsidRPr="009B5734">
              <w:rPr>
                <w:noProof/>
                <w:sz w:val="18"/>
                <w:szCs w:val="20"/>
              </w:rPr>
              <w:t>Source</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0" w:firstLine="0"/>
              <w:rPr>
                <w:b/>
                <w:bCs/>
                <w:noProof/>
                <w:sz w:val="18"/>
                <w:szCs w:val="20"/>
              </w:rPr>
            </w:pPr>
            <w:r w:rsidRPr="009B5734">
              <w:rPr>
                <w:b/>
                <w:bCs/>
                <w:noProof/>
                <w:sz w:val="18"/>
                <w:szCs w:val="20"/>
              </w:rPr>
              <w:t>Share of consumers that did not repair a product because of lack of spare parts</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firstLine="0"/>
              <w:jc w:val="center"/>
              <w:rPr>
                <w:noProof/>
                <w:color w:val="000000" w:themeColor="text1"/>
                <w:sz w:val="18"/>
                <w:szCs w:val="20"/>
              </w:rPr>
            </w:pPr>
            <w:r w:rsidRPr="009B5734">
              <w:rPr>
                <w:noProof/>
                <w:sz w:val="18"/>
                <w:szCs w:val="20"/>
              </w:rPr>
              <w:t>3%-13% depending on the product</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Consumer survey</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0" w:firstLine="0"/>
              <w:rPr>
                <w:b/>
                <w:bCs/>
                <w:noProof/>
                <w:sz w:val="18"/>
                <w:szCs w:val="20"/>
              </w:rPr>
            </w:pPr>
            <w:r w:rsidRPr="009B5734">
              <w:rPr>
                <w:b/>
                <w:bCs/>
                <w:noProof/>
                <w:sz w:val="18"/>
                <w:szCs w:val="20"/>
              </w:rPr>
              <w:t>Average price of goods</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firstLine="0"/>
              <w:jc w:val="center"/>
              <w:rPr>
                <w:noProof/>
                <w:color w:val="000000" w:themeColor="text1"/>
                <w:sz w:val="18"/>
                <w:szCs w:val="20"/>
              </w:rPr>
            </w:pPr>
            <w:r w:rsidRPr="009B5734">
              <w:rPr>
                <w:noProof/>
                <w:sz w:val="18"/>
                <w:szCs w:val="20"/>
              </w:rPr>
              <w:t>Depends on the good</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 xml:space="preserve">Statista </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0" w:firstLine="0"/>
              <w:rPr>
                <w:b/>
                <w:bCs/>
                <w:noProof/>
                <w:sz w:val="18"/>
                <w:szCs w:val="20"/>
              </w:rPr>
            </w:pPr>
            <w:r w:rsidRPr="009B5734">
              <w:rPr>
                <w:b/>
                <w:bCs/>
                <w:noProof/>
                <w:sz w:val="18"/>
                <w:szCs w:val="20"/>
              </w:rPr>
              <w:t xml:space="preserve">Likelihood of a consumer being able to repair a product due to the existence of spare parts (when that would have not been the case in the baseline)  </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firstLine="0"/>
              <w:jc w:val="center"/>
              <w:rPr>
                <w:noProof/>
                <w:color w:val="000000" w:themeColor="text1"/>
                <w:sz w:val="18"/>
                <w:szCs w:val="20"/>
              </w:rPr>
            </w:pPr>
            <w:r w:rsidRPr="009B5734">
              <w:rPr>
                <w:noProof/>
                <w:sz w:val="18"/>
                <w:szCs w:val="20"/>
              </w:rPr>
              <w:t>We considered that between 50% to 100% of the products that were not repaired because of lack of spare parts could be successfully repaired if parts were available.</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Expert judgement by a panel</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0" w:firstLine="0"/>
              <w:rPr>
                <w:b/>
                <w:bCs/>
                <w:noProof/>
                <w:sz w:val="18"/>
                <w:szCs w:val="20"/>
              </w:rPr>
            </w:pPr>
            <w:r w:rsidRPr="009B5734">
              <w:rPr>
                <w:b/>
                <w:bCs/>
                <w:noProof/>
                <w:sz w:val="18"/>
                <w:szCs w:val="20"/>
              </w:rPr>
              <w:t>Additional lifespan as a result of a repair</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firstLine="0"/>
              <w:jc w:val="center"/>
              <w:rPr>
                <w:noProof/>
                <w:color w:val="000000" w:themeColor="text1"/>
                <w:sz w:val="18"/>
                <w:szCs w:val="20"/>
              </w:rPr>
            </w:pPr>
            <w:r w:rsidRPr="009B5734">
              <w:rPr>
                <w:noProof/>
                <w:sz w:val="18"/>
                <w:szCs w:val="20"/>
              </w:rPr>
              <w:t>See previous measure</w:t>
            </w:r>
          </w:p>
        </w:tc>
        <w:tc>
          <w:tcPr>
            <w:tcW w:w="1335" w:type="pct"/>
            <w:tcBorders>
              <w:top w:val="single" w:sz="4" w:space="0" w:color="auto"/>
              <w:left w:val="nil"/>
              <w:bottom w:val="single" w:sz="4" w:space="0" w:color="auto"/>
              <w:right w:val="nil"/>
            </w:tcBorders>
            <w:shd w:val="clear" w:color="auto" w:fill="auto"/>
          </w:tcPr>
          <w:p w:rsidR="00EA45F9" w:rsidRPr="009B5734" w:rsidRDefault="00EA45F9" w:rsidP="00981615">
            <w:pPr>
              <w:pStyle w:val="TableTextNoSpace"/>
              <w:spacing w:line="276" w:lineRule="auto"/>
              <w:ind w:left="170" w:firstLine="0"/>
              <w:rPr>
                <w:noProof/>
                <w:sz w:val="18"/>
                <w:szCs w:val="20"/>
              </w:rPr>
            </w:pP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0" w:firstLine="0"/>
              <w:rPr>
                <w:b/>
                <w:bCs/>
                <w:noProof/>
                <w:sz w:val="18"/>
                <w:szCs w:val="20"/>
              </w:rPr>
            </w:pPr>
            <w:r w:rsidRPr="009B5734">
              <w:rPr>
                <w:b/>
                <w:bCs/>
                <w:noProof/>
                <w:sz w:val="18"/>
                <w:szCs w:val="20"/>
              </w:rPr>
              <w:t>Available spare part information at the baseline</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firstLine="0"/>
              <w:jc w:val="center"/>
              <w:rPr>
                <w:noProof/>
                <w:color w:val="000000" w:themeColor="text1"/>
                <w:sz w:val="18"/>
                <w:szCs w:val="20"/>
              </w:rPr>
            </w:pPr>
            <w:r w:rsidRPr="009B5734">
              <w:rPr>
                <w:noProof/>
                <w:sz w:val="18"/>
                <w:szCs w:val="20"/>
              </w:rPr>
              <w:t>5%-6%</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Mystery shopping conducted in the context of this study</w:t>
            </w:r>
          </w:p>
        </w:tc>
      </w:tr>
      <w:tr w:rsidR="00EA45F9" w:rsidRPr="009B5734" w:rsidTr="00981615">
        <w:trPr>
          <w:trHeight w:val="759"/>
        </w:trPr>
        <w:tc>
          <w:tcPr>
            <w:tcW w:w="1028" w:type="pct"/>
            <w:tcBorders>
              <w:top w:val="single" w:sz="4" w:space="0" w:color="auto"/>
              <w:left w:val="nil"/>
              <w:bottom w:val="nil"/>
              <w:right w:val="nil"/>
            </w:tcBorders>
            <w:shd w:val="clear" w:color="auto" w:fill="auto"/>
            <w:hideMark/>
          </w:tcPr>
          <w:p w:rsidR="00EA45F9" w:rsidRPr="009B5734" w:rsidRDefault="00EA45F9" w:rsidP="00981615">
            <w:pPr>
              <w:pStyle w:val="TableTextNoSpace"/>
              <w:spacing w:line="276" w:lineRule="auto"/>
              <w:ind w:left="0" w:firstLine="0"/>
              <w:rPr>
                <w:b/>
                <w:bCs/>
                <w:noProof/>
                <w:sz w:val="18"/>
                <w:szCs w:val="20"/>
              </w:rPr>
            </w:pPr>
            <w:r w:rsidRPr="009B5734">
              <w:rPr>
                <w:b/>
                <w:bCs/>
                <w:noProof/>
                <w:sz w:val="18"/>
                <w:szCs w:val="20"/>
              </w:rPr>
              <w:t>Probability of finding a product with better conditions regarding spare parts within an acceptable price range</w:t>
            </w:r>
          </w:p>
        </w:tc>
        <w:tc>
          <w:tcPr>
            <w:tcW w:w="2637" w:type="pct"/>
            <w:tcBorders>
              <w:top w:val="single" w:sz="4" w:space="0" w:color="auto"/>
              <w:left w:val="nil"/>
              <w:bottom w:val="nil"/>
              <w:right w:val="nil"/>
            </w:tcBorders>
            <w:shd w:val="clear" w:color="auto" w:fill="auto"/>
            <w:hideMark/>
          </w:tcPr>
          <w:p w:rsidR="00EA45F9" w:rsidRPr="009B5734" w:rsidRDefault="00EA45F9" w:rsidP="00981615">
            <w:pPr>
              <w:pStyle w:val="TableTextNoSpace"/>
              <w:spacing w:line="276" w:lineRule="auto"/>
              <w:ind w:left="93" w:firstLine="0"/>
              <w:jc w:val="center"/>
              <w:rPr>
                <w:noProof/>
                <w:color w:val="000000" w:themeColor="text1"/>
                <w:sz w:val="18"/>
                <w:szCs w:val="20"/>
              </w:rPr>
            </w:pPr>
            <w:r w:rsidRPr="009B5734">
              <w:rPr>
                <w:noProof/>
                <w:sz w:val="18"/>
                <w:szCs w:val="20"/>
              </w:rPr>
              <w:t>This probability will follow a triangular distribution with a lower limit of zero and upper limit of 1. The peak is considered to be below 50% around 40%.</w:t>
            </w:r>
          </w:p>
        </w:tc>
        <w:tc>
          <w:tcPr>
            <w:tcW w:w="1335" w:type="pct"/>
            <w:tcBorders>
              <w:top w:val="single" w:sz="4" w:space="0" w:color="auto"/>
              <w:left w:val="nil"/>
              <w:bottom w:val="nil"/>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Expert judgement by a panel</w:t>
            </w:r>
          </w:p>
        </w:tc>
      </w:tr>
      <w:tr w:rsidR="00EA45F9" w:rsidRPr="009B5734" w:rsidTr="00981615">
        <w:trPr>
          <w:trHeight w:val="759"/>
        </w:trPr>
        <w:tc>
          <w:tcPr>
            <w:tcW w:w="1028" w:type="pct"/>
            <w:tcBorders>
              <w:top w:val="nil"/>
              <w:left w:val="nil"/>
              <w:bottom w:val="nil"/>
              <w:right w:val="nil"/>
            </w:tcBorders>
            <w:shd w:val="clear" w:color="auto" w:fill="auto"/>
            <w:hideMark/>
          </w:tcPr>
          <w:p w:rsidR="00EA45F9" w:rsidRPr="009B5734" w:rsidRDefault="00EA45F9" w:rsidP="00981615">
            <w:pPr>
              <w:pStyle w:val="TableTextNoSpace"/>
              <w:spacing w:line="276" w:lineRule="auto"/>
              <w:ind w:left="0" w:firstLine="0"/>
              <w:rPr>
                <w:b/>
                <w:bCs/>
                <w:noProof/>
                <w:sz w:val="18"/>
                <w:szCs w:val="20"/>
              </w:rPr>
            </w:pPr>
            <w:r w:rsidRPr="009B5734">
              <w:rPr>
                <w:b/>
                <w:bCs/>
                <w:noProof/>
                <w:sz w:val="18"/>
                <w:szCs w:val="20"/>
              </w:rPr>
              <w:t xml:space="preserve">Willingness to pay for an additional year of spare parts </w:t>
            </w:r>
          </w:p>
        </w:tc>
        <w:tc>
          <w:tcPr>
            <w:tcW w:w="2637" w:type="pct"/>
            <w:tcBorders>
              <w:top w:val="nil"/>
              <w:left w:val="nil"/>
              <w:bottom w:val="nil"/>
              <w:right w:val="nil"/>
            </w:tcBorders>
            <w:shd w:val="clear" w:color="auto" w:fill="auto"/>
            <w:hideMark/>
          </w:tcPr>
          <w:p w:rsidR="00EA45F9" w:rsidRPr="009B5734" w:rsidRDefault="00EA45F9" w:rsidP="00981615">
            <w:pPr>
              <w:pStyle w:val="TableTextNoSpace"/>
              <w:spacing w:line="276" w:lineRule="auto"/>
              <w:ind w:left="93" w:firstLine="0"/>
              <w:jc w:val="center"/>
              <w:rPr>
                <w:noProof/>
                <w:color w:val="000000" w:themeColor="text1"/>
                <w:sz w:val="18"/>
                <w:szCs w:val="20"/>
              </w:rPr>
            </w:pPr>
            <w:r w:rsidRPr="009B5734">
              <w:rPr>
                <w:noProof/>
                <w:sz w:val="18"/>
                <w:szCs w:val="20"/>
              </w:rPr>
              <w:t>Values from the information provided respondents to the survey. It varies depending on the product.</w:t>
            </w:r>
          </w:p>
        </w:tc>
        <w:tc>
          <w:tcPr>
            <w:tcW w:w="1335" w:type="pct"/>
            <w:tcBorders>
              <w:top w:val="nil"/>
              <w:left w:val="nil"/>
              <w:bottom w:val="nil"/>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 xml:space="preserve">Consumer survey </w:t>
            </w:r>
          </w:p>
        </w:tc>
      </w:tr>
    </w:tbl>
    <w:p w:rsidR="00EA45F9" w:rsidRPr="009B5734" w:rsidRDefault="00EA45F9" w:rsidP="00EA45F9">
      <w:pPr>
        <w:rPr>
          <w:rFonts w:ascii="Verdana" w:hAnsi="Verdana"/>
          <w:noProof/>
          <w:color w:val="000000" w:themeColor="text1"/>
          <w:sz w:val="20"/>
        </w:rPr>
      </w:pPr>
    </w:p>
    <w:p w:rsidR="00EA45F9" w:rsidRPr="009B5734" w:rsidRDefault="00EA45F9" w:rsidP="00EA45F9">
      <w:pPr>
        <w:pStyle w:val="Heading5"/>
        <w:rPr>
          <w:rFonts w:ascii="Times New Roman" w:hAnsi="Times New Roman" w:cs="Times New Roman"/>
          <w:i w:val="0"/>
          <w:noProof/>
          <w:sz w:val="24"/>
        </w:rPr>
      </w:pPr>
      <w:r w:rsidRPr="009B5734">
        <w:rPr>
          <w:rFonts w:ascii="Times New Roman" w:hAnsi="Times New Roman" w:cs="Times New Roman"/>
          <w:i w:val="0"/>
          <w:noProof/>
          <w:sz w:val="24"/>
        </w:rPr>
        <w:t>Option 1.3.C. Provision of information on availability of repair services</w:t>
      </w:r>
    </w:p>
    <w:p w:rsidR="00EA45F9" w:rsidRPr="009B5734" w:rsidRDefault="00EA45F9" w:rsidP="00EA45F9">
      <w:pPr>
        <w:pStyle w:val="Titlecost"/>
        <w:rPr>
          <w:noProof/>
        </w:rPr>
      </w:pPr>
      <w:r w:rsidRPr="009B5734">
        <w:rPr>
          <w:noProof/>
        </w:rPr>
        <w:t>Administrative burden</w:t>
      </w:r>
    </w:p>
    <w:tbl>
      <w:tblPr>
        <w:tblW w:w="4916" w:type="pct"/>
        <w:tblBorders>
          <w:top w:val="single" w:sz="4" w:space="0" w:color="auto"/>
          <w:bottom w:val="single" w:sz="4" w:space="0" w:color="auto"/>
          <w:insideH w:val="single" w:sz="4" w:space="0" w:color="auto"/>
        </w:tblBorders>
        <w:shd w:val="solid" w:color="F2F2F2" w:fill="F2F2F2"/>
        <w:tblCellMar>
          <w:left w:w="0" w:type="dxa"/>
          <w:right w:w="0" w:type="dxa"/>
        </w:tblCellMar>
        <w:tblLook w:val="04A0" w:firstRow="1" w:lastRow="0" w:firstColumn="1" w:lastColumn="0" w:noHBand="0" w:noVBand="1"/>
      </w:tblPr>
      <w:tblGrid>
        <w:gridCol w:w="1742"/>
        <w:gridCol w:w="4468"/>
        <w:gridCol w:w="2262"/>
      </w:tblGrid>
      <w:tr w:rsidR="00EA45F9" w:rsidRPr="009B5734" w:rsidTr="00C84A99">
        <w:trPr>
          <w:trHeight w:val="727"/>
        </w:trPr>
        <w:tc>
          <w:tcPr>
            <w:tcW w:w="1028" w:type="pct"/>
            <w:tcBorders>
              <w:top w:val="single" w:sz="4" w:space="0" w:color="auto"/>
              <w:left w:val="nil"/>
              <w:bottom w:val="single" w:sz="4" w:space="0" w:color="auto"/>
              <w:right w:val="nil"/>
            </w:tcBorders>
            <w:shd w:val="clear" w:color="auto" w:fill="002395"/>
          </w:tcPr>
          <w:p w:rsidR="00EA45F9" w:rsidRPr="009B5734" w:rsidRDefault="00EA45F9" w:rsidP="00981615">
            <w:pPr>
              <w:pStyle w:val="TableHeadingWhite"/>
              <w:spacing w:line="276" w:lineRule="auto"/>
              <w:rPr>
                <w:noProof/>
                <w:sz w:val="18"/>
                <w:szCs w:val="20"/>
              </w:rPr>
            </w:pPr>
          </w:p>
        </w:tc>
        <w:tc>
          <w:tcPr>
            <w:tcW w:w="2637" w:type="pct"/>
            <w:tcBorders>
              <w:top w:val="single" w:sz="4" w:space="0" w:color="auto"/>
              <w:left w:val="nil"/>
              <w:bottom w:val="single" w:sz="4" w:space="0" w:color="auto"/>
              <w:right w:val="nil"/>
            </w:tcBorders>
            <w:shd w:val="clear" w:color="auto" w:fill="002395"/>
            <w:hideMark/>
          </w:tcPr>
          <w:p w:rsidR="00EA45F9" w:rsidRPr="009B5734" w:rsidRDefault="00EA45F9" w:rsidP="00981615">
            <w:pPr>
              <w:pStyle w:val="TableHeadingWhite"/>
              <w:spacing w:line="276" w:lineRule="auto"/>
              <w:jc w:val="center"/>
              <w:rPr>
                <w:noProof/>
                <w:sz w:val="18"/>
                <w:szCs w:val="20"/>
              </w:rPr>
            </w:pPr>
            <w:r w:rsidRPr="009B5734">
              <w:rPr>
                <w:noProof/>
                <w:sz w:val="18"/>
                <w:szCs w:val="20"/>
              </w:rPr>
              <w:t>Assumption</w:t>
            </w:r>
          </w:p>
        </w:tc>
        <w:tc>
          <w:tcPr>
            <w:tcW w:w="1335" w:type="pct"/>
            <w:tcBorders>
              <w:top w:val="single" w:sz="4" w:space="0" w:color="auto"/>
              <w:left w:val="nil"/>
              <w:bottom w:val="single" w:sz="4" w:space="0" w:color="auto"/>
              <w:right w:val="nil"/>
            </w:tcBorders>
            <w:shd w:val="clear" w:color="auto" w:fill="002395"/>
            <w:hideMark/>
          </w:tcPr>
          <w:p w:rsidR="00EA45F9" w:rsidRPr="009B5734" w:rsidRDefault="00EA45F9" w:rsidP="00981615">
            <w:pPr>
              <w:pStyle w:val="TableHeadingWhite"/>
              <w:spacing w:line="276" w:lineRule="auto"/>
              <w:jc w:val="center"/>
              <w:rPr>
                <w:noProof/>
                <w:sz w:val="18"/>
                <w:szCs w:val="20"/>
              </w:rPr>
            </w:pPr>
            <w:r w:rsidRPr="009B5734">
              <w:rPr>
                <w:noProof/>
                <w:sz w:val="18"/>
                <w:szCs w:val="20"/>
              </w:rPr>
              <w:t>Source</w:t>
            </w:r>
          </w:p>
        </w:tc>
      </w:tr>
      <w:tr w:rsidR="00EA45F9" w:rsidRPr="009B5734" w:rsidTr="00C84A99">
        <w:trPr>
          <w:trHeight w:val="391"/>
        </w:trPr>
        <w:tc>
          <w:tcPr>
            <w:tcW w:w="5000" w:type="pct"/>
            <w:gridSpan w:val="3"/>
            <w:tcBorders>
              <w:top w:val="single" w:sz="4" w:space="0" w:color="auto"/>
              <w:left w:val="nil"/>
              <w:bottom w:val="single" w:sz="4" w:space="0" w:color="auto"/>
              <w:right w:val="nil"/>
            </w:tcBorders>
            <w:shd w:val="clear" w:color="auto" w:fill="DBE5F1" w:themeFill="accent1" w:themeFillTint="33"/>
            <w:hideMark/>
          </w:tcPr>
          <w:p w:rsidR="00EA45F9" w:rsidRPr="009B5734" w:rsidRDefault="00EA45F9" w:rsidP="00981615">
            <w:pPr>
              <w:pStyle w:val="TableHeadingWhite"/>
              <w:spacing w:line="276" w:lineRule="auto"/>
              <w:rPr>
                <w:noProof/>
                <w:sz w:val="18"/>
                <w:szCs w:val="20"/>
              </w:rPr>
            </w:pPr>
            <w:r w:rsidRPr="009B5734">
              <w:rPr>
                <w:noProof/>
                <w:sz w:val="18"/>
                <w:szCs w:val="20"/>
              </w:rPr>
              <w:t xml:space="preserve">Retailers </w:t>
            </w:r>
          </w:p>
        </w:tc>
      </w:tr>
      <w:tr w:rsidR="00EA45F9" w:rsidRPr="009B5734" w:rsidTr="00C84A99">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rPr>
                <w:b/>
                <w:bCs/>
                <w:noProof/>
                <w:sz w:val="18"/>
                <w:szCs w:val="20"/>
              </w:rPr>
            </w:pPr>
            <w:r w:rsidRPr="009B5734">
              <w:rPr>
                <w:b/>
                <w:bCs/>
                <w:noProof/>
                <w:sz w:val="18"/>
                <w:szCs w:val="20"/>
              </w:rPr>
              <w:t>Familiarization with the measure</w:t>
            </w:r>
          </w:p>
          <w:p w:rsidR="00EA45F9" w:rsidRPr="009B5734" w:rsidRDefault="00EA45F9" w:rsidP="00981615">
            <w:pPr>
              <w:pStyle w:val="TableTextNoSpace"/>
              <w:spacing w:line="276" w:lineRule="auto"/>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rPr>
                <w:i/>
                <w:iCs/>
                <w:noProof/>
                <w:color w:val="000000" w:themeColor="text1"/>
                <w:sz w:val="18"/>
                <w:szCs w:val="20"/>
              </w:rPr>
            </w:pPr>
            <w:r w:rsidRPr="009B5734">
              <w:rPr>
                <w:i/>
                <w:iCs/>
                <w:noProof/>
                <w:sz w:val="18"/>
                <w:szCs w:val="20"/>
              </w:rPr>
              <w:t xml:space="preserve">This includes not only identifying the new obligations imposed by the measure but also analysing the steps that need to be taken to comply with it </w:t>
            </w:r>
          </w:p>
          <w:p w:rsidR="00EA45F9" w:rsidRPr="009B5734" w:rsidRDefault="00EA45F9" w:rsidP="00981615">
            <w:pPr>
              <w:pStyle w:val="TableTextNoSpace"/>
              <w:spacing w:line="276" w:lineRule="auto"/>
              <w:rPr>
                <w:noProof/>
                <w:sz w:val="18"/>
                <w:szCs w:val="20"/>
              </w:rPr>
            </w:pPr>
            <w:r w:rsidRPr="009B5734">
              <w:rPr>
                <w:noProof/>
                <w:sz w:val="18"/>
                <w:szCs w:val="20"/>
              </w:rPr>
              <w:t>SME: [7,17.5]h legal team; 17.5h key employees</w:t>
            </w:r>
          </w:p>
          <w:p w:rsidR="00EA45F9" w:rsidRPr="009B5734" w:rsidRDefault="00EA45F9" w:rsidP="00981615">
            <w:pPr>
              <w:pStyle w:val="TableTextNoSpace"/>
              <w:spacing w:line="276" w:lineRule="auto"/>
              <w:rPr>
                <w:noProof/>
                <w:sz w:val="18"/>
                <w:szCs w:val="20"/>
              </w:rPr>
            </w:pPr>
            <w:r w:rsidRPr="009B5734">
              <w:rPr>
                <w:noProof/>
                <w:sz w:val="18"/>
                <w:szCs w:val="20"/>
              </w:rPr>
              <w:t>Large Enterprises:  17.5h legal team, 35h key employee</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rPr>
                <w:noProof/>
                <w:sz w:val="18"/>
                <w:szCs w:val="20"/>
              </w:rPr>
            </w:pPr>
            <w:r w:rsidRPr="009B5734">
              <w:rPr>
                <w:noProof/>
                <w:sz w:val="18"/>
                <w:szCs w:val="20"/>
              </w:rPr>
              <w:t>Interviews with companies and industry associations</w:t>
            </w:r>
          </w:p>
        </w:tc>
      </w:tr>
      <w:tr w:rsidR="00EA45F9" w:rsidRPr="009B5734" w:rsidTr="00C84A99">
        <w:trPr>
          <w:trHeight w:val="1263"/>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rPr>
                <w:b/>
                <w:bCs/>
                <w:noProof/>
                <w:sz w:val="18"/>
                <w:szCs w:val="20"/>
              </w:rPr>
            </w:pPr>
            <w:r w:rsidRPr="009B5734">
              <w:rPr>
                <w:b/>
                <w:bCs/>
                <w:noProof/>
                <w:sz w:val="18"/>
                <w:szCs w:val="20"/>
              </w:rPr>
              <w:t>Training</w:t>
            </w:r>
          </w:p>
          <w:p w:rsidR="00EA45F9" w:rsidRPr="009B5734" w:rsidRDefault="00EA45F9" w:rsidP="00981615">
            <w:pPr>
              <w:pStyle w:val="TableTextNoSpace"/>
              <w:spacing w:line="276" w:lineRule="auto"/>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rPr>
                <w:i/>
                <w:iCs/>
                <w:noProof/>
                <w:color w:val="000000" w:themeColor="text1"/>
                <w:sz w:val="18"/>
                <w:szCs w:val="20"/>
              </w:rPr>
            </w:pPr>
            <w:r w:rsidRPr="009B5734">
              <w:rPr>
                <w:i/>
                <w:iCs/>
                <w:noProof/>
                <w:sz w:val="18"/>
                <w:szCs w:val="20"/>
              </w:rPr>
              <w:t>This includes an initial training of managers and key employees</w:t>
            </w:r>
          </w:p>
          <w:p w:rsidR="00EA45F9" w:rsidRPr="009B5734" w:rsidRDefault="00EA45F9" w:rsidP="00981615">
            <w:pPr>
              <w:pStyle w:val="TableTextNoSpace"/>
              <w:spacing w:line="276" w:lineRule="auto"/>
              <w:rPr>
                <w:noProof/>
                <w:sz w:val="18"/>
                <w:szCs w:val="20"/>
              </w:rPr>
            </w:pPr>
            <w:r w:rsidRPr="009B5734">
              <w:rPr>
                <w:noProof/>
                <w:sz w:val="18"/>
                <w:szCs w:val="20"/>
              </w:rPr>
              <w:t>SME: 0.5h manager + 2h key employees</w:t>
            </w:r>
          </w:p>
          <w:p w:rsidR="00EA45F9" w:rsidRPr="009B5734" w:rsidRDefault="00EA45F9" w:rsidP="00981615">
            <w:pPr>
              <w:pStyle w:val="TableTextNoSpace"/>
              <w:spacing w:line="276" w:lineRule="auto"/>
              <w:rPr>
                <w:noProof/>
                <w:sz w:val="18"/>
                <w:szCs w:val="20"/>
              </w:rPr>
            </w:pPr>
            <w:r w:rsidRPr="009B5734">
              <w:rPr>
                <w:noProof/>
                <w:sz w:val="18"/>
                <w:szCs w:val="20"/>
              </w:rPr>
              <w:t>Large enterprises: 1h managers + 4h key employees</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rPr>
                <w:noProof/>
                <w:sz w:val="18"/>
                <w:szCs w:val="20"/>
              </w:rPr>
            </w:pPr>
            <w:r w:rsidRPr="009B5734">
              <w:rPr>
                <w:noProof/>
                <w:sz w:val="18"/>
                <w:szCs w:val="20"/>
              </w:rPr>
              <w:t>Interviews with companies and industry associations</w:t>
            </w:r>
          </w:p>
        </w:tc>
      </w:tr>
      <w:tr w:rsidR="00EA45F9" w:rsidRPr="009B5734" w:rsidTr="00C84A99">
        <w:trPr>
          <w:trHeight w:val="558"/>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rPr>
                <w:b/>
                <w:bCs/>
                <w:noProof/>
                <w:sz w:val="18"/>
                <w:szCs w:val="20"/>
              </w:rPr>
            </w:pPr>
            <w:r w:rsidRPr="009B5734">
              <w:rPr>
                <w:b/>
                <w:bCs/>
                <w:noProof/>
                <w:sz w:val="18"/>
                <w:szCs w:val="20"/>
              </w:rPr>
              <w:t>Retrieving relevant information from existing data and adjusting existing data</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rPr>
                <w:i/>
                <w:iCs/>
                <w:noProof/>
                <w:color w:val="000000" w:themeColor="text1"/>
                <w:sz w:val="18"/>
                <w:szCs w:val="20"/>
              </w:rPr>
            </w:pPr>
            <w:r w:rsidRPr="009B5734">
              <w:rPr>
                <w:i/>
                <w:iCs/>
                <w:noProof/>
                <w:sz w:val="18"/>
                <w:szCs w:val="20"/>
              </w:rPr>
              <w:t>This includes searching and compiling available information about repair services and adjusting the internal systems to be able to gather and report this data</w:t>
            </w:r>
          </w:p>
          <w:p w:rsidR="00EA45F9" w:rsidRPr="009B5734" w:rsidRDefault="00EA45F9" w:rsidP="00981615">
            <w:pPr>
              <w:pStyle w:val="TableTextNoSpace"/>
              <w:spacing w:line="276" w:lineRule="auto"/>
              <w:rPr>
                <w:noProof/>
                <w:sz w:val="36"/>
                <w:szCs w:val="40"/>
              </w:rPr>
            </w:pPr>
            <w:r w:rsidRPr="009B5734">
              <w:rPr>
                <w:noProof/>
                <w:sz w:val="18"/>
                <w:szCs w:val="20"/>
              </w:rPr>
              <w:t xml:space="preserve">[35,70]h for SMEs and 140h for Large enterprises </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rPr>
                <w:i/>
                <w:iCs/>
                <w:noProof/>
                <w:sz w:val="18"/>
                <w:szCs w:val="20"/>
              </w:rPr>
            </w:pPr>
            <w:r w:rsidRPr="009B5734">
              <w:rPr>
                <w:noProof/>
                <w:sz w:val="18"/>
                <w:szCs w:val="20"/>
              </w:rPr>
              <w:t>Interviews with companies and industry associations</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rPr>
                <w:b/>
                <w:bCs/>
                <w:noProof/>
                <w:sz w:val="18"/>
                <w:szCs w:val="20"/>
              </w:rPr>
            </w:pPr>
            <w:r w:rsidRPr="009B5734">
              <w:rPr>
                <w:b/>
                <w:bCs/>
                <w:noProof/>
                <w:sz w:val="18"/>
                <w:szCs w:val="20"/>
              </w:rPr>
              <w:t>Producing new data</w:t>
            </w:r>
          </w:p>
        </w:tc>
        <w:tc>
          <w:tcPr>
            <w:tcW w:w="2637" w:type="pct"/>
            <w:tcBorders>
              <w:top w:val="single" w:sz="4" w:space="0" w:color="auto"/>
              <w:left w:val="nil"/>
              <w:bottom w:val="single" w:sz="4" w:space="0" w:color="auto"/>
              <w:right w:val="nil"/>
            </w:tcBorders>
            <w:shd w:val="clear" w:color="auto" w:fill="auto"/>
          </w:tcPr>
          <w:p w:rsidR="00EA45F9" w:rsidRPr="009B5734" w:rsidRDefault="00EA45F9" w:rsidP="00981615">
            <w:pPr>
              <w:pStyle w:val="TableTextNoSpace"/>
              <w:spacing w:line="276" w:lineRule="auto"/>
              <w:rPr>
                <w:noProof/>
                <w:color w:val="000000" w:themeColor="text1"/>
                <w:sz w:val="18"/>
                <w:szCs w:val="20"/>
              </w:rPr>
            </w:pPr>
            <w:r w:rsidRPr="009B5734">
              <w:rPr>
                <w:noProof/>
                <w:sz w:val="18"/>
                <w:szCs w:val="20"/>
              </w:rPr>
              <w:t xml:space="preserve">Updating information on a weekly basis: </w:t>
            </w:r>
          </w:p>
          <w:p w:rsidR="00EA45F9" w:rsidRPr="009B5734" w:rsidRDefault="00EA45F9" w:rsidP="00981615">
            <w:pPr>
              <w:pStyle w:val="TableTextNoSpace"/>
              <w:numPr>
                <w:ilvl w:val="0"/>
                <w:numId w:val="189"/>
              </w:numPr>
              <w:spacing w:before="120" w:line="276" w:lineRule="auto"/>
              <w:ind w:right="0"/>
              <w:jc w:val="left"/>
              <w:rPr>
                <w:noProof/>
                <w:sz w:val="18"/>
                <w:szCs w:val="20"/>
              </w:rPr>
            </w:pPr>
            <w:r w:rsidRPr="009B5734">
              <w:rPr>
                <w:noProof/>
                <w:sz w:val="18"/>
                <w:szCs w:val="20"/>
              </w:rPr>
              <w:t>SME: 1h per week</w:t>
            </w:r>
          </w:p>
          <w:p w:rsidR="00EA45F9" w:rsidRPr="009B5734" w:rsidRDefault="00EA45F9" w:rsidP="00981615">
            <w:pPr>
              <w:pStyle w:val="TableTextNoSpace"/>
              <w:numPr>
                <w:ilvl w:val="0"/>
                <w:numId w:val="189"/>
              </w:numPr>
              <w:spacing w:before="120" w:line="276" w:lineRule="auto"/>
              <w:ind w:right="0"/>
              <w:jc w:val="left"/>
              <w:rPr>
                <w:noProof/>
                <w:sz w:val="18"/>
                <w:szCs w:val="20"/>
              </w:rPr>
            </w:pPr>
            <w:r w:rsidRPr="009B5734">
              <w:rPr>
                <w:noProof/>
                <w:sz w:val="18"/>
                <w:szCs w:val="20"/>
              </w:rPr>
              <w:t>Large enterprises: 3.5h per week</w:t>
            </w:r>
          </w:p>
          <w:p w:rsidR="00EA45F9" w:rsidRPr="009B5734" w:rsidRDefault="00EA45F9" w:rsidP="00981615">
            <w:pPr>
              <w:pStyle w:val="TableTextNoSpace"/>
              <w:spacing w:line="276" w:lineRule="auto"/>
              <w:rPr>
                <w:noProof/>
                <w:sz w:val="18"/>
                <w:szCs w:val="20"/>
              </w:rPr>
            </w:pPr>
          </w:p>
          <w:p w:rsidR="00EA45F9" w:rsidRPr="009B5734" w:rsidRDefault="00EA45F9" w:rsidP="00981615">
            <w:pPr>
              <w:pStyle w:val="TableTextNoSpace"/>
              <w:spacing w:line="276" w:lineRule="auto"/>
              <w:rPr>
                <w:noProof/>
                <w:sz w:val="18"/>
                <w:szCs w:val="20"/>
              </w:rPr>
            </w:pP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rPr>
                <w:iCs/>
                <w:noProof/>
                <w:sz w:val="18"/>
                <w:szCs w:val="20"/>
              </w:rPr>
            </w:pPr>
            <w:r w:rsidRPr="009B5734">
              <w:rPr>
                <w:noProof/>
                <w:sz w:val="18"/>
                <w:szCs w:val="20"/>
              </w:rPr>
              <w:t>Interviews with companies and industry associations</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rPr>
                <w:b/>
                <w:bCs/>
                <w:noProof/>
                <w:sz w:val="18"/>
                <w:szCs w:val="20"/>
              </w:rPr>
            </w:pPr>
            <w:r w:rsidRPr="009B5734">
              <w:rPr>
                <w:b/>
                <w:bCs/>
                <w:noProof/>
                <w:sz w:val="18"/>
                <w:szCs w:val="20"/>
              </w:rPr>
              <w:t>Designing and placing information material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rPr>
                <w:noProof/>
                <w:color w:val="000000" w:themeColor="text1"/>
                <w:sz w:val="18"/>
                <w:szCs w:val="20"/>
              </w:rPr>
            </w:pPr>
            <w:r w:rsidRPr="009B5734">
              <w:rPr>
                <w:noProof/>
                <w:sz w:val="18"/>
                <w:szCs w:val="20"/>
              </w:rPr>
              <w:t>Update of website: 35h to redesign</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rPr>
                <w:noProof/>
                <w:sz w:val="18"/>
                <w:szCs w:val="20"/>
              </w:rPr>
            </w:pPr>
            <w:r w:rsidRPr="009B5734">
              <w:rPr>
                <w:noProof/>
                <w:sz w:val="18"/>
                <w:szCs w:val="20"/>
              </w:rPr>
              <w:t>Interviews with companies and industry associations</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rPr>
                <w:b/>
                <w:bCs/>
                <w:noProof/>
                <w:sz w:val="18"/>
                <w:szCs w:val="20"/>
              </w:rPr>
            </w:pPr>
            <w:r w:rsidRPr="009B5734">
              <w:rPr>
                <w:b/>
                <w:bCs/>
                <w:noProof/>
                <w:sz w:val="18"/>
                <w:szCs w:val="20"/>
              </w:rPr>
              <w:t>Adjust forms and tables (one-off)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rPr>
                <w:noProof/>
                <w:color w:val="000000" w:themeColor="text1"/>
                <w:sz w:val="18"/>
                <w:szCs w:val="18"/>
              </w:rPr>
            </w:pPr>
            <w:r w:rsidRPr="009B5734">
              <w:rPr>
                <w:noProof/>
                <w:sz w:val="36"/>
                <w:szCs w:val="36"/>
              </w:rPr>
              <w:t>-</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rPr>
                <w:noProof/>
                <w:sz w:val="18"/>
                <w:szCs w:val="20"/>
              </w:rPr>
            </w:pPr>
            <w:r w:rsidRPr="009B5734">
              <w:rPr>
                <w:noProof/>
                <w:sz w:val="18"/>
                <w:szCs w:val="20"/>
              </w:rPr>
              <w:t>Interviews with companies and industry associations</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rPr>
                <w:b/>
                <w:bCs/>
                <w:noProof/>
                <w:sz w:val="18"/>
                <w:szCs w:val="20"/>
              </w:rPr>
            </w:pPr>
            <w:r w:rsidRPr="009B5734">
              <w:rPr>
                <w:b/>
                <w:bCs/>
                <w:noProof/>
                <w:sz w:val="18"/>
                <w:szCs w:val="20"/>
              </w:rPr>
              <w:t>Inspections (internal and external)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rPr>
                <w:noProof/>
                <w:color w:val="000000" w:themeColor="text1"/>
                <w:sz w:val="18"/>
                <w:szCs w:val="20"/>
              </w:rPr>
            </w:pPr>
            <w:r w:rsidRPr="009B5734">
              <w:rPr>
                <w:noProof/>
                <w:sz w:val="18"/>
                <w:szCs w:val="20"/>
              </w:rPr>
              <w:t>SME: 1h manager plus 7h employee per year</w:t>
            </w:r>
          </w:p>
          <w:p w:rsidR="00EA45F9" w:rsidRPr="009B5734" w:rsidRDefault="00EA45F9" w:rsidP="00981615">
            <w:pPr>
              <w:pStyle w:val="TableTextNoSpace"/>
              <w:spacing w:line="276" w:lineRule="auto"/>
              <w:rPr>
                <w:noProof/>
                <w:sz w:val="18"/>
                <w:szCs w:val="20"/>
              </w:rPr>
            </w:pPr>
            <w:r w:rsidRPr="009B5734">
              <w:rPr>
                <w:noProof/>
                <w:sz w:val="18"/>
                <w:szCs w:val="20"/>
              </w:rPr>
              <w:t>Large enterprises: 2h manager plus 14h employee per year</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rPr>
                <w:noProof/>
                <w:sz w:val="18"/>
                <w:szCs w:val="20"/>
              </w:rPr>
            </w:pPr>
            <w:r w:rsidRPr="009B5734">
              <w:rPr>
                <w:noProof/>
                <w:sz w:val="18"/>
                <w:szCs w:val="20"/>
              </w:rPr>
              <w:t>Interviews with companies and industry associations</w:t>
            </w:r>
          </w:p>
        </w:tc>
      </w:tr>
    </w:tbl>
    <w:p w:rsidR="00EA45F9" w:rsidRPr="009B5734" w:rsidRDefault="00EA45F9" w:rsidP="00EA45F9">
      <w:pPr>
        <w:rPr>
          <w:rFonts w:ascii="Verdana" w:hAnsi="Verdana"/>
          <w:noProof/>
          <w:color w:val="000000" w:themeColor="text1"/>
          <w:sz w:val="20"/>
        </w:rPr>
      </w:pPr>
    </w:p>
    <w:p w:rsidR="00EA45F9" w:rsidRPr="009B5734" w:rsidRDefault="00EA45F9" w:rsidP="00EA45F9">
      <w:pPr>
        <w:pStyle w:val="Titlecost"/>
        <w:rPr>
          <w:rFonts w:ascii="Times New Roman" w:hAnsi="Times New Roman" w:cs="Times New Roman"/>
          <w:noProof/>
          <w:sz w:val="24"/>
          <w:szCs w:val="24"/>
        </w:rPr>
      </w:pPr>
      <w:r w:rsidRPr="009B5734">
        <w:rPr>
          <w:rFonts w:ascii="Times New Roman" w:hAnsi="Times New Roman" w:cs="Times New Roman"/>
          <w:noProof/>
          <w:sz w:val="24"/>
          <w:szCs w:val="24"/>
        </w:rPr>
        <w:t>Enforcement costs</w:t>
      </w:r>
    </w:p>
    <w:p w:rsidR="00EA45F9" w:rsidRPr="009B5734" w:rsidRDefault="00EA45F9" w:rsidP="00EA45F9">
      <w:pPr>
        <w:ind w:left="0" w:firstLine="0"/>
        <w:rPr>
          <w:rFonts w:ascii="Times New Roman" w:hAnsi="Times New Roman" w:cs="Times New Roman"/>
          <w:noProof/>
          <w:sz w:val="24"/>
          <w:szCs w:val="24"/>
        </w:rPr>
      </w:pPr>
      <w:bookmarkStart w:id="604" w:name="_Hlk58516173"/>
      <w:r w:rsidRPr="009B5734">
        <w:rPr>
          <w:rFonts w:ascii="Times New Roman" w:hAnsi="Times New Roman" w:cs="Times New Roman"/>
          <w:noProof/>
          <w:sz w:val="24"/>
          <w:szCs w:val="24"/>
        </w:rPr>
        <w:t>Based on interviews with some CPC authorities, it is assumed that the measure would not require significant additional resources on top of the existing ones to enforce CRD and SGD.</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We therefore assume that the measure will require an additional 0.5 Full Time Equivalent (per Member State), with its time divided equally between monitoring, inspecting, and handling complaints.</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We assumed 70h for familiarization with the measure and adjust the internal procedures to start enforcing the measure. 16 employees will receive a 7h training.</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It is also assumed that there might be a yearly action per Member State, which will cost EUR 20,000 (based on market research).</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The other unit costs are assumed to be the same as in the previous measures. </w:t>
      </w:r>
    </w:p>
    <w:bookmarkEnd w:id="604"/>
    <w:p w:rsidR="00EA45F9" w:rsidRPr="009B5734" w:rsidRDefault="00EA45F9" w:rsidP="00EA45F9">
      <w:pPr>
        <w:pStyle w:val="Titlecost"/>
        <w:rPr>
          <w:rFonts w:ascii="Times New Roman" w:hAnsi="Times New Roman" w:cs="Times New Roman"/>
          <w:noProof/>
          <w:sz w:val="24"/>
          <w:szCs w:val="24"/>
        </w:rPr>
      </w:pPr>
      <w:r w:rsidRPr="009B5734">
        <w:rPr>
          <w:rFonts w:ascii="Times New Roman" w:hAnsi="Times New Roman" w:cs="Times New Roman"/>
          <w:noProof/>
          <w:sz w:val="24"/>
          <w:szCs w:val="24"/>
        </w:rPr>
        <w:t>Impact on monetisable consumer welfare</w:t>
      </w:r>
    </w:p>
    <w:p w:rsidR="00EA45F9" w:rsidRPr="009B5734" w:rsidRDefault="00EA45F9" w:rsidP="00EA45F9">
      <w:pPr>
        <w:tabs>
          <w:tab w:val="left" w:pos="720"/>
        </w:tabs>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quantification of benefits was done by adjusting the stated willingness to pay for information about the availability of repair services of products</w:t>
      </w:r>
      <w:r w:rsidRPr="009B5734">
        <w:rPr>
          <w:rFonts w:ascii="Times New Roman" w:hAnsi="Times New Roman" w:cs="Times New Roman"/>
          <w:noProof/>
          <w:sz w:val="24"/>
          <w:szCs w:val="24"/>
          <w:vertAlign w:val="superscript"/>
        </w:rPr>
        <w:footnoteReference w:id="165"/>
      </w:r>
      <w:r w:rsidRPr="009B5734">
        <w:rPr>
          <w:rFonts w:ascii="Times New Roman" w:hAnsi="Times New Roman" w:cs="Times New Roman"/>
          <w:noProof/>
          <w:sz w:val="24"/>
          <w:szCs w:val="24"/>
          <w:vertAlign w:val="superscript"/>
        </w:rPr>
        <w:t xml:space="preserve"> </w:t>
      </w:r>
      <w:r w:rsidRPr="009B5734">
        <w:rPr>
          <w:rFonts w:ascii="Times New Roman" w:hAnsi="Times New Roman" w:cs="Times New Roman"/>
          <w:noProof/>
          <w:sz w:val="24"/>
          <w:szCs w:val="24"/>
        </w:rPr>
        <w:t xml:space="preserve">(including the availability of spare parts, repair services and updates) by the respondents to the consumer survey and multiplying it by the number of consumers in the EU. </w:t>
      </w:r>
    </w:p>
    <w:p w:rsidR="00EA45F9" w:rsidRPr="009B5734" w:rsidRDefault="00EA45F9" w:rsidP="00EA45F9">
      <w:pPr>
        <w:rPr>
          <w:noProof/>
        </w:rPr>
      </w:pPr>
    </w:p>
    <w:tbl>
      <w:tblPr>
        <w:tblW w:w="4916" w:type="pct"/>
        <w:tblBorders>
          <w:top w:val="single" w:sz="4" w:space="0" w:color="auto"/>
          <w:bottom w:val="single" w:sz="4" w:space="0" w:color="auto"/>
          <w:insideH w:val="single" w:sz="4" w:space="0" w:color="auto"/>
        </w:tblBorders>
        <w:shd w:val="solid" w:color="F2F2F2" w:fill="F2F2F2"/>
        <w:tblCellMar>
          <w:left w:w="0" w:type="dxa"/>
          <w:right w:w="0" w:type="dxa"/>
        </w:tblCellMar>
        <w:tblLook w:val="04A0" w:firstRow="1" w:lastRow="0" w:firstColumn="1" w:lastColumn="0" w:noHBand="0" w:noVBand="1"/>
      </w:tblPr>
      <w:tblGrid>
        <w:gridCol w:w="1742"/>
        <w:gridCol w:w="4468"/>
        <w:gridCol w:w="2262"/>
      </w:tblGrid>
      <w:tr w:rsidR="00EA45F9" w:rsidRPr="009B5734" w:rsidTr="00981615">
        <w:trPr>
          <w:trHeight w:val="727"/>
        </w:trPr>
        <w:tc>
          <w:tcPr>
            <w:tcW w:w="1028" w:type="pct"/>
            <w:tcBorders>
              <w:top w:val="single" w:sz="4" w:space="0" w:color="auto"/>
              <w:left w:val="nil"/>
              <w:bottom w:val="single" w:sz="4" w:space="0" w:color="auto"/>
              <w:right w:val="nil"/>
            </w:tcBorders>
            <w:shd w:val="solid" w:color="002395" w:fill="002395"/>
          </w:tcPr>
          <w:p w:rsidR="00EA45F9" w:rsidRPr="009B5734" w:rsidRDefault="00EA45F9" w:rsidP="00981615">
            <w:pPr>
              <w:pStyle w:val="TableHeadingWhite"/>
              <w:spacing w:line="276" w:lineRule="auto"/>
              <w:ind w:left="142" w:firstLine="0"/>
              <w:rPr>
                <w:noProof/>
                <w:sz w:val="18"/>
                <w:szCs w:val="20"/>
              </w:rPr>
            </w:pPr>
          </w:p>
        </w:tc>
        <w:tc>
          <w:tcPr>
            <w:tcW w:w="2637" w:type="pct"/>
            <w:tcBorders>
              <w:top w:val="single" w:sz="4" w:space="0" w:color="auto"/>
              <w:left w:val="nil"/>
              <w:bottom w:val="single" w:sz="4" w:space="0" w:color="auto"/>
              <w:right w:val="nil"/>
            </w:tcBorders>
            <w:shd w:val="solid" w:color="002395" w:fill="002395"/>
            <w:hideMark/>
          </w:tcPr>
          <w:p w:rsidR="00EA45F9" w:rsidRPr="009B5734" w:rsidRDefault="00EA45F9" w:rsidP="00981615">
            <w:pPr>
              <w:pStyle w:val="TableHeadingWhite"/>
              <w:spacing w:line="276" w:lineRule="auto"/>
              <w:ind w:left="93" w:firstLine="0"/>
              <w:jc w:val="center"/>
              <w:rPr>
                <w:noProof/>
                <w:sz w:val="18"/>
                <w:szCs w:val="20"/>
              </w:rPr>
            </w:pPr>
            <w:r w:rsidRPr="009B5734">
              <w:rPr>
                <w:noProof/>
                <w:sz w:val="18"/>
                <w:szCs w:val="20"/>
              </w:rPr>
              <w:t>Assumption</w:t>
            </w:r>
          </w:p>
        </w:tc>
        <w:tc>
          <w:tcPr>
            <w:tcW w:w="1335" w:type="pct"/>
            <w:tcBorders>
              <w:top w:val="single" w:sz="4" w:space="0" w:color="auto"/>
              <w:left w:val="nil"/>
              <w:bottom w:val="single" w:sz="4" w:space="0" w:color="auto"/>
              <w:right w:val="nil"/>
            </w:tcBorders>
            <w:shd w:val="solid" w:color="002395" w:fill="002395"/>
            <w:hideMark/>
          </w:tcPr>
          <w:p w:rsidR="00EA45F9" w:rsidRPr="009B5734" w:rsidRDefault="00EA45F9" w:rsidP="00981615">
            <w:pPr>
              <w:pStyle w:val="TableHeadingWhite"/>
              <w:spacing w:line="276" w:lineRule="auto"/>
              <w:ind w:left="170" w:firstLine="0"/>
              <w:jc w:val="center"/>
              <w:rPr>
                <w:noProof/>
                <w:sz w:val="18"/>
                <w:szCs w:val="20"/>
              </w:rPr>
            </w:pPr>
            <w:r w:rsidRPr="009B5734">
              <w:rPr>
                <w:noProof/>
                <w:sz w:val="18"/>
                <w:szCs w:val="20"/>
              </w:rPr>
              <w:t>Source</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Share of consumers that willing to pay for the information</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firstLine="0"/>
              <w:jc w:val="center"/>
              <w:rPr>
                <w:noProof/>
                <w:color w:val="000000" w:themeColor="text1"/>
                <w:sz w:val="18"/>
                <w:szCs w:val="20"/>
              </w:rPr>
            </w:pPr>
            <w:r w:rsidRPr="009B5734">
              <w:rPr>
                <w:noProof/>
                <w:sz w:val="18"/>
                <w:szCs w:val="20"/>
              </w:rPr>
              <w:t xml:space="preserve">43% </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 xml:space="preserve">Consumer survey </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Average willingness to pay</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firstLine="0"/>
              <w:rPr>
                <w:noProof/>
                <w:color w:val="000000" w:themeColor="text1"/>
                <w:sz w:val="18"/>
                <w:szCs w:val="20"/>
              </w:rPr>
            </w:pPr>
            <w:r w:rsidRPr="009B5734">
              <w:rPr>
                <w:noProof/>
                <w:sz w:val="18"/>
                <w:szCs w:val="20"/>
              </w:rPr>
              <w:t>Values adapted from the information provided respondents to the survey.</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 xml:space="preserve">Consumer survey </w:t>
            </w:r>
          </w:p>
        </w:tc>
      </w:tr>
    </w:tbl>
    <w:p w:rsidR="00EA45F9" w:rsidRPr="009B5734" w:rsidRDefault="00EA45F9" w:rsidP="00EA45F9">
      <w:pPr>
        <w:rPr>
          <w:rFonts w:ascii="Verdana" w:hAnsi="Verdana"/>
          <w:noProof/>
          <w:color w:val="000000" w:themeColor="text1"/>
          <w:sz w:val="20"/>
        </w:rPr>
      </w:pPr>
    </w:p>
    <w:p w:rsidR="00EA45F9" w:rsidRPr="009B5734" w:rsidRDefault="00EA45F9" w:rsidP="00EA45F9">
      <w:pPr>
        <w:pStyle w:val="Heading5"/>
        <w:rPr>
          <w:rFonts w:ascii="Times New Roman" w:hAnsi="Times New Roman" w:cs="Times New Roman"/>
          <w:i w:val="0"/>
          <w:noProof/>
          <w:sz w:val="24"/>
        </w:rPr>
      </w:pPr>
      <w:r w:rsidRPr="009B5734">
        <w:rPr>
          <w:rFonts w:ascii="Times New Roman" w:hAnsi="Times New Roman" w:cs="Times New Roman"/>
          <w:i w:val="0"/>
          <w:noProof/>
          <w:sz w:val="24"/>
        </w:rPr>
        <w:t>Option 1.3.D. Reparability Scoring Index</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This measure was identified after the consultations had been concluded. A panel used the data available to fill in in the data gaps.</w:t>
      </w:r>
    </w:p>
    <w:p w:rsidR="00EA45F9" w:rsidRPr="009B5734" w:rsidRDefault="00EA45F9" w:rsidP="00EA45F9">
      <w:pPr>
        <w:pStyle w:val="Titlecost"/>
        <w:rPr>
          <w:noProof/>
        </w:rPr>
      </w:pPr>
      <w:r w:rsidRPr="009B5734">
        <w:rPr>
          <w:noProof/>
        </w:rPr>
        <w:t>Administrative burden</w:t>
      </w:r>
    </w:p>
    <w:tbl>
      <w:tblPr>
        <w:tblW w:w="4916" w:type="pct"/>
        <w:tblBorders>
          <w:top w:val="single" w:sz="4" w:space="0" w:color="auto"/>
          <w:bottom w:val="single" w:sz="4" w:space="0" w:color="auto"/>
          <w:insideH w:val="single" w:sz="4" w:space="0" w:color="auto"/>
        </w:tblBorders>
        <w:shd w:val="solid" w:color="F2F2F2" w:fill="F2F2F2"/>
        <w:tblCellMar>
          <w:left w:w="0" w:type="dxa"/>
          <w:right w:w="0" w:type="dxa"/>
        </w:tblCellMar>
        <w:tblLook w:val="04A0" w:firstRow="1" w:lastRow="0" w:firstColumn="1" w:lastColumn="0" w:noHBand="0" w:noVBand="1"/>
      </w:tblPr>
      <w:tblGrid>
        <w:gridCol w:w="1742"/>
        <w:gridCol w:w="4468"/>
        <w:gridCol w:w="2262"/>
      </w:tblGrid>
      <w:tr w:rsidR="00EA45F9" w:rsidRPr="009B5734" w:rsidTr="00C84A99">
        <w:trPr>
          <w:trHeight w:val="727"/>
        </w:trPr>
        <w:tc>
          <w:tcPr>
            <w:tcW w:w="1028" w:type="pct"/>
            <w:tcBorders>
              <w:top w:val="single" w:sz="4" w:space="0" w:color="auto"/>
              <w:left w:val="nil"/>
              <w:bottom w:val="single" w:sz="4" w:space="0" w:color="auto"/>
              <w:right w:val="nil"/>
            </w:tcBorders>
            <w:shd w:val="clear" w:color="auto" w:fill="002395"/>
          </w:tcPr>
          <w:p w:rsidR="00EA45F9" w:rsidRPr="009B5734" w:rsidRDefault="00EA45F9" w:rsidP="00981615">
            <w:pPr>
              <w:pStyle w:val="TableHeadingWhite"/>
              <w:spacing w:line="276" w:lineRule="auto"/>
              <w:ind w:left="142" w:firstLine="0"/>
              <w:rPr>
                <w:noProof/>
                <w:sz w:val="18"/>
                <w:szCs w:val="20"/>
              </w:rPr>
            </w:pPr>
          </w:p>
        </w:tc>
        <w:tc>
          <w:tcPr>
            <w:tcW w:w="2637" w:type="pct"/>
            <w:tcBorders>
              <w:top w:val="single" w:sz="4" w:space="0" w:color="auto"/>
              <w:left w:val="nil"/>
              <w:bottom w:val="single" w:sz="4" w:space="0" w:color="auto"/>
              <w:right w:val="nil"/>
            </w:tcBorders>
            <w:shd w:val="clear" w:color="auto" w:fill="002395"/>
            <w:hideMark/>
          </w:tcPr>
          <w:p w:rsidR="00EA45F9" w:rsidRPr="009B5734" w:rsidRDefault="00EA45F9" w:rsidP="00981615">
            <w:pPr>
              <w:pStyle w:val="TableHeadingWhite"/>
              <w:spacing w:line="276" w:lineRule="auto"/>
              <w:ind w:left="93" w:hanging="93"/>
              <w:jc w:val="center"/>
              <w:rPr>
                <w:noProof/>
                <w:sz w:val="18"/>
                <w:szCs w:val="20"/>
              </w:rPr>
            </w:pPr>
            <w:r w:rsidRPr="009B5734">
              <w:rPr>
                <w:noProof/>
                <w:sz w:val="18"/>
                <w:szCs w:val="20"/>
              </w:rPr>
              <w:t>Assumption</w:t>
            </w:r>
          </w:p>
        </w:tc>
        <w:tc>
          <w:tcPr>
            <w:tcW w:w="1335" w:type="pct"/>
            <w:tcBorders>
              <w:top w:val="single" w:sz="4" w:space="0" w:color="auto"/>
              <w:left w:val="nil"/>
              <w:bottom w:val="single" w:sz="4" w:space="0" w:color="auto"/>
              <w:right w:val="nil"/>
            </w:tcBorders>
            <w:shd w:val="clear" w:color="auto" w:fill="002395"/>
            <w:hideMark/>
          </w:tcPr>
          <w:p w:rsidR="00EA45F9" w:rsidRPr="009B5734" w:rsidRDefault="00EA45F9" w:rsidP="00981615">
            <w:pPr>
              <w:pStyle w:val="TableHeadingWhite"/>
              <w:spacing w:line="276" w:lineRule="auto"/>
              <w:ind w:left="170" w:hanging="1"/>
              <w:jc w:val="center"/>
              <w:rPr>
                <w:noProof/>
                <w:sz w:val="18"/>
                <w:szCs w:val="20"/>
              </w:rPr>
            </w:pPr>
            <w:r w:rsidRPr="009B5734">
              <w:rPr>
                <w:noProof/>
                <w:sz w:val="18"/>
                <w:szCs w:val="20"/>
              </w:rPr>
              <w:t>Source</w:t>
            </w:r>
          </w:p>
        </w:tc>
      </w:tr>
      <w:tr w:rsidR="00EA45F9" w:rsidRPr="009B5734" w:rsidTr="00C84A99">
        <w:trPr>
          <w:trHeight w:val="391"/>
        </w:trPr>
        <w:tc>
          <w:tcPr>
            <w:tcW w:w="5000" w:type="pct"/>
            <w:gridSpan w:val="3"/>
            <w:tcBorders>
              <w:top w:val="single" w:sz="4" w:space="0" w:color="auto"/>
              <w:left w:val="nil"/>
              <w:bottom w:val="single" w:sz="4" w:space="0" w:color="auto"/>
              <w:right w:val="nil"/>
            </w:tcBorders>
            <w:shd w:val="clear" w:color="auto" w:fill="DBE5F1" w:themeFill="accent1" w:themeFillTint="33"/>
            <w:hideMark/>
          </w:tcPr>
          <w:p w:rsidR="00EA45F9" w:rsidRPr="009B5734" w:rsidRDefault="00EA45F9" w:rsidP="00981615">
            <w:pPr>
              <w:pStyle w:val="TableHeadingWhite"/>
              <w:spacing w:line="276" w:lineRule="auto"/>
              <w:ind w:left="170" w:hanging="1"/>
              <w:rPr>
                <w:noProof/>
                <w:sz w:val="18"/>
                <w:szCs w:val="20"/>
              </w:rPr>
            </w:pPr>
            <w:r w:rsidRPr="009B5734">
              <w:rPr>
                <w:noProof/>
                <w:sz w:val="18"/>
                <w:szCs w:val="20"/>
              </w:rPr>
              <w:t xml:space="preserve">Manufacturers (excluding those that only produce components) </w:t>
            </w:r>
          </w:p>
        </w:tc>
      </w:tr>
      <w:tr w:rsidR="00EA45F9" w:rsidRPr="009B5734" w:rsidTr="00C84A99">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Familiarization with the measure</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jc w:val="center"/>
              <w:rPr>
                <w:i/>
                <w:iCs/>
                <w:noProof/>
                <w:color w:val="000000" w:themeColor="text1"/>
                <w:sz w:val="18"/>
                <w:szCs w:val="20"/>
              </w:rPr>
            </w:pPr>
            <w:r w:rsidRPr="009B5734">
              <w:rPr>
                <w:i/>
                <w:iCs/>
                <w:noProof/>
                <w:sz w:val="18"/>
                <w:szCs w:val="20"/>
              </w:rPr>
              <w:t xml:space="preserve">This includes not only identifying the new obligations imposed by the measure but also analysing the steps that need to be taken as a result of the measure </w:t>
            </w:r>
          </w:p>
          <w:p w:rsidR="00EA45F9" w:rsidRPr="009B5734" w:rsidRDefault="00EA45F9" w:rsidP="00981615">
            <w:pPr>
              <w:pStyle w:val="TableTextNoSpace"/>
              <w:spacing w:line="276" w:lineRule="auto"/>
              <w:ind w:left="93" w:hanging="93"/>
              <w:rPr>
                <w:noProof/>
                <w:sz w:val="18"/>
                <w:szCs w:val="20"/>
              </w:rPr>
            </w:pPr>
            <w:r w:rsidRPr="009B5734">
              <w:rPr>
                <w:noProof/>
                <w:sz w:val="18"/>
                <w:szCs w:val="20"/>
              </w:rPr>
              <w:t>SME: [7,35]h legal team, 35h product development team, 7h commercial team</w:t>
            </w:r>
          </w:p>
          <w:p w:rsidR="00EA45F9" w:rsidRPr="009B5734" w:rsidRDefault="00EA45F9" w:rsidP="00981615">
            <w:pPr>
              <w:pStyle w:val="TableTextNoSpace"/>
              <w:spacing w:line="276" w:lineRule="auto"/>
              <w:ind w:left="93" w:hanging="93"/>
              <w:rPr>
                <w:noProof/>
                <w:sz w:val="18"/>
                <w:szCs w:val="20"/>
              </w:rPr>
            </w:pPr>
            <w:r w:rsidRPr="009B5734">
              <w:rPr>
                <w:noProof/>
                <w:sz w:val="18"/>
                <w:szCs w:val="20"/>
              </w:rPr>
              <w:t>Large Enterprises:  35h legal team, 70h product development team, 14h commercial team</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hanging="1"/>
              <w:rPr>
                <w:noProof/>
                <w:sz w:val="18"/>
                <w:szCs w:val="20"/>
              </w:rPr>
            </w:pPr>
            <w:r w:rsidRPr="009B5734">
              <w:rPr>
                <w:noProof/>
                <w:sz w:val="18"/>
                <w:szCs w:val="20"/>
              </w:rPr>
              <w:t>Expert judgement by a panel based on data collected for previous measures</w:t>
            </w:r>
          </w:p>
        </w:tc>
      </w:tr>
      <w:tr w:rsidR="00EA45F9" w:rsidRPr="009B5734" w:rsidTr="00C84A99">
        <w:trPr>
          <w:trHeight w:val="1263"/>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Training</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rPr>
                <w:i/>
                <w:iCs/>
                <w:noProof/>
                <w:color w:val="000000" w:themeColor="text1"/>
                <w:sz w:val="18"/>
                <w:szCs w:val="20"/>
              </w:rPr>
            </w:pPr>
            <w:r w:rsidRPr="009B5734">
              <w:rPr>
                <w:i/>
                <w:iCs/>
                <w:noProof/>
                <w:sz w:val="18"/>
                <w:szCs w:val="20"/>
              </w:rPr>
              <w:t>This includes an initial training of managers and key employees</w:t>
            </w:r>
          </w:p>
          <w:p w:rsidR="00EA45F9" w:rsidRPr="009B5734" w:rsidRDefault="00EA45F9" w:rsidP="00981615">
            <w:pPr>
              <w:pStyle w:val="TableTextNoSpace"/>
              <w:spacing w:line="276" w:lineRule="auto"/>
              <w:ind w:left="93" w:hanging="93"/>
              <w:rPr>
                <w:noProof/>
                <w:sz w:val="18"/>
                <w:szCs w:val="20"/>
              </w:rPr>
            </w:pPr>
            <w:r w:rsidRPr="009B5734">
              <w:rPr>
                <w:noProof/>
                <w:sz w:val="18"/>
                <w:szCs w:val="20"/>
              </w:rPr>
              <w:t>SME: 3.5h manager + 10.5h key employees</w:t>
            </w:r>
          </w:p>
          <w:p w:rsidR="00EA45F9" w:rsidRPr="009B5734" w:rsidRDefault="00EA45F9" w:rsidP="00981615">
            <w:pPr>
              <w:pStyle w:val="TableTextNoSpace"/>
              <w:spacing w:line="276" w:lineRule="auto"/>
              <w:ind w:left="93" w:hanging="93"/>
              <w:rPr>
                <w:noProof/>
                <w:sz w:val="18"/>
                <w:szCs w:val="20"/>
              </w:rPr>
            </w:pPr>
            <w:r w:rsidRPr="009B5734">
              <w:rPr>
                <w:noProof/>
                <w:sz w:val="18"/>
                <w:szCs w:val="20"/>
              </w:rPr>
              <w:t>Large enterprises: 7h managers + 21h key employees</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hanging="1"/>
              <w:rPr>
                <w:noProof/>
                <w:sz w:val="18"/>
                <w:szCs w:val="20"/>
              </w:rPr>
            </w:pPr>
            <w:r w:rsidRPr="009B5734">
              <w:rPr>
                <w:noProof/>
                <w:sz w:val="18"/>
                <w:szCs w:val="20"/>
              </w:rPr>
              <w:t>Expert judgement by a panel based on data collected for previous measures</w:t>
            </w:r>
          </w:p>
        </w:tc>
      </w:tr>
      <w:tr w:rsidR="00EA45F9" w:rsidRPr="009B5734" w:rsidTr="00C84A99">
        <w:trPr>
          <w:trHeight w:val="558"/>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Retrieving relevant information from existing data and adjusting existing data (including adapting system to retrieve information)</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rPr>
                <w:i/>
                <w:iCs/>
                <w:noProof/>
                <w:color w:val="000000" w:themeColor="text1"/>
                <w:sz w:val="18"/>
                <w:szCs w:val="20"/>
              </w:rPr>
            </w:pPr>
            <w:r w:rsidRPr="009B5734">
              <w:rPr>
                <w:i/>
                <w:iCs/>
                <w:noProof/>
                <w:sz w:val="18"/>
                <w:szCs w:val="20"/>
              </w:rPr>
              <w:t>This includes identifying and compiling all the information available to assess how reparable their products are according to the methodology</w:t>
            </w:r>
          </w:p>
          <w:p w:rsidR="00EA45F9" w:rsidRPr="009B5734" w:rsidRDefault="00EA45F9" w:rsidP="00981615">
            <w:pPr>
              <w:pStyle w:val="TableTextNoSpace"/>
              <w:spacing w:line="276" w:lineRule="auto"/>
              <w:ind w:left="93" w:hanging="93"/>
              <w:rPr>
                <w:noProof/>
                <w:sz w:val="18"/>
                <w:szCs w:val="20"/>
              </w:rPr>
            </w:pPr>
            <w:r w:rsidRPr="009B5734">
              <w:rPr>
                <w:noProof/>
                <w:sz w:val="18"/>
                <w:szCs w:val="20"/>
              </w:rPr>
              <w:t>SME: [35,52.5]h</w:t>
            </w:r>
          </w:p>
          <w:p w:rsidR="00EA45F9" w:rsidRPr="009B5734" w:rsidRDefault="00EA45F9" w:rsidP="00981615">
            <w:pPr>
              <w:pStyle w:val="TableTextNoSpace"/>
              <w:spacing w:line="276" w:lineRule="auto"/>
              <w:ind w:left="93" w:hanging="93"/>
              <w:rPr>
                <w:noProof/>
                <w:sz w:val="36"/>
                <w:szCs w:val="40"/>
              </w:rPr>
            </w:pPr>
            <w:r w:rsidRPr="009B5734">
              <w:rPr>
                <w:noProof/>
                <w:sz w:val="18"/>
                <w:szCs w:val="20"/>
              </w:rPr>
              <w:t>Large enterprises: 175h</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hanging="1"/>
              <w:rPr>
                <w:i/>
                <w:iCs/>
                <w:noProof/>
                <w:sz w:val="18"/>
                <w:szCs w:val="20"/>
              </w:rPr>
            </w:pPr>
            <w:r w:rsidRPr="009B5734">
              <w:rPr>
                <w:noProof/>
                <w:sz w:val="18"/>
                <w:szCs w:val="20"/>
              </w:rPr>
              <w:t>Expert judgement by a panel based on data collected for previous measures</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Producing new data</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rPr>
                <w:noProof/>
                <w:color w:val="000000" w:themeColor="text1"/>
                <w:sz w:val="18"/>
                <w:szCs w:val="20"/>
              </w:rPr>
            </w:pPr>
            <w:r w:rsidRPr="009B5734">
              <w:rPr>
                <w:noProof/>
                <w:sz w:val="18"/>
                <w:szCs w:val="20"/>
              </w:rPr>
              <w:t>Assessment of the reparability according to the methodology will take 7h per model</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hanging="1"/>
              <w:rPr>
                <w:iCs/>
                <w:noProof/>
                <w:sz w:val="18"/>
                <w:szCs w:val="20"/>
              </w:rPr>
            </w:pPr>
            <w:r w:rsidRPr="009B5734">
              <w:rPr>
                <w:noProof/>
                <w:sz w:val="18"/>
                <w:szCs w:val="20"/>
              </w:rPr>
              <w:t xml:space="preserve">Expert judgement by a panel </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Designing and placing information material</w:t>
            </w:r>
          </w:p>
        </w:tc>
        <w:tc>
          <w:tcPr>
            <w:tcW w:w="2637" w:type="pct"/>
            <w:tcBorders>
              <w:top w:val="single" w:sz="4" w:space="0" w:color="auto"/>
              <w:left w:val="nil"/>
              <w:bottom w:val="single" w:sz="4" w:space="0" w:color="auto"/>
              <w:right w:val="nil"/>
            </w:tcBorders>
            <w:shd w:val="clear" w:color="auto" w:fill="auto"/>
          </w:tcPr>
          <w:p w:rsidR="00EA45F9" w:rsidRPr="009B5734" w:rsidRDefault="00EA45F9" w:rsidP="00981615">
            <w:pPr>
              <w:pStyle w:val="TableTextNoSpace"/>
              <w:spacing w:line="276" w:lineRule="auto"/>
              <w:ind w:left="93" w:hanging="93"/>
              <w:rPr>
                <w:i/>
                <w:iCs/>
                <w:noProof/>
                <w:color w:val="000000" w:themeColor="text1"/>
                <w:sz w:val="18"/>
                <w:szCs w:val="20"/>
              </w:rPr>
            </w:pPr>
            <w:r w:rsidRPr="009B5734">
              <w:rPr>
                <w:i/>
                <w:iCs/>
                <w:noProof/>
                <w:sz w:val="18"/>
                <w:szCs w:val="20"/>
              </w:rPr>
              <w:t>We assume information will be provided by digital means</w:t>
            </w:r>
          </w:p>
          <w:p w:rsidR="00EA45F9" w:rsidRPr="009B5734" w:rsidRDefault="00EA45F9" w:rsidP="00981615">
            <w:pPr>
              <w:pStyle w:val="TableTextNoSpace"/>
              <w:spacing w:line="276" w:lineRule="auto"/>
              <w:ind w:left="93" w:hanging="93"/>
              <w:rPr>
                <w:noProof/>
                <w:sz w:val="18"/>
                <w:szCs w:val="20"/>
              </w:rPr>
            </w:pPr>
            <w:r w:rsidRPr="009B5734">
              <w:rPr>
                <w:noProof/>
                <w:sz w:val="18"/>
                <w:szCs w:val="20"/>
              </w:rPr>
              <w:t>Design will take: 35h</w:t>
            </w:r>
          </w:p>
          <w:p w:rsidR="00EA45F9" w:rsidRPr="009B5734" w:rsidRDefault="00EA45F9" w:rsidP="00981615">
            <w:pPr>
              <w:pStyle w:val="TableTextNoSpace"/>
              <w:spacing w:line="276" w:lineRule="auto"/>
              <w:ind w:left="93" w:hanging="93"/>
              <w:rPr>
                <w:i/>
                <w:iCs/>
                <w:noProof/>
                <w:sz w:val="18"/>
                <w:szCs w:val="20"/>
              </w:rPr>
            </w:pP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hanging="1"/>
              <w:rPr>
                <w:noProof/>
                <w:sz w:val="18"/>
                <w:szCs w:val="20"/>
              </w:rPr>
            </w:pPr>
            <w:r w:rsidRPr="009B5734">
              <w:rPr>
                <w:noProof/>
                <w:sz w:val="18"/>
                <w:szCs w:val="20"/>
              </w:rPr>
              <w:t>Expert judgement by a panel based on data collected for previous measures</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Adjust forms and tables (one-off)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rPr>
                <w:i/>
                <w:iCs/>
                <w:noProof/>
                <w:color w:val="000000" w:themeColor="text1"/>
                <w:sz w:val="18"/>
                <w:szCs w:val="20"/>
              </w:rPr>
            </w:pPr>
            <w:r w:rsidRPr="009B5734">
              <w:rPr>
                <w:i/>
                <w:iCs/>
                <w:noProof/>
                <w:sz w:val="18"/>
                <w:szCs w:val="20"/>
              </w:rPr>
              <w:t>This includes re-designing existing forms to include data related to the measure. Filling in the tables/forms was considered business as usual (as the additional time spent on this is judged to be negligible)</w:t>
            </w:r>
          </w:p>
          <w:p w:rsidR="00EA45F9" w:rsidRPr="009B5734" w:rsidRDefault="00EA45F9" w:rsidP="00981615">
            <w:pPr>
              <w:pStyle w:val="TableTextNoSpace"/>
              <w:spacing w:line="276" w:lineRule="auto"/>
              <w:ind w:left="93" w:hanging="93"/>
              <w:rPr>
                <w:noProof/>
                <w:sz w:val="18"/>
                <w:szCs w:val="20"/>
              </w:rPr>
            </w:pPr>
            <w:r w:rsidRPr="009B5734">
              <w:rPr>
                <w:noProof/>
                <w:sz w:val="18"/>
                <w:szCs w:val="20"/>
              </w:rPr>
              <w:t>SME: [0.5,1]h manager + [7,14]h employee</w:t>
            </w:r>
          </w:p>
          <w:p w:rsidR="00EA45F9" w:rsidRPr="009B5734" w:rsidRDefault="00EA45F9" w:rsidP="00981615">
            <w:pPr>
              <w:pStyle w:val="TableTextNoSpace"/>
              <w:spacing w:line="276" w:lineRule="auto"/>
              <w:ind w:left="93" w:hanging="93"/>
              <w:rPr>
                <w:noProof/>
                <w:sz w:val="18"/>
                <w:szCs w:val="20"/>
              </w:rPr>
            </w:pPr>
            <w:r w:rsidRPr="009B5734">
              <w:rPr>
                <w:noProof/>
                <w:sz w:val="18"/>
                <w:szCs w:val="20"/>
              </w:rPr>
              <w:t>Large: 1h manager + 28h employee</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hanging="1"/>
              <w:rPr>
                <w:noProof/>
                <w:sz w:val="18"/>
                <w:szCs w:val="20"/>
              </w:rPr>
            </w:pPr>
            <w:r w:rsidRPr="009B5734">
              <w:rPr>
                <w:noProof/>
                <w:sz w:val="18"/>
                <w:szCs w:val="20"/>
              </w:rPr>
              <w:t>Expert judgement by a panel based on data collected for previous measures</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Inspections (internal and external)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rPr>
                <w:noProof/>
                <w:color w:val="000000" w:themeColor="text1"/>
                <w:sz w:val="18"/>
                <w:szCs w:val="20"/>
              </w:rPr>
            </w:pPr>
            <w:r w:rsidRPr="009B5734">
              <w:rPr>
                <w:noProof/>
                <w:sz w:val="18"/>
                <w:szCs w:val="20"/>
              </w:rPr>
              <w:t>Internal inspections involve [0.5,1.75]h of a manager and 7h of an employee in the case of SMEs and [1,3.5]h of a manager and 14h in the case of large enterprises</w:t>
            </w:r>
          </w:p>
          <w:p w:rsidR="00EA45F9" w:rsidRPr="009B5734" w:rsidRDefault="00EA45F9" w:rsidP="00981615">
            <w:pPr>
              <w:pStyle w:val="TableTextNoSpace"/>
              <w:spacing w:line="276" w:lineRule="auto"/>
              <w:ind w:left="93" w:hanging="93"/>
              <w:rPr>
                <w:i/>
                <w:iCs/>
                <w:noProof/>
                <w:sz w:val="18"/>
                <w:szCs w:val="20"/>
              </w:rPr>
            </w:pPr>
            <w:r w:rsidRPr="009B5734">
              <w:rPr>
                <w:i/>
                <w:iCs/>
                <w:noProof/>
                <w:sz w:val="18"/>
                <w:szCs w:val="20"/>
              </w:rPr>
              <w:t xml:space="preserve">External inspections are expected to take place in less than 1% of the companies. Each external inspection will involve 3.5h manager and 7h of an employee. </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hanging="1"/>
              <w:rPr>
                <w:noProof/>
                <w:sz w:val="18"/>
                <w:szCs w:val="20"/>
              </w:rPr>
            </w:pPr>
            <w:r w:rsidRPr="009B5734">
              <w:rPr>
                <w:noProof/>
                <w:sz w:val="18"/>
                <w:szCs w:val="20"/>
              </w:rPr>
              <w:t>Expert judgement by a panel based on data collected for previous measures</w:t>
            </w:r>
          </w:p>
        </w:tc>
      </w:tr>
      <w:tr w:rsidR="00EA45F9" w:rsidRPr="009B5734" w:rsidTr="00C84A99">
        <w:trPr>
          <w:trHeight w:val="391"/>
        </w:trPr>
        <w:tc>
          <w:tcPr>
            <w:tcW w:w="5000" w:type="pct"/>
            <w:gridSpan w:val="3"/>
            <w:tcBorders>
              <w:top w:val="single" w:sz="4" w:space="0" w:color="auto"/>
              <w:left w:val="nil"/>
              <w:bottom w:val="single" w:sz="4" w:space="0" w:color="auto"/>
              <w:right w:val="nil"/>
            </w:tcBorders>
            <w:shd w:val="clear" w:color="auto" w:fill="DBE5F1" w:themeFill="accent1" w:themeFillTint="33"/>
            <w:hideMark/>
          </w:tcPr>
          <w:p w:rsidR="00EA45F9" w:rsidRPr="009B5734" w:rsidRDefault="00EA45F9" w:rsidP="00981615">
            <w:pPr>
              <w:pStyle w:val="TableHeadingWhite"/>
              <w:spacing w:line="276" w:lineRule="auto"/>
              <w:ind w:left="170" w:hanging="1"/>
              <w:rPr>
                <w:noProof/>
                <w:sz w:val="18"/>
                <w:szCs w:val="20"/>
              </w:rPr>
            </w:pPr>
            <w:r w:rsidRPr="009B5734">
              <w:rPr>
                <w:noProof/>
                <w:sz w:val="18"/>
                <w:szCs w:val="20"/>
              </w:rPr>
              <w:t xml:space="preserve">Retailers </w:t>
            </w:r>
          </w:p>
        </w:tc>
      </w:tr>
      <w:tr w:rsidR="00EA45F9" w:rsidRPr="009B5734" w:rsidTr="00C84A99">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Familiarization with the measure</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rPr>
                <w:i/>
                <w:iCs/>
                <w:noProof/>
                <w:color w:val="000000" w:themeColor="text1"/>
                <w:sz w:val="18"/>
                <w:szCs w:val="20"/>
              </w:rPr>
            </w:pPr>
            <w:r w:rsidRPr="009B5734">
              <w:rPr>
                <w:i/>
                <w:iCs/>
                <w:noProof/>
                <w:sz w:val="18"/>
                <w:szCs w:val="20"/>
              </w:rPr>
              <w:t>This includes not only identifying the new obligations imposed by the measure but also analysing the steps that need to be taken to comply with it.</w:t>
            </w:r>
          </w:p>
          <w:p w:rsidR="00EA45F9" w:rsidRPr="009B5734" w:rsidRDefault="00EA45F9" w:rsidP="00981615">
            <w:pPr>
              <w:pStyle w:val="TableTextNoSpace"/>
              <w:spacing w:line="276" w:lineRule="auto"/>
              <w:ind w:left="93" w:hanging="93"/>
              <w:rPr>
                <w:noProof/>
                <w:sz w:val="18"/>
                <w:szCs w:val="20"/>
              </w:rPr>
            </w:pPr>
            <w:r w:rsidRPr="009B5734">
              <w:rPr>
                <w:noProof/>
                <w:sz w:val="18"/>
                <w:szCs w:val="20"/>
              </w:rPr>
              <w:t>SME: [7,35]h legal team; 42h key employees</w:t>
            </w:r>
          </w:p>
          <w:p w:rsidR="00EA45F9" w:rsidRPr="009B5734" w:rsidRDefault="00EA45F9" w:rsidP="00981615">
            <w:pPr>
              <w:pStyle w:val="TableTextNoSpace"/>
              <w:spacing w:line="276" w:lineRule="auto"/>
              <w:ind w:left="93" w:hanging="93"/>
              <w:rPr>
                <w:noProof/>
                <w:sz w:val="18"/>
                <w:szCs w:val="20"/>
              </w:rPr>
            </w:pPr>
            <w:r w:rsidRPr="009B5734">
              <w:rPr>
                <w:noProof/>
                <w:sz w:val="18"/>
                <w:szCs w:val="20"/>
              </w:rPr>
              <w:t>Large Enterprises:  35h legal team, 84h key employees</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hanging="1"/>
              <w:rPr>
                <w:noProof/>
                <w:sz w:val="18"/>
                <w:szCs w:val="20"/>
              </w:rPr>
            </w:pPr>
            <w:r w:rsidRPr="009B5734">
              <w:rPr>
                <w:noProof/>
                <w:sz w:val="18"/>
                <w:szCs w:val="20"/>
              </w:rPr>
              <w:t>Expert judgement by a panel based on data collected for previous measures</w:t>
            </w:r>
          </w:p>
        </w:tc>
      </w:tr>
      <w:tr w:rsidR="00EA45F9" w:rsidRPr="009B5734" w:rsidTr="00C84A99">
        <w:trPr>
          <w:trHeight w:val="1263"/>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Training</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rPr>
                <w:i/>
                <w:iCs/>
                <w:noProof/>
                <w:color w:val="000000" w:themeColor="text1"/>
                <w:sz w:val="18"/>
                <w:szCs w:val="20"/>
              </w:rPr>
            </w:pPr>
            <w:r w:rsidRPr="009B5734">
              <w:rPr>
                <w:i/>
                <w:iCs/>
                <w:noProof/>
                <w:sz w:val="18"/>
                <w:szCs w:val="20"/>
              </w:rPr>
              <w:t>This includes an initial training of managers and key employees. This training will ensure that employees understand the repair index and that can, on the one hand, score a product according to the index and explain the repair score to consumers. As this will be a completely new concept, it is expected that the training will involve more resources</w:t>
            </w:r>
          </w:p>
          <w:p w:rsidR="00EA45F9" w:rsidRPr="009B5734" w:rsidRDefault="00EA45F9" w:rsidP="00981615">
            <w:pPr>
              <w:pStyle w:val="TableTextNoSpace"/>
              <w:spacing w:line="276" w:lineRule="auto"/>
              <w:ind w:left="93" w:hanging="93"/>
              <w:rPr>
                <w:noProof/>
                <w:sz w:val="18"/>
                <w:szCs w:val="20"/>
              </w:rPr>
            </w:pPr>
            <w:r w:rsidRPr="009B5734">
              <w:rPr>
                <w:noProof/>
                <w:sz w:val="18"/>
                <w:szCs w:val="20"/>
              </w:rPr>
              <w:t>SME: 3.5h manager + [7,42]h key employees</w:t>
            </w:r>
          </w:p>
          <w:p w:rsidR="00EA45F9" w:rsidRPr="009B5734" w:rsidRDefault="00EA45F9" w:rsidP="00981615">
            <w:pPr>
              <w:pStyle w:val="TableTextNoSpace"/>
              <w:spacing w:line="276" w:lineRule="auto"/>
              <w:ind w:left="93" w:hanging="93"/>
              <w:rPr>
                <w:noProof/>
                <w:sz w:val="18"/>
                <w:szCs w:val="20"/>
              </w:rPr>
            </w:pPr>
            <w:r w:rsidRPr="009B5734">
              <w:rPr>
                <w:noProof/>
                <w:sz w:val="18"/>
                <w:szCs w:val="20"/>
              </w:rPr>
              <w:t>Large enterprises: 7h managers + [42,84]h key employees</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hanging="1"/>
              <w:rPr>
                <w:noProof/>
                <w:sz w:val="18"/>
                <w:szCs w:val="20"/>
              </w:rPr>
            </w:pPr>
            <w:r w:rsidRPr="009B5734">
              <w:rPr>
                <w:noProof/>
                <w:sz w:val="18"/>
                <w:szCs w:val="20"/>
              </w:rPr>
              <w:t>Expert judgement by a panel based on data collected for previous measures</w:t>
            </w:r>
          </w:p>
        </w:tc>
      </w:tr>
      <w:tr w:rsidR="00EA45F9" w:rsidRPr="009B5734" w:rsidTr="00C84A99">
        <w:trPr>
          <w:trHeight w:val="558"/>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Retrieving relevant information from existing data and adjusting existing data</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rPr>
                <w:i/>
                <w:iCs/>
                <w:noProof/>
                <w:color w:val="000000" w:themeColor="text1"/>
                <w:sz w:val="18"/>
                <w:szCs w:val="20"/>
              </w:rPr>
            </w:pPr>
            <w:r w:rsidRPr="009B5734">
              <w:rPr>
                <w:i/>
                <w:iCs/>
                <w:noProof/>
                <w:sz w:val="18"/>
                <w:szCs w:val="20"/>
              </w:rPr>
              <w:t>This involves collecting all the information and preparing the procedures to be able to assess the reparability of products per product category (including negotiations with manufacturers and importers)</w:t>
            </w:r>
          </w:p>
          <w:p w:rsidR="00EA45F9" w:rsidRPr="009B5734" w:rsidRDefault="00EA45F9" w:rsidP="00981615">
            <w:pPr>
              <w:pStyle w:val="TableTextNoSpace"/>
              <w:spacing w:line="276" w:lineRule="auto"/>
              <w:ind w:left="93" w:hanging="93"/>
              <w:rPr>
                <w:noProof/>
                <w:sz w:val="18"/>
                <w:szCs w:val="20"/>
              </w:rPr>
            </w:pPr>
            <w:r w:rsidRPr="009B5734">
              <w:rPr>
                <w:noProof/>
                <w:sz w:val="18"/>
                <w:szCs w:val="20"/>
              </w:rPr>
              <w:t>SME: 140h</w:t>
            </w:r>
          </w:p>
          <w:p w:rsidR="00EA45F9" w:rsidRPr="009B5734" w:rsidRDefault="00EA45F9" w:rsidP="00981615">
            <w:pPr>
              <w:pStyle w:val="TableTextNoSpace"/>
              <w:spacing w:line="276" w:lineRule="auto"/>
              <w:ind w:left="93" w:hanging="93"/>
              <w:rPr>
                <w:noProof/>
                <w:sz w:val="18"/>
                <w:szCs w:val="20"/>
              </w:rPr>
            </w:pPr>
            <w:r w:rsidRPr="009B5734">
              <w:rPr>
                <w:noProof/>
                <w:sz w:val="18"/>
                <w:szCs w:val="20"/>
              </w:rPr>
              <w:t>Large enterprises: 280h</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hanging="1"/>
              <w:rPr>
                <w:i/>
                <w:iCs/>
                <w:noProof/>
                <w:sz w:val="18"/>
                <w:szCs w:val="20"/>
              </w:rPr>
            </w:pPr>
            <w:r w:rsidRPr="009B5734">
              <w:rPr>
                <w:noProof/>
                <w:sz w:val="18"/>
                <w:szCs w:val="20"/>
              </w:rPr>
              <w:t>Expert judgement by a panel based on data collected for previous measures</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 xml:space="preserve">Producing new data </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rPr>
                <w:i/>
                <w:iCs/>
                <w:noProof/>
                <w:color w:val="000000" w:themeColor="text1"/>
                <w:sz w:val="18"/>
                <w:szCs w:val="20"/>
              </w:rPr>
            </w:pPr>
            <w:r w:rsidRPr="009B5734">
              <w:rPr>
                <w:i/>
                <w:iCs/>
                <w:noProof/>
                <w:sz w:val="18"/>
                <w:szCs w:val="20"/>
              </w:rPr>
              <w:t xml:space="preserve">This includes assessing the </w:t>
            </w:r>
            <w:r w:rsidR="009B5734" w:rsidRPr="009B5734">
              <w:rPr>
                <w:i/>
                <w:iCs/>
                <w:noProof/>
                <w:sz w:val="18"/>
                <w:szCs w:val="20"/>
              </w:rPr>
              <w:t>reparability</w:t>
            </w:r>
            <w:r w:rsidRPr="009B5734">
              <w:rPr>
                <w:i/>
                <w:iCs/>
                <w:noProof/>
                <w:sz w:val="18"/>
                <w:szCs w:val="20"/>
              </w:rPr>
              <w:t xml:space="preserve"> of products for which the information is not available and stick the label on the product plus updating internal systems.</w:t>
            </w:r>
          </w:p>
          <w:p w:rsidR="00EA45F9" w:rsidRPr="009B5734" w:rsidRDefault="00EA45F9" w:rsidP="00981615">
            <w:pPr>
              <w:pStyle w:val="TableTextNoSpace"/>
              <w:spacing w:line="276" w:lineRule="auto"/>
              <w:ind w:left="93" w:hanging="93"/>
              <w:rPr>
                <w:noProof/>
                <w:sz w:val="18"/>
                <w:szCs w:val="20"/>
              </w:rPr>
            </w:pPr>
            <w:r w:rsidRPr="009B5734">
              <w:rPr>
                <w:noProof/>
                <w:sz w:val="18"/>
                <w:szCs w:val="20"/>
              </w:rPr>
              <w:t>SME: 2h a week</w:t>
            </w:r>
          </w:p>
          <w:p w:rsidR="00EA45F9" w:rsidRPr="009B5734" w:rsidRDefault="00EA45F9" w:rsidP="00981615">
            <w:pPr>
              <w:pStyle w:val="TableTextNoSpace"/>
              <w:spacing w:line="276" w:lineRule="auto"/>
              <w:ind w:left="93" w:hanging="93"/>
              <w:rPr>
                <w:noProof/>
                <w:sz w:val="18"/>
                <w:szCs w:val="20"/>
              </w:rPr>
            </w:pPr>
            <w:r w:rsidRPr="009B5734">
              <w:rPr>
                <w:noProof/>
                <w:sz w:val="18"/>
                <w:szCs w:val="20"/>
              </w:rPr>
              <w:t>Large enterprises: 4h employees a week</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hanging="1"/>
              <w:rPr>
                <w:iCs/>
                <w:noProof/>
                <w:sz w:val="18"/>
                <w:szCs w:val="20"/>
              </w:rPr>
            </w:pPr>
            <w:r w:rsidRPr="009B5734">
              <w:rPr>
                <w:noProof/>
                <w:sz w:val="18"/>
                <w:szCs w:val="20"/>
              </w:rPr>
              <w:t>Expert judgement by a panel</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Designing and placing information material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rPr>
                <w:i/>
                <w:iCs/>
                <w:noProof/>
                <w:color w:val="000000" w:themeColor="text1"/>
                <w:sz w:val="18"/>
                <w:szCs w:val="20"/>
              </w:rPr>
            </w:pPr>
            <w:r w:rsidRPr="009B5734">
              <w:rPr>
                <w:i/>
                <w:iCs/>
                <w:noProof/>
                <w:sz w:val="18"/>
                <w:szCs w:val="20"/>
              </w:rPr>
              <w:t>Costs with the placement of tags</w:t>
            </w:r>
          </w:p>
          <w:p w:rsidR="00EA45F9" w:rsidRPr="009B5734" w:rsidRDefault="00EA45F9" w:rsidP="00981615">
            <w:pPr>
              <w:pStyle w:val="TableTextNoSpace"/>
              <w:spacing w:line="276" w:lineRule="auto"/>
              <w:ind w:left="93" w:hanging="93"/>
              <w:rPr>
                <w:noProof/>
                <w:sz w:val="18"/>
                <w:szCs w:val="20"/>
              </w:rPr>
            </w:pPr>
            <w:r w:rsidRPr="009B5734">
              <w:rPr>
                <w:noProof/>
                <w:sz w:val="18"/>
                <w:szCs w:val="20"/>
              </w:rPr>
              <w:t>5 minutes to stick the labels on those products that do not have it, but that were provided by the importer/manufacturer (assumed to be about 2.5%)</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hanging="1"/>
              <w:rPr>
                <w:noProof/>
                <w:sz w:val="18"/>
                <w:szCs w:val="20"/>
              </w:rPr>
            </w:pPr>
            <w:r w:rsidRPr="009B5734">
              <w:rPr>
                <w:noProof/>
                <w:sz w:val="18"/>
                <w:szCs w:val="20"/>
              </w:rPr>
              <w:t>Expert judgement by a panel based on data collected for previous measures</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Adjust forms and tables (one-off)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rPr>
                <w:noProof/>
                <w:color w:val="000000" w:themeColor="text1"/>
                <w:sz w:val="18"/>
                <w:szCs w:val="18"/>
              </w:rPr>
            </w:pPr>
            <w:r w:rsidRPr="009B5734">
              <w:rPr>
                <w:noProof/>
                <w:sz w:val="36"/>
                <w:szCs w:val="36"/>
              </w:rPr>
              <w:t>-</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hanging="1"/>
              <w:rPr>
                <w:noProof/>
                <w:sz w:val="18"/>
                <w:szCs w:val="20"/>
              </w:rPr>
            </w:pPr>
            <w:r w:rsidRPr="009B5734">
              <w:rPr>
                <w:noProof/>
                <w:sz w:val="18"/>
                <w:szCs w:val="20"/>
              </w:rPr>
              <w:t>Expert judgement by a panel based on data collected for previous measures</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Inspections (internal and external)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rPr>
                <w:noProof/>
                <w:color w:val="000000" w:themeColor="text1"/>
                <w:sz w:val="18"/>
                <w:szCs w:val="20"/>
              </w:rPr>
            </w:pPr>
            <w:r w:rsidRPr="009B5734">
              <w:rPr>
                <w:noProof/>
                <w:sz w:val="18"/>
                <w:szCs w:val="20"/>
              </w:rPr>
              <w:t>SME: 1h manager plus 7h employee per year</w:t>
            </w:r>
          </w:p>
          <w:p w:rsidR="00EA45F9" w:rsidRPr="009B5734" w:rsidRDefault="00EA45F9" w:rsidP="00981615">
            <w:pPr>
              <w:pStyle w:val="TableTextNoSpace"/>
              <w:spacing w:line="276" w:lineRule="auto"/>
              <w:ind w:left="93" w:hanging="93"/>
              <w:rPr>
                <w:noProof/>
                <w:sz w:val="18"/>
                <w:szCs w:val="20"/>
              </w:rPr>
            </w:pPr>
            <w:r w:rsidRPr="009B5734">
              <w:rPr>
                <w:noProof/>
                <w:sz w:val="18"/>
                <w:szCs w:val="20"/>
              </w:rPr>
              <w:t>Large enterprises: 2h manager plus 14h employee per year</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hanging="1"/>
              <w:rPr>
                <w:noProof/>
                <w:sz w:val="18"/>
                <w:szCs w:val="20"/>
              </w:rPr>
            </w:pPr>
            <w:r w:rsidRPr="009B5734">
              <w:rPr>
                <w:noProof/>
                <w:sz w:val="18"/>
                <w:szCs w:val="20"/>
              </w:rPr>
              <w:t>Expert judgement by a panel based on data collected for previous measures</w:t>
            </w:r>
          </w:p>
        </w:tc>
      </w:tr>
    </w:tbl>
    <w:p w:rsidR="00EA45F9" w:rsidRPr="009B5734" w:rsidRDefault="00EA45F9" w:rsidP="00EA45F9">
      <w:pPr>
        <w:rPr>
          <w:rFonts w:ascii="Verdana" w:hAnsi="Verdana"/>
          <w:noProof/>
          <w:color w:val="000000" w:themeColor="text1"/>
          <w:sz w:val="20"/>
        </w:rPr>
      </w:pPr>
    </w:p>
    <w:p w:rsidR="00EA45F9" w:rsidRPr="009B5734" w:rsidRDefault="00EA45F9" w:rsidP="00EA45F9">
      <w:pPr>
        <w:pStyle w:val="Titlecost"/>
        <w:rPr>
          <w:rFonts w:ascii="Times New Roman" w:hAnsi="Times New Roman" w:cs="Times New Roman"/>
          <w:noProof/>
          <w:sz w:val="24"/>
          <w:szCs w:val="24"/>
        </w:rPr>
      </w:pPr>
      <w:r w:rsidRPr="009B5734">
        <w:rPr>
          <w:rFonts w:ascii="Times New Roman" w:hAnsi="Times New Roman" w:cs="Times New Roman"/>
          <w:noProof/>
          <w:sz w:val="24"/>
          <w:szCs w:val="24"/>
        </w:rPr>
        <w:t>Enforcement costs</w:t>
      </w:r>
    </w:p>
    <w:p w:rsidR="00EA45F9" w:rsidRPr="009B5734" w:rsidRDefault="00EA45F9" w:rsidP="00EA45F9">
      <w:pPr>
        <w:ind w:left="0" w:firstLine="0"/>
        <w:rPr>
          <w:rFonts w:ascii="Times New Roman" w:hAnsi="Times New Roman" w:cs="Times New Roman"/>
          <w:noProof/>
          <w:sz w:val="24"/>
          <w:szCs w:val="24"/>
        </w:rPr>
      </w:pPr>
      <w:bookmarkStart w:id="605" w:name="_Hlk58503810"/>
      <w:r w:rsidRPr="009B5734">
        <w:rPr>
          <w:rFonts w:ascii="Times New Roman" w:hAnsi="Times New Roman" w:cs="Times New Roman"/>
          <w:noProof/>
          <w:sz w:val="24"/>
          <w:szCs w:val="24"/>
        </w:rPr>
        <w:t>Based on interviews with some CPC authorities, it is assumed that the measure would require some additional resources on top of the existing ones to enforce CRD and SGD.</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We therefore assume that the measure will require two additional Full Time Equivalents (per Member State), with their time divided equally between monitoring, inspecting, and handling complaints.</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We assumed 70h for familiarization with the measure and adjust the internal procedures to start enforcing the measure. 16 employees will receive a 7h training.</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It is also assumed that there might be a yearly action per Member State, which will cost EUR 20,000 (based on market research).</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The other unit costs are assumed to be the same as in the previous measures. </w:t>
      </w:r>
    </w:p>
    <w:bookmarkEnd w:id="605"/>
    <w:p w:rsidR="00EA45F9" w:rsidRPr="009B5734" w:rsidRDefault="00EA45F9" w:rsidP="00EA45F9">
      <w:pPr>
        <w:pStyle w:val="Titlecost"/>
        <w:rPr>
          <w:rFonts w:ascii="Times New Roman" w:hAnsi="Times New Roman" w:cs="Times New Roman"/>
          <w:noProof/>
          <w:sz w:val="24"/>
          <w:szCs w:val="24"/>
        </w:rPr>
      </w:pPr>
      <w:r w:rsidRPr="009B5734">
        <w:rPr>
          <w:rFonts w:ascii="Times New Roman" w:hAnsi="Times New Roman" w:cs="Times New Roman"/>
          <w:noProof/>
          <w:sz w:val="24"/>
          <w:szCs w:val="24"/>
        </w:rPr>
        <w:t>Impact on monetisable consumer welfare</w:t>
      </w:r>
    </w:p>
    <w:p w:rsidR="00EA45F9" w:rsidRPr="009B5734" w:rsidRDefault="00EA45F9" w:rsidP="00EA45F9">
      <w:pPr>
        <w:tabs>
          <w:tab w:val="left" w:pos="720"/>
        </w:tabs>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quantification of benefits was done by adjusting the stated willingness to pay for information about the availability of repair services of products</w:t>
      </w:r>
      <w:r w:rsidRPr="009B5734">
        <w:rPr>
          <w:rFonts w:ascii="Times New Roman" w:hAnsi="Times New Roman" w:cs="Times New Roman"/>
          <w:noProof/>
          <w:sz w:val="24"/>
          <w:szCs w:val="24"/>
          <w:vertAlign w:val="superscript"/>
        </w:rPr>
        <w:footnoteReference w:id="166"/>
      </w:r>
      <w:r w:rsidRPr="009B5734">
        <w:rPr>
          <w:rFonts w:ascii="Times New Roman" w:hAnsi="Times New Roman" w:cs="Times New Roman"/>
          <w:noProof/>
          <w:sz w:val="24"/>
          <w:szCs w:val="24"/>
          <w:vertAlign w:val="superscript"/>
        </w:rPr>
        <w:t xml:space="preserve"> </w:t>
      </w:r>
      <w:r w:rsidRPr="009B5734">
        <w:rPr>
          <w:rFonts w:ascii="Times New Roman" w:hAnsi="Times New Roman" w:cs="Times New Roman"/>
          <w:noProof/>
          <w:sz w:val="24"/>
          <w:szCs w:val="24"/>
        </w:rPr>
        <w:t xml:space="preserve">(including the availability of spare parts, repair services and updates) by the respondents to the consumer survey and multiplying it by the number of consumers in the EU. </w:t>
      </w:r>
    </w:p>
    <w:p w:rsidR="00EA45F9" w:rsidRPr="009B5734" w:rsidRDefault="00EA45F9" w:rsidP="00EA45F9">
      <w:pPr>
        <w:rPr>
          <w:noProof/>
        </w:rPr>
      </w:pPr>
    </w:p>
    <w:tbl>
      <w:tblPr>
        <w:tblW w:w="4916" w:type="pct"/>
        <w:tblBorders>
          <w:top w:val="single" w:sz="4" w:space="0" w:color="auto"/>
          <w:bottom w:val="single" w:sz="4" w:space="0" w:color="auto"/>
          <w:insideH w:val="single" w:sz="4" w:space="0" w:color="auto"/>
        </w:tblBorders>
        <w:shd w:val="solid" w:color="F2F2F2" w:fill="F2F2F2"/>
        <w:tblCellMar>
          <w:left w:w="0" w:type="dxa"/>
          <w:right w:w="0" w:type="dxa"/>
        </w:tblCellMar>
        <w:tblLook w:val="04A0" w:firstRow="1" w:lastRow="0" w:firstColumn="1" w:lastColumn="0" w:noHBand="0" w:noVBand="1"/>
      </w:tblPr>
      <w:tblGrid>
        <w:gridCol w:w="1742"/>
        <w:gridCol w:w="4468"/>
        <w:gridCol w:w="2262"/>
      </w:tblGrid>
      <w:tr w:rsidR="00EA45F9" w:rsidRPr="009B5734" w:rsidTr="00981615">
        <w:trPr>
          <w:trHeight w:val="727"/>
        </w:trPr>
        <w:tc>
          <w:tcPr>
            <w:tcW w:w="1028" w:type="pct"/>
            <w:tcBorders>
              <w:top w:val="single" w:sz="4" w:space="0" w:color="auto"/>
              <w:left w:val="nil"/>
              <w:bottom w:val="single" w:sz="4" w:space="0" w:color="auto"/>
              <w:right w:val="nil"/>
            </w:tcBorders>
            <w:shd w:val="solid" w:color="002395" w:fill="002395"/>
          </w:tcPr>
          <w:p w:rsidR="00EA45F9" w:rsidRPr="009B5734" w:rsidRDefault="00EA45F9" w:rsidP="00981615">
            <w:pPr>
              <w:pStyle w:val="TableHeadingWhite"/>
              <w:spacing w:line="276" w:lineRule="auto"/>
              <w:ind w:left="142" w:firstLine="0"/>
              <w:rPr>
                <w:noProof/>
                <w:sz w:val="18"/>
                <w:szCs w:val="20"/>
              </w:rPr>
            </w:pPr>
          </w:p>
        </w:tc>
        <w:tc>
          <w:tcPr>
            <w:tcW w:w="2637" w:type="pct"/>
            <w:tcBorders>
              <w:top w:val="single" w:sz="4" w:space="0" w:color="auto"/>
              <w:left w:val="nil"/>
              <w:bottom w:val="single" w:sz="4" w:space="0" w:color="auto"/>
              <w:right w:val="nil"/>
            </w:tcBorders>
            <w:shd w:val="solid" w:color="002395" w:fill="002395"/>
            <w:hideMark/>
          </w:tcPr>
          <w:p w:rsidR="00EA45F9" w:rsidRPr="009B5734" w:rsidRDefault="00EA45F9" w:rsidP="00981615">
            <w:pPr>
              <w:pStyle w:val="TableHeadingWhite"/>
              <w:spacing w:line="276" w:lineRule="auto"/>
              <w:ind w:left="93" w:firstLine="0"/>
              <w:jc w:val="center"/>
              <w:rPr>
                <w:noProof/>
                <w:sz w:val="18"/>
                <w:szCs w:val="20"/>
              </w:rPr>
            </w:pPr>
            <w:r w:rsidRPr="009B5734">
              <w:rPr>
                <w:noProof/>
                <w:sz w:val="18"/>
                <w:szCs w:val="20"/>
              </w:rPr>
              <w:t>Assumption</w:t>
            </w:r>
          </w:p>
        </w:tc>
        <w:tc>
          <w:tcPr>
            <w:tcW w:w="1335" w:type="pct"/>
            <w:tcBorders>
              <w:top w:val="single" w:sz="4" w:space="0" w:color="auto"/>
              <w:left w:val="nil"/>
              <w:bottom w:val="single" w:sz="4" w:space="0" w:color="auto"/>
              <w:right w:val="nil"/>
            </w:tcBorders>
            <w:shd w:val="solid" w:color="002395" w:fill="002395"/>
            <w:hideMark/>
          </w:tcPr>
          <w:p w:rsidR="00EA45F9" w:rsidRPr="009B5734" w:rsidRDefault="00EA45F9" w:rsidP="00981615">
            <w:pPr>
              <w:pStyle w:val="TableHeadingWhite"/>
              <w:spacing w:line="276" w:lineRule="auto"/>
              <w:ind w:left="170" w:firstLine="0"/>
              <w:jc w:val="center"/>
              <w:rPr>
                <w:noProof/>
                <w:sz w:val="18"/>
                <w:szCs w:val="20"/>
              </w:rPr>
            </w:pPr>
            <w:r w:rsidRPr="009B5734">
              <w:rPr>
                <w:noProof/>
                <w:sz w:val="18"/>
                <w:szCs w:val="20"/>
              </w:rPr>
              <w:t>Source</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Share of consumers that willing to pay for the information</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firstLine="0"/>
              <w:jc w:val="center"/>
              <w:rPr>
                <w:noProof/>
                <w:color w:val="000000" w:themeColor="text1"/>
                <w:sz w:val="18"/>
                <w:szCs w:val="20"/>
              </w:rPr>
            </w:pPr>
            <w:r w:rsidRPr="009B5734">
              <w:rPr>
                <w:noProof/>
                <w:sz w:val="18"/>
                <w:szCs w:val="20"/>
              </w:rPr>
              <w:t>43% depending on the product</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 xml:space="preserve">Consumer survey </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Average willingness to pay</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firstLine="0"/>
              <w:rPr>
                <w:noProof/>
                <w:color w:val="000000" w:themeColor="text1"/>
                <w:sz w:val="18"/>
                <w:szCs w:val="20"/>
              </w:rPr>
            </w:pPr>
            <w:r w:rsidRPr="009B5734">
              <w:rPr>
                <w:noProof/>
                <w:sz w:val="18"/>
                <w:szCs w:val="20"/>
              </w:rPr>
              <w:t>Values adapted from the information provided respondents to the survey.</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 xml:space="preserve">Consumer survey </w:t>
            </w:r>
          </w:p>
        </w:tc>
      </w:tr>
    </w:tbl>
    <w:p w:rsidR="00EA45F9" w:rsidRPr="009B5734" w:rsidRDefault="00EA45F9" w:rsidP="00EA45F9">
      <w:pPr>
        <w:pStyle w:val="Heading5"/>
        <w:rPr>
          <w:rFonts w:ascii="Times New Roman" w:hAnsi="Times New Roman" w:cs="Times New Roman"/>
          <w:i w:val="0"/>
          <w:noProof/>
          <w:sz w:val="24"/>
        </w:rPr>
      </w:pPr>
      <w:bookmarkStart w:id="606" w:name="_Toc60734101"/>
      <w:r w:rsidRPr="009B5734">
        <w:rPr>
          <w:rFonts w:ascii="Times New Roman" w:hAnsi="Times New Roman" w:cs="Times New Roman"/>
          <w:i w:val="0"/>
          <w:noProof/>
          <w:sz w:val="24"/>
        </w:rPr>
        <w:t>Option 1.3.E: Provision of Repair Scoring Index, or other relevant repair information on a where applicable/available basis</w:t>
      </w:r>
    </w:p>
    <w:p w:rsidR="00EA45F9" w:rsidRPr="009B5734" w:rsidRDefault="00EA45F9" w:rsidP="00EA45F9">
      <w:pPr>
        <w:rPr>
          <w:noProof/>
          <w:highlight w:val="yellow"/>
        </w:rPr>
      </w:pPr>
    </w:p>
    <w:p w:rsidR="00EA45F9" w:rsidRPr="009B5734" w:rsidRDefault="00EA45F9" w:rsidP="00EA45F9">
      <w:pPr>
        <w:rPr>
          <w:rFonts w:ascii="Times New Roman" w:hAnsi="Times New Roman" w:cs="Times New Roman"/>
          <w:b/>
          <w:noProof/>
          <w:sz w:val="24"/>
          <w:szCs w:val="24"/>
        </w:rPr>
      </w:pPr>
      <w:r w:rsidRPr="009B5734">
        <w:rPr>
          <w:rFonts w:ascii="Times New Roman" w:hAnsi="Times New Roman" w:cs="Times New Roman"/>
          <w:b/>
          <w:noProof/>
          <w:sz w:val="24"/>
          <w:szCs w:val="24"/>
        </w:rPr>
        <w:t>This option was identified after the consultations had been concluded.</w:t>
      </w:r>
    </w:p>
    <w:p w:rsidR="00EA45F9" w:rsidRPr="009B5734" w:rsidRDefault="00EA45F9" w:rsidP="00EA45F9">
      <w:pPr>
        <w:rPr>
          <w:b/>
          <w:bCs/>
          <w:noProof/>
          <w:szCs w:val="24"/>
        </w:rPr>
      </w:pP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data on costs was extrapolated from the data collected for other related measures.</w:t>
      </w:r>
    </w:p>
    <w:p w:rsidR="00EA45F9" w:rsidRPr="009B5734" w:rsidRDefault="00EA45F9" w:rsidP="00EA45F9">
      <w:pPr>
        <w:pStyle w:val="Titlecost"/>
        <w:rPr>
          <w:noProof/>
        </w:rPr>
      </w:pPr>
      <w:r w:rsidRPr="009B5734">
        <w:rPr>
          <w:noProof/>
        </w:rPr>
        <w:t>Administrative burden</w:t>
      </w:r>
    </w:p>
    <w:tbl>
      <w:tblPr>
        <w:tblW w:w="4916" w:type="pct"/>
        <w:tblBorders>
          <w:top w:val="single" w:sz="4" w:space="0" w:color="auto"/>
          <w:bottom w:val="single" w:sz="4" w:space="0" w:color="auto"/>
          <w:insideH w:val="single" w:sz="4" w:space="0" w:color="auto"/>
        </w:tblBorders>
        <w:shd w:val="solid" w:color="F2F2F2" w:fill="F2F2F2"/>
        <w:tblCellMar>
          <w:left w:w="0" w:type="dxa"/>
          <w:right w:w="0" w:type="dxa"/>
        </w:tblCellMar>
        <w:tblLook w:val="04A0" w:firstRow="1" w:lastRow="0" w:firstColumn="1" w:lastColumn="0" w:noHBand="0" w:noVBand="1"/>
      </w:tblPr>
      <w:tblGrid>
        <w:gridCol w:w="1742"/>
        <w:gridCol w:w="4468"/>
        <w:gridCol w:w="2262"/>
      </w:tblGrid>
      <w:tr w:rsidR="00EA45F9" w:rsidRPr="009B5734" w:rsidTr="00C84A99">
        <w:trPr>
          <w:trHeight w:val="727"/>
        </w:trPr>
        <w:tc>
          <w:tcPr>
            <w:tcW w:w="1028" w:type="pct"/>
            <w:tcBorders>
              <w:top w:val="single" w:sz="4" w:space="0" w:color="auto"/>
              <w:left w:val="nil"/>
              <w:bottom w:val="single" w:sz="4" w:space="0" w:color="auto"/>
              <w:right w:val="nil"/>
            </w:tcBorders>
            <w:shd w:val="clear" w:color="auto" w:fill="002395"/>
          </w:tcPr>
          <w:p w:rsidR="00EA45F9" w:rsidRPr="009B5734" w:rsidRDefault="00EA45F9" w:rsidP="00981615">
            <w:pPr>
              <w:pStyle w:val="TableHeadingWhite"/>
              <w:spacing w:line="276" w:lineRule="auto"/>
              <w:ind w:left="142" w:firstLine="0"/>
              <w:rPr>
                <w:noProof/>
                <w:sz w:val="18"/>
                <w:szCs w:val="20"/>
              </w:rPr>
            </w:pPr>
          </w:p>
        </w:tc>
        <w:tc>
          <w:tcPr>
            <w:tcW w:w="2637" w:type="pct"/>
            <w:tcBorders>
              <w:top w:val="single" w:sz="4" w:space="0" w:color="auto"/>
              <w:left w:val="nil"/>
              <w:bottom w:val="single" w:sz="4" w:space="0" w:color="auto"/>
              <w:right w:val="nil"/>
            </w:tcBorders>
            <w:shd w:val="clear" w:color="auto" w:fill="002395"/>
            <w:hideMark/>
          </w:tcPr>
          <w:p w:rsidR="00EA45F9" w:rsidRPr="009B5734" w:rsidRDefault="00EA45F9" w:rsidP="00981615">
            <w:pPr>
              <w:pStyle w:val="TableHeadingWhite"/>
              <w:spacing w:line="276" w:lineRule="auto"/>
              <w:ind w:left="93" w:hanging="93"/>
              <w:jc w:val="center"/>
              <w:rPr>
                <w:noProof/>
                <w:sz w:val="18"/>
                <w:szCs w:val="20"/>
              </w:rPr>
            </w:pPr>
            <w:r w:rsidRPr="009B5734">
              <w:rPr>
                <w:noProof/>
                <w:sz w:val="18"/>
                <w:szCs w:val="20"/>
              </w:rPr>
              <w:t>Assumption</w:t>
            </w:r>
          </w:p>
        </w:tc>
        <w:tc>
          <w:tcPr>
            <w:tcW w:w="1335" w:type="pct"/>
            <w:tcBorders>
              <w:top w:val="single" w:sz="4" w:space="0" w:color="auto"/>
              <w:left w:val="nil"/>
              <w:bottom w:val="single" w:sz="4" w:space="0" w:color="auto"/>
              <w:right w:val="nil"/>
            </w:tcBorders>
            <w:shd w:val="clear" w:color="auto" w:fill="002395"/>
            <w:hideMark/>
          </w:tcPr>
          <w:p w:rsidR="00EA45F9" w:rsidRPr="009B5734" w:rsidRDefault="00EA45F9" w:rsidP="00981615">
            <w:pPr>
              <w:pStyle w:val="TableHeadingWhite"/>
              <w:spacing w:line="276" w:lineRule="auto"/>
              <w:ind w:left="170" w:hanging="1"/>
              <w:jc w:val="center"/>
              <w:rPr>
                <w:noProof/>
                <w:sz w:val="18"/>
                <w:szCs w:val="20"/>
              </w:rPr>
            </w:pPr>
            <w:r w:rsidRPr="009B5734">
              <w:rPr>
                <w:noProof/>
                <w:sz w:val="18"/>
                <w:szCs w:val="20"/>
              </w:rPr>
              <w:t>Source</w:t>
            </w:r>
          </w:p>
        </w:tc>
      </w:tr>
      <w:tr w:rsidR="00EA45F9" w:rsidRPr="009B5734" w:rsidTr="00C84A99">
        <w:trPr>
          <w:trHeight w:val="391"/>
        </w:trPr>
        <w:tc>
          <w:tcPr>
            <w:tcW w:w="5000" w:type="pct"/>
            <w:gridSpan w:val="3"/>
            <w:tcBorders>
              <w:top w:val="single" w:sz="4" w:space="0" w:color="auto"/>
              <w:left w:val="nil"/>
              <w:bottom w:val="single" w:sz="4" w:space="0" w:color="auto"/>
              <w:right w:val="nil"/>
            </w:tcBorders>
            <w:shd w:val="clear" w:color="auto" w:fill="DBE5F1" w:themeFill="accent1" w:themeFillTint="33"/>
            <w:hideMark/>
          </w:tcPr>
          <w:p w:rsidR="00EA45F9" w:rsidRPr="009B5734" w:rsidRDefault="00EA45F9" w:rsidP="00981615">
            <w:pPr>
              <w:pStyle w:val="TableHeadingWhite"/>
              <w:spacing w:line="276" w:lineRule="auto"/>
              <w:ind w:left="170" w:hanging="1"/>
              <w:rPr>
                <w:noProof/>
                <w:sz w:val="18"/>
                <w:szCs w:val="20"/>
              </w:rPr>
            </w:pPr>
            <w:r w:rsidRPr="009B5734">
              <w:rPr>
                <w:noProof/>
                <w:sz w:val="18"/>
                <w:szCs w:val="20"/>
              </w:rPr>
              <w:t xml:space="preserve">Manufacturers (excluding those that only produce components) </w:t>
            </w:r>
          </w:p>
        </w:tc>
      </w:tr>
      <w:tr w:rsidR="00EA45F9" w:rsidRPr="009B5734" w:rsidTr="00C84A99">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Familiarization with the measure</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jc w:val="center"/>
              <w:rPr>
                <w:noProof/>
                <w:sz w:val="18"/>
                <w:szCs w:val="18"/>
              </w:rPr>
            </w:pPr>
            <w:r w:rsidRPr="009B5734">
              <w:rPr>
                <w:noProof/>
                <w:sz w:val="18"/>
                <w:szCs w:val="18"/>
              </w:rPr>
              <w:t>-</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hanging="1"/>
              <w:jc w:val="center"/>
              <w:rPr>
                <w:noProof/>
                <w:sz w:val="18"/>
                <w:szCs w:val="18"/>
              </w:rPr>
            </w:pPr>
            <w:r w:rsidRPr="009B5734">
              <w:rPr>
                <w:noProof/>
                <w:sz w:val="18"/>
                <w:szCs w:val="18"/>
              </w:rPr>
              <w:t>-</w:t>
            </w:r>
          </w:p>
        </w:tc>
      </w:tr>
      <w:tr w:rsidR="00EA45F9" w:rsidRPr="009B5734" w:rsidTr="00C84A99">
        <w:trPr>
          <w:trHeight w:val="1263"/>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Training</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jc w:val="center"/>
              <w:rPr>
                <w:noProof/>
                <w:sz w:val="18"/>
                <w:szCs w:val="18"/>
              </w:rPr>
            </w:pPr>
            <w:r w:rsidRPr="009B5734">
              <w:rPr>
                <w:noProof/>
                <w:sz w:val="18"/>
                <w:szCs w:val="18"/>
              </w:rPr>
              <w:t>-</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hanging="1"/>
              <w:jc w:val="center"/>
              <w:rPr>
                <w:noProof/>
                <w:sz w:val="18"/>
                <w:szCs w:val="18"/>
              </w:rPr>
            </w:pPr>
            <w:r w:rsidRPr="009B5734">
              <w:rPr>
                <w:noProof/>
                <w:sz w:val="18"/>
                <w:szCs w:val="18"/>
              </w:rPr>
              <w:t>-</w:t>
            </w:r>
          </w:p>
        </w:tc>
      </w:tr>
      <w:tr w:rsidR="00EA45F9" w:rsidRPr="009B5734" w:rsidTr="00C84A99">
        <w:trPr>
          <w:trHeight w:val="558"/>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Retrieving relevant information from existing data and adjusting existing data (including adapting system to retrieve information)</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jc w:val="center"/>
              <w:rPr>
                <w:noProof/>
                <w:sz w:val="36"/>
                <w:szCs w:val="36"/>
              </w:rPr>
            </w:pPr>
            <w:r w:rsidRPr="009B5734">
              <w:rPr>
                <w:noProof/>
                <w:sz w:val="18"/>
                <w:szCs w:val="18"/>
              </w:rPr>
              <w:t>-</w:t>
            </w:r>
          </w:p>
        </w:tc>
        <w:tc>
          <w:tcPr>
            <w:tcW w:w="1335" w:type="pct"/>
            <w:tcBorders>
              <w:top w:val="single" w:sz="4" w:space="0" w:color="auto"/>
              <w:left w:val="nil"/>
              <w:bottom w:val="single" w:sz="4" w:space="0" w:color="auto"/>
              <w:right w:val="nil"/>
            </w:tcBorders>
            <w:shd w:val="clear" w:color="auto" w:fill="auto"/>
            <w:hideMark/>
          </w:tcPr>
          <w:p w:rsidR="00EA45F9" w:rsidRPr="00F67503" w:rsidRDefault="00EA45F9" w:rsidP="004931D3">
            <w:pPr>
              <w:pStyle w:val="TableTextNoSpace"/>
              <w:spacing w:line="276" w:lineRule="auto"/>
              <w:ind w:left="170" w:hanging="1"/>
              <w:jc w:val="center"/>
              <w:rPr>
                <w:i/>
                <w:noProof/>
                <w:sz w:val="18"/>
                <w:szCs w:val="18"/>
              </w:rPr>
            </w:pPr>
            <w:r w:rsidRPr="009B5734">
              <w:rPr>
                <w:noProof/>
                <w:sz w:val="18"/>
                <w:szCs w:val="18"/>
              </w:rPr>
              <w:t>-</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Producing new data</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jc w:val="center"/>
              <w:rPr>
                <w:noProof/>
                <w:color w:val="000000" w:themeColor="text1"/>
                <w:sz w:val="18"/>
                <w:szCs w:val="18"/>
              </w:rPr>
            </w:pPr>
            <w:r w:rsidRPr="009B5734">
              <w:rPr>
                <w:noProof/>
                <w:sz w:val="18"/>
                <w:szCs w:val="18"/>
              </w:rPr>
              <w:t>-</w:t>
            </w:r>
          </w:p>
        </w:tc>
        <w:tc>
          <w:tcPr>
            <w:tcW w:w="1335" w:type="pct"/>
            <w:tcBorders>
              <w:top w:val="single" w:sz="4" w:space="0" w:color="auto"/>
              <w:left w:val="nil"/>
              <w:bottom w:val="single" w:sz="4" w:space="0" w:color="auto"/>
              <w:right w:val="nil"/>
            </w:tcBorders>
            <w:shd w:val="clear" w:color="auto" w:fill="auto"/>
            <w:hideMark/>
          </w:tcPr>
          <w:p w:rsidR="00EA45F9" w:rsidRPr="00F67503" w:rsidRDefault="00EA45F9" w:rsidP="004931D3">
            <w:pPr>
              <w:pStyle w:val="TableTextNoSpace"/>
              <w:spacing w:line="276" w:lineRule="auto"/>
              <w:ind w:left="170" w:hanging="1"/>
              <w:jc w:val="center"/>
              <w:rPr>
                <w:noProof/>
                <w:sz w:val="18"/>
                <w:szCs w:val="18"/>
              </w:rPr>
            </w:pPr>
            <w:r w:rsidRPr="009B5734">
              <w:rPr>
                <w:noProof/>
                <w:sz w:val="18"/>
                <w:szCs w:val="18"/>
              </w:rPr>
              <w:t>-</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Designing and placing information material</w:t>
            </w:r>
          </w:p>
        </w:tc>
        <w:tc>
          <w:tcPr>
            <w:tcW w:w="2637" w:type="pct"/>
            <w:tcBorders>
              <w:top w:val="single" w:sz="4" w:space="0" w:color="auto"/>
              <w:left w:val="nil"/>
              <w:bottom w:val="single" w:sz="4" w:space="0" w:color="auto"/>
              <w:right w:val="nil"/>
            </w:tcBorders>
            <w:shd w:val="clear" w:color="auto" w:fill="auto"/>
          </w:tcPr>
          <w:p w:rsidR="00EA45F9" w:rsidRPr="00F67503" w:rsidRDefault="00EA45F9" w:rsidP="004931D3">
            <w:pPr>
              <w:pStyle w:val="TableTextNoSpace"/>
              <w:spacing w:line="276" w:lineRule="auto"/>
              <w:ind w:left="93" w:hanging="93"/>
              <w:jc w:val="center"/>
              <w:rPr>
                <w:i/>
                <w:noProof/>
                <w:sz w:val="18"/>
                <w:szCs w:val="18"/>
              </w:rPr>
            </w:pPr>
            <w:r w:rsidRPr="009B5734">
              <w:rPr>
                <w:noProof/>
                <w:sz w:val="18"/>
                <w:szCs w:val="18"/>
              </w:rPr>
              <w:t>-</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hanging="1"/>
              <w:jc w:val="center"/>
              <w:rPr>
                <w:noProof/>
                <w:sz w:val="18"/>
                <w:szCs w:val="18"/>
              </w:rPr>
            </w:pPr>
            <w:r w:rsidRPr="009B5734">
              <w:rPr>
                <w:noProof/>
                <w:sz w:val="18"/>
                <w:szCs w:val="18"/>
              </w:rPr>
              <w:t>-</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Adjust forms and tables (one-off)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jc w:val="center"/>
              <w:rPr>
                <w:noProof/>
                <w:sz w:val="18"/>
                <w:szCs w:val="18"/>
              </w:rPr>
            </w:pPr>
            <w:r w:rsidRPr="009B5734">
              <w:rPr>
                <w:noProof/>
                <w:sz w:val="18"/>
                <w:szCs w:val="18"/>
              </w:rPr>
              <w:t>-</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hanging="1"/>
              <w:jc w:val="center"/>
              <w:rPr>
                <w:noProof/>
                <w:sz w:val="18"/>
                <w:szCs w:val="18"/>
              </w:rPr>
            </w:pPr>
            <w:r w:rsidRPr="009B5734">
              <w:rPr>
                <w:noProof/>
                <w:sz w:val="18"/>
                <w:szCs w:val="18"/>
              </w:rPr>
              <w:t>-</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Inspections (internal and external)</w:t>
            </w:r>
          </w:p>
        </w:tc>
        <w:tc>
          <w:tcPr>
            <w:tcW w:w="2637" w:type="pct"/>
            <w:tcBorders>
              <w:top w:val="single" w:sz="4" w:space="0" w:color="auto"/>
              <w:left w:val="nil"/>
              <w:bottom w:val="single" w:sz="4" w:space="0" w:color="auto"/>
              <w:right w:val="nil"/>
            </w:tcBorders>
            <w:shd w:val="clear" w:color="auto" w:fill="auto"/>
            <w:hideMark/>
          </w:tcPr>
          <w:p w:rsidR="00EA45F9" w:rsidRPr="00F67503" w:rsidRDefault="00EA45F9" w:rsidP="004931D3">
            <w:pPr>
              <w:pStyle w:val="TableTextNoSpace"/>
              <w:spacing w:line="276" w:lineRule="auto"/>
              <w:ind w:left="93" w:hanging="93"/>
              <w:jc w:val="center"/>
              <w:rPr>
                <w:i/>
                <w:noProof/>
                <w:sz w:val="18"/>
                <w:szCs w:val="18"/>
              </w:rPr>
            </w:pPr>
            <w:r w:rsidRPr="009B5734">
              <w:rPr>
                <w:noProof/>
                <w:sz w:val="18"/>
                <w:szCs w:val="18"/>
              </w:rPr>
              <w:t>-</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hanging="1"/>
              <w:jc w:val="center"/>
              <w:rPr>
                <w:noProof/>
                <w:sz w:val="18"/>
                <w:szCs w:val="18"/>
              </w:rPr>
            </w:pPr>
            <w:r w:rsidRPr="009B5734">
              <w:rPr>
                <w:noProof/>
                <w:sz w:val="18"/>
                <w:szCs w:val="18"/>
              </w:rPr>
              <w:t>-</w:t>
            </w:r>
          </w:p>
        </w:tc>
      </w:tr>
      <w:tr w:rsidR="00EA45F9" w:rsidRPr="009B5734" w:rsidTr="00C84A99">
        <w:trPr>
          <w:trHeight w:val="391"/>
        </w:trPr>
        <w:tc>
          <w:tcPr>
            <w:tcW w:w="5000" w:type="pct"/>
            <w:gridSpan w:val="3"/>
            <w:tcBorders>
              <w:top w:val="single" w:sz="4" w:space="0" w:color="auto"/>
              <w:left w:val="nil"/>
              <w:bottom w:val="single" w:sz="4" w:space="0" w:color="auto"/>
              <w:right w:val="nil"/>
            </w:tcBorders>
            <w:shd w:val="clear" w:color="auto" w:fill="DBE5F1" w:themeFill="accent1" w:themeFillTint="33"/>
            <w:hideMark/>
          </w:tcPr>
          <w:p w:rsidR="00EA45F9" w:rsidRPr="009B5734" w:rsidRDefault="00EA45F9" w:rsidP="00981615">
            <w:pPr>
              <w:pStyle w:val="TableHeadingWhite"/>
              <w:spacing w:line="276" w:lineRule="auto"/>
              <w:ind w:left="170" w:hanging="1"/>
              <w:rPr>
                <w:noProof/>
                <w:sz w:val="18"/>
                <w:szCs w:val="20"/>
              </w:rPr>
            </w:pPr>
            <w:r w:rsidRPr="009B5734">
              <w:rPr>
                <w:noProof/>
                <w:sz w:val="18"/>
                <w:szCs w:val="20"/>
              </w:rPr>
              <w:t xml:space="preserve">Retailers </w:t>
            </w:r>
          </w:p>
        </w:tc>
      </w:tr>
      <w:tr w:rsidR="00EA45F9" w:rsidRPr="009B5734" w:rsidTr="00C84A99">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Familiarization with the measure</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jc w:val="center"/>
              <w:rPr>
                <w:i/>
                <w:iCs/>
                <w:noProof/>
                <w:color w:val="000000" w:themeColor="text1"/>
                <w:sz w:val="18"/>
                <w:szCs w:val="20"/>
              </w:rPr>
            </w:pPr>
            <w:r w:rsidRPr="009B5734">
              <w:rPr>
                <w:i/>
                <w:iCs/>
                <w:noProof/>
                <w:sz w:val="18"/>
                <w:szCs w:val="20"/>
              </w:rPr>
              <w:t>This includes not only identifying the new obligations imposed by the measure but also analysing the steps that need to be taken as a result of the measure</w:t>
            </w:r>
          </w:p>
          <w:p w:rsidR="00EA45F9" w:rsidRPr="009B5734" w:rsidRDefault="00EA45F9" w:rsidP="00981615">
            <w:pPr>
              <w:pStyle w:val="TableTextNoSpace"/>
              <w:spacing w:line="276" w:lineRule="auto"/>
              <w:ind w:left="93" w:hanging="93"/>
              <w:jc w:val="center"/>
              <w:rPr>
                <w:noProof/>
                <w:sz w:val="18"/>
                <w:szCs w:val="20"/>
              </w:rPr>
            </w:pPr>
            <w:r w:rsidRPr="009B5734">
              <w:rPr>
                <w:noProof/>
                <w:sz w:val="18"/>
                <w:szCs w:val="20"/>
              </w:rPr>
              <w:t>SME: 7h legal team, 10.5h key employees</w:t>
            </w:r>
          </w:p>
          <w:p w:rsidR="00EA45F9" w:rsidRPr="009B5734" w:rsidRDefault="00EA45F9" w:rsidP="00981615">
            <w:pPr>
              <w:pStyle w:val="TableTextNoSpace"/>
              <w:spacing w:line="276" w:lineRule="auto"/>
              <w:ind w:left="93" w:hanging="93"/>
              <w:jc w:val="center"/>
              <w:rPr>
                <w:noProof/>
                <w:sz w:val="18"/>
                <w:szCs w:val="20"/>
              </w:rPr>
            </w:pPr>
            <w:r w:rsidRPr="009B5734">
              <w:rPr>
                <w:noProof/>
                <w:sz w:val="18"/>
                <w:szCs w:val="20"/>
              </w:rPr>
              <w:t>Large Enterprises: 10.5h legal team, 21h key employees</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hanging="1"/>
              <w:jc w:val="center"/>
              <w:rPr>
                <w:noProof/>
                <w:sz w:val="18"/>
                <w:szCs w:val="20"/>
              </w:rPr>
            </w:pPr>
            <w:r w:rsidRPr="009B5734">
              <w:rPr>
                <w:noProof/>
                <w:sz w:val="18"/>
                <w:szCs w:val="20"/>
              </w:rPr>
              <w:t>Expert judgement based on data collected for previous measures</w:t>
            </w:r>
          </w:p>
        </w:tc>
      </w:tr>
      <w:tr w:rsidR="00EA45F9" w:rsidRPr="009B5734" w:rsidTr="00C84A99">
        <w:trPr>
          <w:trHeight w:val="1263"/>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Training</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jc w:val="center"/>
              <w:rPr>
                <w:i/>
                <w:iCs/>
                <w:noProof/>
                <w:color w:val="000000" w:themeColor="text1"/>
                <w:sz w:val="18"/>
                <w:szCs w:val="20"/>
              </w:rPr>
            </w:pPr>
            <w:r w:rsidRPr="009B5734">
              <w:rPr>
                <w:i/>
                <w:iCs/>
                <w:noProof/>
                <w:sz w:val="18"/>
                <w:szCs w:val="20"/>
              </w:rPr>
              <w:t>This includes an initial training of managers and key employees</w:t>
            </w:r>
          </w:p>
          <w:p w:rsidR="00EA45F9" w:rsidRPr="009B5734" w:rsidRDefault="00EA45F9" w:rsidP="00981615">
            <w:pPr>
              <w:pStyle w:val="TableTextNoSpace"/>
              <w:spacing w:line="276" w:lineRule="auto"/>
              <w:ind w:left="93" w:hanging="93"/>
              <w:jc w:val="center"/>
              <w:rPr>
                <w:noProof/>
                <w:sz w:val="18"/>
                <w:szCs w:val="20"/>
              </w:rPr>
            </w:pPr>
            <w:r w:rsidRPr="009B5734">
              <w:rPr>
                <w:noProof/>
                <w:sz w:val="18"/>
                <w:szCs w:val="20"/>
              </w:rPr>
              <w:t>SME: [0.5,3.5]h manager + [4,7]h key employees</w:t>
            </w:r>
          </w:p>
          <w:p w:rsidR="00EA45F9" w:rsidRPr="009B5734" w:rsidRDefault="00EA45F9" w:rsidP="00981615">
            <w:pPr>
              <w:pStyle w:val="TableTextNoSpace"/>
              <w:spacing w:line="276" w:lineRule="auto"/>
              <w:ind w:left="93" w:hanging="93"/>
              <w:jc w:val="center"/>
              <w:rPr>
                <w:noProof/>
                <w:sz w:val="18"/>
                <w:szCs w:val="20"/>
              </w:rPr>
            </w:pPr>
            <w:r w:rsidRPr="009B5734">
              <w:rPr>
                <w:noProof/>
                <w:sz w:val="18"/>
                <w:szCs w:val="20"/>
              </w:rPr>
              <w:t>Large enterprises: [1,7]h managers + [8,14]h key employees</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hanging="1"/>
              <w:jc w:val="center"/>
              <w:rPr>
                <w:noProof/>
                <w:sz w:val="18"/>
                <w:szCs w:val="20"/>
              </w:rPr>
            </w:pPr>
            <w:r w:rsidRPr="009B5734">
              <w:rPr>
                <w:noProof/>
                <w:sz w:val="18"/>
                <w:szCs w:val="20"/>
              </w:rPr>
              <w:t>Expert judgement based on data collected for previous measures</w:t>
            </w:r>
          </w:p>
        </w:tc>
      </w:tr>
      <w:tr w:rsidR="00EA45F9" w:rsidRPr="009B5734" w:rsidTr="00C84A99">
        <w:trPr>
          <w:trHeight w:val="558"/>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Retrieving relevant information from existing data and adjusting existing data</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jc w:val="center"/>
              <w:rPr>
                <w:i/>
                <w:iCs/>
                <w:noProof/>
                <w:color w:val="000000" w:themeColor="text1"/>
                <w:sz w:val="18"/>
                <w:szCs w:val="20"/>
              </w:rPr>
            </w:pPr>
            <w:r w:rsidRPr="009B5734">
              <w:rPr>
                <w:i/>
                <w:iCs/>
                <w:noProof/>
                <w:sz w:val="18"/>
                <w:szCs w:val="20"/>
              </w:rPr>
              <w:t>This includes identifying and compiling all the information available</w:t>
            </w:r>
          </w:p>
          <w:p w:rsidR="00EA45F9" w:rsidRPr="009B5734" w:rsidRDefault="00EA45F9" w:rsidP="00981615">
            <w:pPr>
              <w:pStyle w:val="TableTextNoSpace"/>
              <w:spacing w:line="276" w:lineRule="auto"/>
              <w:ind w:left="93" w:hanging="93"/>
              <w:jc w:val="center"/>
              <w:rPr>
                <w:noProof/>
                <w:sz w:val="18"/>
                <w:szCs w:val="20"/>
              </w:rPr>
            </w:pPr>
            <w:r w:rsidRPr="009B5734">
              <w:rPr>
                <w:noProof/>
                <w:sz w:val="18"/>
                <w:szCs w:val="20"/>
              </w:rPr>
              <w:t>SME: 35h</w:t>
            </w:r>
          </w:p>
          <w:p w:rsidR="00EA45F9" w:rsidRPr="009B5734" w:rsidRDefault="00EA45F9" w:rsidP="00981615">
            <w:pPr>
              <w:pStyle w:val="TableTextNoSpace"/>
              <w:spacing w:line="276" w:lineRule="auto"/>
              <w:ind w:left="93" w:hanging="93"/>
              <w:jc w:val="center"/>
              <w:rPr>
                <w:noProof/>
                <w:sz w:val="18"/>
                <w:szCs w:val="20"/>
              </w:rPr>
            </w:pPr>
            <w:r w:rsidRPr="009B5734">
              <w:rPr>
                <w:noProof/>
                <w:sz w:val="18"/>
                <w:szCs w:val="20"/>
              </w:rPr>
              <w:t>Large enterprises: 70h</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hanging="1"/>
              <w:jc w:val="center"/>
              <w:rPr>
                <w:i/>
                <w:iCs/>
                <w:noProof/>
                <w:sz w:val="18"/>
                <w:szCs w:val="20"/>
              </w:rPr>
            </w:pPr>
            <w:r w:rsidRPr="009B5734">
              <w:rPr>
                <w:noProof/>
                <w:sz w:val="18"/>
                <w:szCs w:val="20"/>
              </w:rPr>
              <w:t>Expert judgement based on data collected for previous measures</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 xml:space="preserve">Producing new data </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jc w:val="center"/>
              <w:rPr>
                <w:noProof/>
                <w:sz w:val="18"/>
                <w:szCs w:val="20"/>
              </w:rPr>
            </w:pPr>
            <w:r w:rsidRPr="009B5734">
              <w:rPr>
                <w:noProof/>
                <w:sz w:val="18"/>
                <w:szCs w:val="20"/>
              </w:rPr>
              <w:t xml:space="preserve"> </w:t>
            </w:r>
          </w:p>
        </w:tc>
        <w:tc>
          <w:tcPr>
            <w:tcW w:w="1335" w:type="pct"/>
            <w:tcBorders>
              <w:top w:val="single" w:sz="4" w:space="0" w:color="auto"/>
              <w:left w:val="nil"/>
              <w:bottom w:val="single" w:sz="4" w:space="0" w:color="auto"/>
              <w:right w:val="nil"/>
            </w:tcBorders>
            <w:shd w:val="clear" w:color="auto" w:fill="auto"/>
            <w:hideMark/>
          </w:tcPr>
          <w:p w:rsidR="00EA45F9" w:rsidRPr="00F67503" w:rsidRDefault="00EA45F9" w:rsidP="004931D3">
            <w:pPr>
              <w:pStyle w:val="TableTextNoSpace"/>
              <w:spacing w:line="276" w:lineRule="auto"/>
              <w:ind w:left="170" w:hanging="1"/>
              <w:jc w:val="center"/>
              <w:rPr>
                <w:noProof/>
                <w:sz w:val="18"/>
                <w:szCs w:val="18"/>
              </w:rPr>
            </w:pPr>
            <w:r w:rsidRPr="009B5734">
              <w:rPr>
                <w:noProof/>
                <w:sz w:val="18"/>
                <w:szCs w:val="18"/>
              </w:rPr>
              <w:t>-</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Designing and placing information material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jc w:val="center"/>
              <w:rPr>
                <w:noProof/>
                <w:sz w:val="18"/>
                <w:szCs w:val="20"/>
              </w:rPr>
            </w:pPr>
            <w:r w:rsidRPr="009B5734">
              <w:rPr>
                <w:noProof/>
                <w:sz w:val="18"/>
                <w:szCs w:val="20"/>
              </w:rPr>
              <w:t>Negligible -</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hanging="1"/>
              <w:jc w:val="center"/>
              <w:rPr>
                <w:noProof/>
                <w:sz w:val="18"/>
                <w:szCs w:val="20"/>
              </w:rPr>
            </w:pPr>
            <w:r w:rsidRPr="009B5734">
              <w:rPr>
                <w:noProof/>
                <w:sz w:val="18"/>
                <w:szCs w:val="20"/>
              </w:rPr>
              <w:t>Expert judgement based on data collected for previous measures</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Adjust forms and tables (one-off)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jc w:val="center"/>
              <w:rPr>
                <w:noProof/>
                <w:color w:val="000000" w:themeColor="text1"/>
                <w:sz w:val="18"/>
                <w:szCs w:val="18"/>
              </w:rPr>
            </w:pPr>
            <w:r w:rsidRPr="009B5734">
              <w:rPr>
                <w:noProof/>
                <w:sz w:val="18"/>
                <w:szCs w:val="18"/>
              </w:rPr>
              <w:t>-</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hanging="1"/>
              <w:jc w:val="center"/>
              <w:rPr>
                <w:noProof/>
                <w:sz w:val="18"/>
                <w:szCs w:val="18"/>
              </w:rPr>
            </w:pPr>
            <w:r w:rsidRPr="009B5734">
              <w:rPr>
                <w:noProof/>
                <w:sz w:val="18"/>
                <w:szCs w:val="18"/>
              </w:rPr>
              <w:t>-</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Inspections (internal and external)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jc w:val="center"/>
              <w:rPr>
                <w:noProof/>
                <w:sz w:val="18"/>
                <w:szCs w:val="18"/>
              </w:rPr>
            </w:pPr>
            <w:r w:rsidRPr="009B5734">
              <w:rPr>
                <w:noProof/>
                <w:sz w:val="18"/>
                <w:szCs w:val="18"/>
              </w:rPr>
              <w:t>-</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hanging="1"/>
              <w:jc w:val="center"/>
              <w:rPr>
                <w:noProof/>
                <w:sz w:val="18"/>
                <w:szCs w:val="18"/>
              </w:rPr>
            </w:pPr>
            <w:r w:rsidRPr="009B5734">
              <w:rPr>
                <w:noProof/>
                <w:sz w:val="18"/>
                <w:szCs w:val="18"/>
              </w:rPr>
              <w:t>-</w:t>
            </w:r>
          </w:p>
        </w:tc>
      </w:tr>
    </w:tbl>
    <w:p w:rsidR="00EA45F9" w:rsidRPr="009B5734" w:rsidRDefault="00EA45F9" w:rsidP="00EA45F9">
      <w:pPr>
        <w:rPr>
          <w:rFonts w:ascii="Verdana" w:hAnsi="Verdana"/>
          <w:noProof/>
          <w:color w:val="000000" w:themeColor="text1"/>
          <w:sz w:val="20"/>
        </w:rPr>
      </w:pPr>
    </w:p>
    <w:p w:rsidR="00EA45F9" w:rsidRPr="009B5734" w:rsidRDefault="00EA45F9" w:rsidP="00EA45F9">
      <w:pPr>
        <w:pStyle w:val="Titlecost"/>
        <w:rPr>
          <w:rFonts w:ascii="Times New Roman" w:hAnsi="Times New Roman" w:cs="Times New Roman"/>
          <w:noProof/>
          <w:sz w:val="24"/>
          <w:szCs w:val="24"/>
        </w:rPr>
      </w:pPr>
      <w:r w:rsidRPr="009B5734">
        <w:rPr>
          <w:rFonts w:ascii="Times New Roman" w:hAnsi="Times New Roman" w:cs="Times New Roman"/>
          <w:noProof/>
          <w:sz w:val="24"/>
          <w:szCs w:val="24"/>
        </w:rPr>
        <w:t>Enforcement costs</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It is assumed that this option would not require additional resources from enforcement authorities other than the ones related to the one-off costs of familiarization and training. (</w:t>
      </w:r>
      <w:r w:rsidR="009B5734">
        <w:rPr>
          <w:rFonts w:ascii="Times New Roman" w:hAnsi="Times New Roman" w:cs="Times New Roman"/>
          <w:noProof/>
          <w:sz w:val="24"/>
          <w:szCs w:val="24"/>
        </w:rPr>
        <w:t>it was assumed 70h for familiaris</w:t>
      </w:r>
      <w:r w:rsidRPr="009B5734">
        <w:rPr>
          <w:rFonts w:ascii="Times New Roman" w:hAnsi="Times New Roman" w:cs="Times New Roman"/>
          <w:noProof/>
          <w:sz w:val="24"/>
          <w:szCs w:val="24"/>
        </w:rPr>
        <w:t>ation with the option and adjusting the internal procedures to start enforcing the measure. 16 employees will receive a 7h training.)</w:t>
      </w:r>
    </w:p>
    <w:p w:rsidR="00EA45F9" w:rsidRPr="009B5734" w:rsidRDefault="00EA45F9" w:rsidP="00EA45F9">
      <w:pPr>
        <w:pStyle w:val="Titlecost"/>
        <w:rPr>
          <w:rFonts w:ascii="Times New Roman" w:hAnsi="Times New Roman" w:cs="Times New Roman"/>
          <w:noProof/>
          <w:sz w:val="24"/>
          <w:szCs w:val="24"/>
        </w:rPr>
      </w:pPr>
      <w:r w:rsidRPr="009B5734">
        <w:rPr>
          <w:rFonts w:ascii="Times New Roman" w:hAnsi="Times New Roman" w:cs="Times New Roman"/>
          <w:noProof/>
          <w:sz w:val="24"/>
          <w:szCs w:val="24"/>
        </w:rPr>
        <w:t>Impact on monetisable consumer welfare</w:t>
      </w:r>
    </w:p>
    <w:p w:rsidR="00EA45F9" w:rsidRPr="009B5734" w:rsidRDefault="00EA45F9" w:rsidP="00EA45F9">
      <w:pPr>
        <w:tabs>
          <w:tab w:val="left" w:pos="720"/>
        </w:tabs>
        <w:ind w:left="0" w:firstLine="0"/>
        <w:rPr>
          <w:noProof/>
        </w:rPr>
      </w:pPr>
      <w:r w:rsidRPr="009B5734">
        <w:rPr>
          <w:rFonts w:ascii="Times New Roman" w:hAnsi="Times New Roman" w:cs="Times New Roman"/>
          <w:noProof/>
          <w:sz w:val="24"/>
          <w:szCs w:val="24"/>
        </w:rPr>
        <w:t xml:space="preserve">Lack of data did not allow to quantify the benefits of this option. </w:t>
      </w:r>
    </w:p>
    <w:p w:rsidR="00EA45F9" w:rsidRPr="009B5734" w:rsidRDefault="00EA45F9" w:rsidP="00EA45F9">
      <w:pPr>
        <w:rPr>
          <w:noProof/>
        </w:rPr>
      </w:pPr>
    </w:p>
    <w:p w:rsidR="00EA45F9" w:rsidRPr="009B5734" w:rsidRDefault="00A00208" w:rsidP="00A00208">
      <w:pPr>
        <w:pStyle w:val="Heading4"/>
        <w:rPr>
          <w:noProof/>
        </w:rPr>
      </w:pPr>
      <w:bookmarkStart w:id="607" w:name="_Toc75440994"/>
      <w:bookmarkStart w:id="608" w:name="_Toc75446993"/>
      <w:bookmarkStart w:id="609" w:name="_Toc75448866"/>
      <w:r w:rsidRPr="00A00208">
        <w:t>4.4.</w:t>
      </w:r>
      <w:r w:rsidRPr="00A00208">
        <w:tab/>
      </w:r>
      <w:r w:rsidR="00EA45F9" w:rsidRPr="009B5734">
        <w:rPr>
          <w:noProof/>
        </w:rPr>
        <w:t>“Sub-problem 2.1: Consumers are sold products that do not last as long as they should, and consumers expect”</w:t>
      </w:r>
      <w:bookmarkEnd w:id="606"/>
      <w:bookmarkEnd w:id="607"/>
      <w:bookmarkEnd w:id="608"/>
      <w:bookmarkEnd w:id="609"/>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For the purpose of the assessment obsolescence is defined by failures happening in the first 60% of the expected lifespan of a good.</w:t>
      </w:r>
    </w:p>
    <w:p w:rsidR="00EA45F9" w:rsidRPr="009B5734" w:rsidRDefault="00EA45F9" w:rsidP="00EA45F9">
      <w:pPr>
        <w:pStyle w:val="Heading5"/>
        <w:rPr>
          <w:rFonts w:ascii="Times New Roman" w:hAnsi="Times New Roman" w:cs="Times New Roman"/>
          <w:i w:val="0"/>
          <w:noProof/>
          <w:sz w:val="24"/>
        </w:rPr>
      </w:pPr>
      <w:r w:rsidRPr="009B5734">
        <w:rPr>
          <w:rFonts w:ascii="Times New Roman" w:hAnsi="Times New Roman" w:cs="Times New Roman"/>
          <w:i w:val="0"/>
          <w:noProof/>
          <w:sz w:val="24"/>
        </w:rPr>
        <w:t>Option 2.1.</w:t>
      </w:r>
      <w:r w:rsidRPr="009B5734" w:rsidDel="0073298F">
        <w:rPr>
          <w:rFonts w:ascii="Times New Roman" w:hAnsi="Times New Roman" w:cs="Times New Roman"/>
          <w:i w:val="0"/>
          <w:noProof/>
          <w:sz w:val="24"/>
        </w:rPr>
        <w:t>A</w:t>
      </w:r>
      <w:r w:rsidRPr="009B5734">
        <w:rPr>
          <w:rFonts w:ascii="Times New Roman" w:hAnsi="Times New Roman" w:cs="Times New Roman"/>
          <w:i w:val="0"/>
          <w:noProof/>
          <w:sz w:val="24"/>
        </w:rPr>
        <w:t xml:space="preserve"> Information on early failures of products identified by authorised entities</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This measure was identified after the consultations had been concluded and the estimations relied on the expert judgement of a panel.</w:t>
      </w:r>
    </w:p>
    <w:p w:rsidR="00EA45F9" w:rsidRPr="009B5734" w:rsidRDefault="00EA45F9" w:rsidP="00EA45F9">
      <w:pPr>
        <w:pStyle w:val="Titlecost"/>
        <w:rPr>
          <w:noProof/>
        </w:rPr>
      </w:pPr>
      <w:r w:rsidRPr="009B5734">
        <w:rPr>
          <w:noProof/>
        </w:rPr>
        <w:t>Administrative burden</w:t>
      </w:r>
    </w:p>
    <w:tbl>
      <w:tblPr>
        <w:tblW w:w="4916" w:type="pct"/>
        <w:tblBorders>
          <w:top w:val="single" w:sz="4" w:space="0" w:color="auto"/>
          <w:bottom w:val="single" w:sz="4" w:space="0" w:color="auto"/>
          <w:insideH w:val="single" w:sz="4" w:space="0" w:color="auto"/>
        </w:tblBorders>
        <w:shd w:val="solid" w:color="F2F2F2" w:fill="F2F2F2"/>
        <w:tblCellMar>
          <w:left w:w="0" w:type="dxa"/>
          <w:right w:w="0" w:type="dxa"/>
        </w:tblCellMar>
        <w:tblLook w:val="04A0" w:firstRow="1" w:lastRow="0" w:firstColumn="1" w:lastColumn="0" w:noHBand="0" w:noVBand="1"/>
      </w:tblPr>
      <w:tblGrid>
        <w:gridCol w:w="1742"/>
        <w:gridCol w:w="4468"/>
        <w:gridCol w:w="2262"/>
      </w:tblGrid>
      <w:tr w:rsidR="00EA45F9" w:rsidRPr="009B5734" w:rsidTr="00981615">
        <w:trPr>
          <w:trHeight w:val="727"/>
        </w:trPr>
        <w:tc>
          <w:tcPr>
            <w:tcW w:w="1028" w:type="pct"/>
            <w:tcBorders>
              <w:top w:val="single" w:sz="4" w:space="0" w:color="auto"/>
              <w:left w:val="nil"/>
              <w:bottom w:val="single" w:sz="4" w:space="0" w:color="auto"/>
              <w:right w:val="nil"/>
            </w:tcBorders>
            <w:shd w:val="solid" w:color="002395" w:fill="002395"/>
          </w:tcPr>
          <w:p w:rsidR="00EA45F9" w:rsidRPr="009B5734" w:rsidRDefault="00EA45F9" w:rsidP="00981615">
            <w:pPr>
              <w:pStyle w:val="TableHeadingWhite"/>
              <w:spacing w:line="276" w:lineRule="auto"/>
              <w:ind w:left="142" w:firstLine="0"/>
              <w:rPr>
                <w:noProof/>
                <w:sz w:val="18"/>
                <w:szCs w:val="20"/>
              </w:rPr>
            </w:pPr>
          </w:p>
        </w:tc>
        <w:tc>
          <w:tcPr>
            <w:tcW w:w="2637" w:type="pct"/>
            <w:tcBorders>
              <w:top w:val="single" w:sz="4" w:space="0" w:color="auto"/>
              <w:left w:val="nil"/>
              <w:bottom w:val="single" w:sz="4" w:space="0" w:color="auto"/>
              <w:right w:val="nil"/>
            </w:tcBorders>
            <w:shd w:val="solid" w:color="002395" w:fill="002395"/>
            <w:hideMark/>
          </w:tcPr>
          <w:p w:rsidR="00EA45F9" w:rsidRPr="009B5734" w:rsidRDefault="00EA45F9" w:rsidP="00981615">
            <w:pPr>
              <w:pStyle w:val="TableHeadingWhite"/>
              <w:spacing w:line="276" w:lineRule="auto"/>
              <w:ind w:left="93" w:hanging="93"/>
              <w:jc w:val="center"/>
              <w:rPr>
                <w:noProof/>
                <w:sz w:val="18"/>
                <w:szCs w:val="20"/>
              </w:rPr>
            </w:pPr>
            <w:r w:rsidRPr="009B5734">
              <w:rPr>
                <w:noProof/>
                <w:sz w:val="18"/>
                <w:szCs w:val="20"/>
              </w:rPr>
              <w:t>Assumption</w:t>
            </w:r>
          </w:p>
        </w:tc>
        <w:tc>
          <w:tcPr>
            <w:tcW w:w="1335" w:type="pct"/>
            <w:tcBorders>
              <w:top w:val="single" w:sz="4" w:space="0" w:color="auto"/>
              <w:left w:val="nil"/>
              <w:bottom w:val="single" w:sz="4" w:space="0" w:color="auto"/>
              <w:right w:val="nil"/>
            </w:tcBorders>
            <w:shd w:val="solid" w:color="002395" w:fill="002395"/>
            <w:hideMark/>
          </w:tcPr>
          <w:p w:rsidR="00EA45F9" w:rsidRPr="009B5734" w:rsidRDefault="00EA45F9" w:rsidP="00981615">
            <w:pPr>
              <w:pStyle w:val="TableHeadingWhite"/>
              <w:spacing w:line="276" w:lineRule="auto"/>
              <w:ind w:left="170" w:firstLine="0"/>
              <w:jc w:val="center"/>
              <w:rPr>
                <w:noProof/>
                <w:sz w:val="18"/>
                <w:szCs w:val="20"/>
              </w:rPr>
            </w:pPr>
            <w:r w:rsidRPr="009B5734">
              <w:rPr>
                <w:noProof/>
                <w:sz w:val="18"/>
                <w:szCs w:val="20"/>
              </w:rPr>
              <w:t>Source</w:t>
            </w:r>
          </w:p>
        </w:tc>
      </w:tr>
      <w:tr w:rsidR="00EA45F9" w:rsidRPr="009B5734" w:rsidTr="00981615">
        <w:trPr>
          <w:trHeight w:val="391"/>
        </w:trPr>
        <w:tc>
          <w:tcPr>
            <w:tcW w:w="5000" w:type="pct"/>
            <w:gridSpan w:val="3"/>
            <w:tcBorders>
              <w:top w:val="single" w:sz="4" w:space="0" w:color="auto"/>
              <w:left w:val="nil"/>
              <w:bottom w:val="single" w:sz="4" w:space="0" w:color="auto"/>
              <w:right w:val="nil"/>
            </w:tcBorders>
            <w:shd w:val="clear" w:color="auto" w:fill="DBE5F1" w:themeFill="accent1" w:themeFillTint="33"/>
            <w:hideMark/>
          </w:tcPr>
          <w:p w:rsidR="00EA45F9" w:rsidRPr="009B5734" w:rsidRDefault="00EA45F9" w:rsidP="00981615">
            <w:pPr>
              <w:pStyle w:val="TableHeadingWhite"/>
              <w:spacing w:line="276" w:lineRule="auto"/>
              <w:ind w:left="170" w:firstLine="0"/>
              <w:rPr>
                <w:noProof/>
                <w:sz w:val="18"/>
                <w:szCs w:val="20"/>
              </w:rPr>
            </w:pPr>
            <w:r w:rsidRPr="009B5734">
              <w:rPr>
                <w:noProof/>
                <w:sz w:val="18"/>
                <w:szCs w:val="20"/>
              </w:rPr>
              <w:t>Third-parties (assumption based on the contact list developed during the study: about 20 per Member State)</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Familiarization with the measure</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jc w:val="center"/>
              <w:rPr>
                <w:i/>
                <w:iCs/>
                <w:noProof/>
                <w:color w:val="000000" w:themeColor="text1"/>
                <w:sz w:val="18"/>
                <w:szCs w:val="20"/>
              </w:rPr>
            </w:pPr>
            <w:r w:rsidRPr="009B5734">
              <w:rPr>
                <w:i/>
                <w:iCs/>
                <w:noProof/>
                <w:sz w:val="18"/>
                <w:szCs w:val="20"/>
              </w:rPr>
              <w:t xml:space="preserve">This includes not only identifying the new obligations imposed by the measure but also analysing the steps that need to be taken to comply with it </w:t>
            </w:r>
          </w:p>
          <w:p w:rsidR="00EA45F9" w:rsidRPr="009B5734" w:rsidRDefault="00EA45F9" w:rsidP="00981615">
            <w:pPr>
              <w:pStyle w:val="TableTextNoSpace"/>
              <w:spacing w:line="276" w:lineRule="auto"/>
              <w:ind w:left="93" w:hanging="93"/>
              <w:rPr>
                <w:noProof/>
                <w:sz w:val="18"/>
                <w:szCs w:val="20"/>
              </w:rPr>
            </w:pPr>
            <w:r w:rsidRPr="009B5734">
              <w:rPr>
                <w:noProof/>
                <w:sz w:val="18"/>
                <w:szCs w:val="20"/>
              </w:rPr>
              <w:t>35h legal team, 35h employees</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Expert judgement by a panel based on data available for other measures</w:t>
            </w:r>
          </w:p>
        </w:tc>
      </w:tr>
      <w:tr w:rsidR="00EA45F9" w:rsidRPr="009B5734" w:rsidTr="00981615">
        <w:trPr>
          <w:trHeight w:val="957"/>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Training</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jc w:val="center"/>
              <w:rPr>
                <w:i/>
                <w:iCs/>
                <w:noProof/>
                <w:color w:val="000000" w:themeColor="text1"/>
                <w:sz w:val="18"/>
                <w:szCs w:val="20"/>
              </w:rPr>
            </w:pPr>
            <w:r w:rsidRPr="009B5734">
              <w:rPr>
                <w:i/>
                <w:iCs/>
                <w:noProof/>
                <w:sz w:val="18"/>
                <w:szCs w:val="20"/>
              </w:rPr>
              <w:t>This includes an initial training of managers and key employees</w:t>
            </w:r>
          </w:p>
          <w:p w:rsidR="00EA45F9" w:rsidRPr="009B5734" w:rsidRDefault="00EA45F9" w:rsidP="00981615">
            <w:pPr>
              <w:pStyle w:val="TableTextNoSpace"/>
              <w:spacing w:line="276" w:lineRule="auto"/>
              <w:ind w:left="93" w:hanging="93"/>
              <w:rPr>
                <w:noProof/>
                <w:sz w:val="18"/>
                <w:szCs w:val="20"/>
              </w:rPr>
            </w:pPr>
            <w:r w:rsidRPr="009B5734">
              <w:rPr>
                <w:noProof/>
                <w:sz w:val="18"/>
                <w:szCs w:val="20"/>
              </w:rPr>
              <w:t>1h manager + 7h employees</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Expert judgement by a panel based on data available for other measures</w:t>
            </w:r>
          </w:p>
        </w:tc>
      </w:tr>
      <w:tr w:rsidR="00EA45F9" w:rsidRPr="009B5734" w:rsidTr="00981615">
        <w:trPr>
          <w:trHeight w:val="558"/>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Retrieving relevant information from existing data and adjusting existing data (including adapting system to retrieve information)</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93" w:hanging="93"/>
              <w:jc w:val="center"/>
              <w:rPr>
                <w:i/>
                <w:iCs/>
                <w:noProof/>
                <w:color w:val="000000" w:themeColor="text1"/>
                <w:sz w:val="18"/>
                <w:szCs w:val="20"/>
              </w:rPr>
            </w:pPr>
            <w:r w:rsidRPr="009B5734">
              <w:rPr>
                <w:i/>
                <w:iCs/>
                <w:noProof/>
                <w:sz w:val="18"/>
                <w:szCs w:val="20"/>
              </w:rPr>
              <w:t>This includes identifying and compiling all the information available regarding early failure of products</w:t>
            </w:r>
          </w:p>
          <w:p w:rsidR="00EA45F9" w:rsidRPr="009B5734" w:rsidRDefault="00EA45F9" w:rsidP="00981615">
            <w:pPr>
              <w:pStyle w:val="TableTextNoSpace"/>
              <w:spacing w:line="276" w:lineRule="auto"/>
              <w:ind w:left="93" w:hanging="93"/>
              <w:rPr>
                <w:noProof/>
                <w:sz w:val="36"/>
                <w:szCs w:val="40"/>
              </w:rPr>
            </w:pPr>
            <w:r w:rsidRPr="009B5734">
              <w:rPr>
                <w:noProof/>
                <w:sz w:val="18"/>
                <w:szCs w:val="20"/>
              </w:rPr>
              <w:t>35h of employee</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firstLine="0"/>
              <w:rPr>
                <w:i/>
                <w:iCs/>
                <w:noProof/>
                <w:sz w:val="18"/>
                <w:szCs w:val="20"/>
              </w:rPr>
            </w:pPr>
            <w:r w:rsidRPr="009B5734">
              <w:rPr>
                <w:noProof/>
                <w:sz w:val="18"/>
                <w:szCs w:val="20"/>
              </w:rPr>
              <w:t xml:space="preserve">Expert judgement by a panel </w:t>
            </w:r>
          </w:p>
        </w:tc>
      </w:tr>
      <w:tr w:rsidR="00EA45F9" w:rsidRPr="009B5734" w:rsidTr="00981615">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Updating data</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spacing w:line="276" w:lineRule="auto"/>
              <w:ind w:left="93" w:hanging="93"/>
              <w:rPr>
                <w:noProof/>
                <w:color w:val="000000" w:themeColor="text1"/>
                <w:sz w:val="18"/>
                <w:szCs w:val="20"/>
              </w:rPr>
            </w:pPr>
            <w:r w:rsidRPr="009B5734">
              <w:rPr>
                <w:noProof/>
                <w:sz w:val="18"/>
                <w:szCs w:val="20"/>
              </w:rPr>
              <w:t>14h adjust website and 2h per month to update the website in case of new relevant data.</w:t>
            </w:r>
          </w:p>
        </w:tc>
        <w:tc>
          <w:tcPr>
            <w:tcW w:w="1335" w:type="pct"/>
            <w:tcBorders>
              <w:top w:val="single" w:sz="4" w:space="0" w:color="auto"/>
              <w:left w:val="nil"/>
              <w:bottom w:val="single" w:sz="4" w:space="0" w:color="auto"/>
              <w:right w:val="nil"/>
            </w:tcBorders>
            <w:shd w:val="clear" w:color="auto" w:fill="auto"/>
            <w:vAlign w:val="center"/>
            <w:hideMark/>
          </w:tcPr>
          <w:p w:rsidR="00EA45F9" w:rsidRPr="009B5734" w:rsidRDefault="00EA45F9" w:rsidP="00981615">
            <w:pPr>
              <w:pStyle w:val="TableTextNoSpace"/>
              <w:spacing w:line="276" w:lineRule="auto"/>
              <w:ind w:left="170" w:firstLine="0"/>
              <w:rPr>
                <w:iCs/>
                <w:noProof/>
                <w:sz w:val="18"/>
                <w:szCs w:val="20"/>
              </w:rPr>
            </w:pPr>
            <w:r w:rsidRPr="009B5734">
              <w:rPr>
                <w:iCs/>
                <w:noProof/>
                <w:sz w:val="18"/>
                <w:szCs w:val="20"/>
              </w:rPr>
              <w:t>Market research and e</w:t>
            </w:r>
            <w:r w:rsidRPr="009B5734">
              <w:rPr>
                <w:noProof/>
                <w:sz w:val="18"/>
                <w:szCs w:val="20"/>
              </w:rPr>
              <w:t>xpert judgement by a panel based on data available for other measures</w:t>
            </w:r>
          </w:p>
        </w:tc>
      </w:tr>
    </w:tbl>
    <w:p w:rsidR="00EA45F9" w:rsidRPr="009B5734" w:rsidRDefault="00EA45F9" w:rsidP="00EA45F9">
      <w:pPr>
        <w:rPr>
          <w:rFonts w:ascii="Verdana" w:hAnsi="Verdana"/>
          <w:noProof/>
          <w:color w:val="000000" w:themeColor="text1"/>
          <w:sz w:val="20"/>
        </w:rPr>
      </w:pPr>
    </w:p>
    <w:p w:rsidR="00EA45F9" w:rsidRPr="009B5734" w:rsidRDefault="00EA45F9" w:rsidP="00EA45F9">
      <w:pPr>
        <w:pStyle w:val="Titlecost"/>
        <w:rPr>
          <w:rFonts w:ascii="Times New Roman" w:hAnsi="Times New Roman" w:cs="Times New Roman"/>
          <w:noProof/>
          <w:sz w:val="24"/>
          <w:szCs w:val="24"/>
        </w:rPr>
      </w:pPr>
      <w:r w:rsidRPr="009B5734">
        <w:rPr>
          <w:rFonts w:ascii="Times New Roman" w:hAnsi="Times New Roman" w:cs="Times New Roman"/>
          <w:noProof/>
          <w:sz w:val="24"/>
          <w:szCs w:val="24"/>
        </w:rPr>
        <w:t>Enforcement costs</w:t>
      </w:r>
    </w:p>
    <w:p w:rsidR="00EA45F9" w:rsidRPr="009B5734" w:rsidRDefault="00EA45F9" w:rsidP="00EA45F9">
      <w:pPr>
        <w:ind w:left="0" w:firstLine="0"/>
        <w:rPr>
          <w:rFonts w:ascii="Times New Roman" w:hAnsi="Times New Roman" w:cs="Times New Roman"/>
          <w:noProof/>
          <w:sz w:val="24"/>
          <w:szCs w:val="24"/>
        </w:rPr>
      </w:pPr>
      <w:bookmarkStart w:id="610" w:name="_Hlk58503914"/>
      <w:bookmarkStart w:id="611" w:name="_Hlk58503927"/>
      <w:r w:rsidRPr="009B5734">
        <w:rPr>
          <w:rFonts w:ascii="Times New Roman" w:hAnsi="Times New Roman" w:cs="Times New Roman"/>
          <w:noProof/>
          <w:sz w:val="24"/>
          <w:szCs w:val="24"/>
        </w:rPr>
        <w:t>Based on interviews with some CPC authorities, it is assumed that the measure would not require significant additional resources on top of the existing ones to enforce UCPD.</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We therefore assume that the measure will require Full Time Equivalent (per Member State), with 50% of their time devoted to surveillance, 25% devoted to inspections and 25% to handling complaints.</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We assumed 35h for one person getting familiarized with the measure and adjust the internal procedures to start enforcing the measure. 16 employees will receive a 3.5h training.</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The costs of adjudication are expected to be in line with the unit costs presented in the previous measures. </w:t>
      </w:r>
    </w:p>
    <w:bookmarkEnd w:id="610"/>
    <w:bookmarkEnd w:id="611"/>
    <w:p w:rsidR="00EA45F9" w:rsidRPr="009B5734" w:rsidRDefault="00EA45F9" w:rsidP="00EA45F9">
      <w:pPr>
        <w:pStyle w:val="Titlecost"/>
        <w:rPr>
          <w:rFonts w:ascii="Times New Roman" w:hAnsi="Times New Roman" w:cs="Times New Roman"/>
          <w:noProof/>
          <w:sz w:val="24"/>
          <w:szCs w:val="24"/>
        </w:rPr>
      </w:pPr>
      <w:r w:rsidRPr="009B5734">
        <w:rPr>
          <w:rFonts w:ascii="Times New Roman" w:hAnsi="Times New Roman" w:cs="Times New Roman"/>
          <w:noProof/>
          <w:sz w:val="24"/>
          <w:szCs w:val="24"/>
        </w:rPr>
        <w:t>Impact on monetisable consumer welfare</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approach followed to monetise the consumer welfare is illustrated in the figure below.</w:t>
      </w:r>
    </w:p>
    <w:p w:rsidR="00EA45F9" w:rsidRPr="009B5734" w:rsidRDefault="00EA45F9" w:rsidP="00EA45F9">
      <w:pPr>
        <w:rPr>
          <w:noProof/>
        </w:rPr>
      </w:pPr>
      <w:r w:rsidRPr="009B5734">
        <w:rPr>
          <w:noProof/>
          <w:lang w:eastAsia="en-GB"/>
        </w:rPr>
        <w:drawing>
          <wp:inline distT="0" distB="0" distL="0" distR="0" wp14:anchorId="3535BA4D" wp14:editId="6938D943">
            <wp:extent cx="5574665" cy="198628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74665" cy="1986280"/>
                    </a:xfrm>
                    <a:prstGeom prst="rect">
                      <a:avLst/>
                    </a:prstGeom>
                    <a:noFill/>
                    <a:ln>
                      <a:noFill/>
                    </a:ln>
                  </pic:spPr>
                </pic:pic>
              </a:graphicData>
            </a:graphic>
          </wp:inline>
        </w:drawing>
      </w:r>
    </w:p>
    <w:p w:rsidR="00EA45F9" w:rsidRPr="009B5734" w:rsidRDefault="00EA45F9" w:rsidP="00EA45F9">
      <w:pPr>
        <w:rPr>
          <w:noProof/>
        </w:rPr>
      </w:pPr>
    </w:p>
    <w:tbl>
      <w:tblPr>
        <w:tblW w:w="4916" w:type="pct"/>
        <w:tblBorders>
          <w:top w:val="single" w:sz="4" w:space="0" w:color="auto"/>
          <w:bottom w:val="single" w:sz="4" w:space="0" w:color="auto"/>
          <w:insideH w:val="single" w:sz="4" w:space="0" w:color="auto"/>
        </w:tblBorders>
        <w:shd w:val="solid" w:color="F2F2F2" w:fill="F2F2F2"/>
        <w:tblCellMar>
          <w:left w:w="0" w:type="dxa"/>
          <w:right w:w="0" w:type="dxa"/>
        </w:tblCellMar>
        <w:tblLook w:val="04A0" w:firstRow="1" w:lastRow="0" w:firstColumn="1" w:lastColumn="0" w:noHBand="0" w:noVBand="1"/>
      </w:tblPr>
      <w:tblGrid>
        <w:gridCol w:w="1854"/>
        <w:gridCol w:w="4356"/>
        <w:gridCol w:w="2262"/>
      </w:tblGrid>
      <w:tr w:rsidR="00EA45F9" w:rsidRPr="009B5734" w:rsidTr="00981615">
        <w:trPr>
          <w:trHeight w:val="727"/>
        </w:trPr>
        <w:tc>
          <w:tcPr>
            <w:tcW w:w="1094" w:type="pct"/>
            <w:tcBorders>
              <w:top w:val="single" w:sz="4" w:space="0" w:color="auto"/>
              <w:left w:val="nil"/>
              <w:bottom w:val="single" w:sz="4" w:space="0" w:color="auto"/>
              <w:right w:val="nil"/>
            </w:tcBorders>
            <w:shd w:val="solid" w:color="002395" w:fill="002395"/>
          </w:tcPr>
          <w:p w:rsidR="00EA45F9" w:rsidRPr="009B5734" w:rsidRDefault="00EA45F9" w:rsidP="00981615">
            <w:pPr>
              <w:pStyle w:val="TableHeadingWhite"/>
              <w:spacing w:line="276" w:lineRule="auto"/>
              <w:ind w:left="142" w:hanging="142"/>
              <w:rPr>
                <w:noProof/>
                <w:sz w:val="18"/>
                <w:szCs w:val="20"/>
              </w:rPr>
            </w:pPr>
          </w:p>
        </w:tc>
        <w:tc>
          <w:tcPr>
            <w:tcW w:w="2571" w:type="pct"/>
            <w:tcBorders>
              <w:top w:val="single" w:sz="4" w:space="0" w:color="auto"/>
              <w:left w:val="nil"/>
              <w:bottom w:val="single" w:sz="4" w:space="0" w:color="auto"/>
              <w:right w:val="nil"/>
            </w:tcBorders>
            <w:shd w:val="solid" w:color="002395" w:fill="002395"/>
            <w:hideMark/>
          </w:tcPr>
          <w:p w:rsidR="00EA45F9" w:rsidRPr="009B5734" w:rsidRDefault="00EA45F9" w:rsidP="00981615">
            <w:pPr>
              <w:pStyle w:val="TableHeadingWhite"/>
              <w:spacing w:line="276" w:lineRule="auto"/>
              <w:ind w:left="127" w:hanging="127"/>
              <w:jc w:val="center"/>
              <w:rPr>
                <w:noProof/>
                <w:sz w:val="18"/>
                <w:szCs w:val="20"/>
              </w:rPr>
            </w:pPr>
            <w:r w:rsidRPr="009B5734">
              <w:rPr>
                <w:noProof/>
                <w:sz w:val="18"/>
                <w:szCs w:val="20"/>
              </w:rPr>
              <w:t>Assumption</w:t>
            </w:r>
          </w:p>
        </w:tc>
        <w:tc>
          <w:tcPr>
            <w:tcW w:w="1335" w:type="pct"/>
            <w:tcBorders>
              <w:top w:val="single" w:sz="4" w:space="0" w:color="auto"/>
              <w:left w:val="nil"/>
              <w:bottom w:val="single" w:sz="4" w:space="0" w:color="auto"/>
              <w:right w:val="nil"/>
            </w:tcBorders>
            <w:shd w:val="solid" w:color="002395" w:fill="002395"/>
            <w:hideMark/>
          </w:tcPr>
          <w:p w:rsidR="00EA45F9" w:rsidRPr="009B5734" w:rsidRDefault="00EA45F9" w:rsidP="00981615">
            <w:pPr>
              <w:pStyle w:val="TableHeadingWhite"/>
              <w:spacing w:line="276" w:lineRule="auto"/>
              <w:ind w:left="170" w:firstLine="0"/>
              <w:jc w:val="center"/>
              <w:rPr>
                <w:noProof/>
                <w:sz w:val="18"/>
                <w:szCs w:val="20"/>
              </w:rPr>
            </w:pPr>
            <w:r w:rsidRPr="009B5734">
              <w:rPr>
                <w:noProof/>
                <w:sz w:val="18"/>
                <w:szCs w:val="20"/>
              </w:rPr>
              <w:t>Source</w:t>
            </w:r>
          </w:p>
        </w:tc>
      </w:tr>
      <w:tr w:rsidR="00EA45F9" w:rsidRPr="009B5734" w:rsidTr="00981615">
        <w:trPr>
          <w:trHeight w:val="759"/>
        </w:trPr>
        <w:tc>
          <w:tcPr>
            <w:tcW w:w="1094"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hanging="142"/>
              <w:rPr>
                <w:b/>
                <w:bCs/>
                <w:noProof/>
                <w:sz w:val="18"/>
                <w:szCs w:val="20"/>
              </w:rPr>
            </w:pPr>
            <w:r w:rsidRPr="009B5734">
              <w:rPr>
                <w:b/>
                <w:bCs/>
                <w:noProof/>
                <w:sz w:val="18"/>
                <w:szCs w:val="20"/>
              </w:rPr>
              <w:t>Share of early failures</w:t>
            </w:r>
          </w:p>
        </w:tc>
        <w:tc>
          <w:tcPr>
            <w:tcW w:w="2571"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27" w:hanging="127"/>
              <w:jc w:val="center"/>
              <w:rPr>
                <w:noProof/>
                <w:color w:val="000000" w:themeColor="text1"/>
                <w:sz w:val="18"/>
                <w:szCs w:val="20"/>
              </w:rPr>
            </w:pPr>
            <w:r w:rsidRPr="009B5734">
              <w:rPr>
                <w:noProof/>
                <w:sz w:val="18"/>
                <w:szCs w:val="20"/>
              </w:rPr>
              <w:t>6%-20% depending on the product (for 60% scenario)</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 xml:space="preserve">Consumer survey </w:t>
            </w:r>
          </w:p>
        </w:tc>
      </w:tr>
      <w:tr w:rsidR="00EA45F9" w:rsidRPr="009B5734" w:rsidTr="00981615">
        <w:trPr>
          <w:trHeight w:val="759"/>
        </w:trPr>
        <w:tc>
          <w:tcPr>
            <w:tcW w:w="1094"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hanging="142"/>
              <w:rPr>
                <w:b/>
                <w:bCs/>
                <w:noProof/>
                <w:sz w:val="18"/>
                <w:szCs w:val="20"/>
              </w:rPr>
            </w:pPr>
            <w:r w:rsidRPr="009B5734">
              <w:rPr>
                <w:b/>
                <w:bCs/>
                <w:noProof/>
                <w:sz w:val="18"/>
                <w:szCs w:val="20"/>
              </w:rPr>
              <w:t>Average price of goods</w:t>
            </w:r>
          </w:p>
        </w:tc>
        <w:tc>
          <w:tcPr>
            <w:tcW w:w="2571"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27" w:hanging="127"/>
              <w:jc w:val="center"/>
              <w:rPr>
                <w:noProof/>
                <w:color w:val="000000" w:themeColor="text1"/>
                <w:sz w:val="18"/>
                <w:szCs w:val="20"/>
              </w:rPr>
            </w:pPr>
            <w:r w:rsidRPr="009B5734">
              <w:rPr>
                <w:noProof/>
                <w:sz w:val="18"/>
                <w:szCs w:val="20"/>
              </w:rPr>
              <w:t>Depends on the good</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 xml:space="preserve">Statista </w:t>
            </w:r>
          </w:p>
        </w:tc>
      </w:tr>
      <w:tr w:rsidR="00EA45F9" w:rsidRPr="009B5734" w:rsidTr="00981615">
        <w:trPr>
          <w:trHeight w:val="759"/>
        </w:trPr>
        <w:tc>
          <w:tcPr>
            <w:tcW w:w="1094"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hanging="142"/>
              <w:rPr>
                <w:b/>
                <w:bCs/>
                <w:noProof/>
                <w:sz w:val="18"/>
                <w:szCs w:val="20"/>
              </w:rPr>
            </w:pPr>
            <w:r w:rsidRPr="009B5734">
              <w:rPr>
                <w:b/>
                <w:bCs/>
                <w:noProof/>
                <w:sz w:val="18"/>
                <w:szCs w:val="20"/>
              </w:rPr>
              <w:t>Additional lifespan as a result of the improvement</w:t>
            </w:r>
          </w:p>
        </w:tc>
        <w:tc>
          <w:tcPr>
            <w:tcW w:w="2571"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27" w:hanging="127"/>
              <w:jc w:val="center"/>
              <w:rPr>
                <w:noProof/>
                <w:color w:val="000000" w:themeColor="text1"/>
                <w:sz w:val="18"/>
                <w:szCs w:val="20"/>
              </w:rPr>
            </w:pPr>
            <w:r w:rsidRPr="009B5734">
              <w:rPr>
                <w:noProof/>
                <w:sz w:val="18"/>
                <w:szCs w:val="20"/>
              </w:rPr>
              <w:t>40% or 25% (depending on the scenario 60% or 75%)</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70" w:firstLine="0"/>
              <w:rPr>
                <w:noProof/>
                <w:sz w:val="18"/>
                <w:szCs w:val="20"/>
              </w:rPr>
            </w:pPr>
            <w:r w:rsidRPr="009B5734">
              <w:rPr>
                <w:noProof/>
                <w:sz w:val="18"/>
                <w:szCs w:val="20"/>
              </w:rPr>
              <w:t>NA</w:t>
            </w:r>
          </w:p>
        </w:tc>
      </w:tr>
    </w:tbl>
    <w:p w:rsidR="00EA45F9" w:rsidRPr="009B5734" w:rsidRDefault="00EA45F9" w:rsidP="00EA45F9">
      <w:pPr>
        <w:rPr>
          <w:rFonts w:ascii="Verdana" w:hAnsi="Verdana"/>
          <w:noProof/>
          <w:color w:val="000000" w:themeColor="text1"/>
          <w:sz w:val="20"/>
        </w:rPr>
      </w:pPr>
    </w:p>
    <w:p w:rsidR="00EA45F9" w:rsidRPr="009B5734" w:rsidRDefault="00EA45F9" w:rsidP="00EA45F9">
      <w:pPr>
        <w:pStyle w:val="Heading5"/>
        <w:rPr>
          <w:rFonts w:ascii="Times New Roman" w:hAnsi="Times New Roman" w:cs="Times New Roman"/>
          <w:i w:val="0"/>
          <w:noProof/>
          <w:sz w:val="24"/>
        </w:rPr>
      </w:pPr>
      <w:r w:rsidRPr="009B5734">
        <w:rPr>
          <w:rFonts w:ascii="Times New Roman" w:hAnsi="Times New Roman" w:cs="Times New Roman"/>
          <w:i w:val="0"/>
          <w:noProof/>
          <w:sz w:val="24"/>
        </w:rPr>
        <w:t>Option 2.1.</w:t>
      </w:r>
      <w:r w:rsidRPr="009B5734" w:rsidDel="0073298F">
        <w:rPr>
          <w:rFonts w:ascii="Times New Roman" w:hAnsi="Times New Roman" w:cs="Times New Roman"/>
          <w:i w:val="0"/>
          <w:noProof/>
          <w:sz w:val="24"/>
        </w:rPr>
        <w:t>B</w:t>
      </w:r>
      <w:r w:rsidRPr="009B5734">
        <w:rPr>
          <w:rFonts w:ascii="Times New Roman" w:hAnsi="Times New Roman" w:cs="Times New Roman"/>
          <w:i w:val="0"/>
          <w:noProof/>
          <w:sz w:val="24"/>
        </w:rPr>
        <w:t>. Ban of certain identified practices associated to early obsolescence</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incidence of banned practices is not known. For this reason we monetised the costs and benefits for two scenarios for the incidence of the banned practices (i.e., the percentage of early failures that are due to the practices that will be banned under the measure): 15% and 30%.</w:t>
      </w:r>
    </w:p>
    <w:p w:rsidR="00EA45F9" w:rsidRPr="009B5734" w:rsidRDefault="00EA45F9" w:rsidP="00EA45F9">
      <w:pPr>
        <w:pStyle w:val="Titlecost"/>
        <w:rPr>
          <w:noProof/>
        </w:rPr>
      </w:pPr>
      <w:r w:rsidRPr="009B5734">
        <w:rPr>
          <w:noProof/>
        </w:rPr>
        <w:t>Substantive Compliance Costs</w:t>
      </w:r>
    </w:p>
    <w:tbl>
      <w:tblPr>
        <w:tblW w:w="4916" w:type="pct"/>
        <w:tblBorders>
          <w:top w:val="single" w:sz="4" w:space="0" w:color="auto"/>
          <w:bottom w:val="single" w:sz="4" w:space="0" w:color="auto"/>
          <w:insideH w:val="single" w:sz="4" w:space="0" w:color="auto"/>
        </w:tblBorders>
        <w:shd w:val="solid" w:color="F2F2F2" w:fill="F2F2F2"/>
        <w:tblCellMar>
          <w:left w:w="0" w:type="dxa"/>
          <w:right w:w="0" w:type="dxa"/>
        </w:tblCellMar>
        <w:tblLook w:val="04A0" w:firstRow="1" w:lastRow="0" w:firstColumn="1" w:lastColumn="0" w:noHBand="0" w:noVBand="1"/>
      </w:tblPr>
      <w:tblGrid>
        <w:gridCol w:w="1742"/>
        <w:gridCol w:w="4468"/>
        <w:gridCol w:w="2262"/>
      </w:tblGrid>
      <w:tr w:rsidR="00EA45F9" w:rsidRPr="009B5734" w:rsidTr="00981615">
        <w:trPr>
          <w:trHeight w:val="727"/>
        </w:trPr>
        <w:tc>
          <w:tcPr>
            <w:tcW w:w="1028" w:type="pct"/>
            <w:tcBorders>
              <w:top w:val="single" w:sz="4" w:space="0" w:color="auto"/>
              <w:left w:val="nil"/>
              <w:bottom w:val="single" w:sz="4" w:space="0" w:color="auto"/>
              <w:right w:val="nil"/>
            </w:tcBorders>
            <w:shd w:val="solid" w:color="002395" w:fill="002395"/>
          </w:tcPr>
          <w:p w:rsidR="00EA45F9" w:rsidRPr="009B5734" w:rsidRDefault="00EA45F9" w:rsidP="00981615">
            <w:pPr>
              <w:pStyle w:val="TableHeadingWhite"/>
              <w:spacing w:line="276" w:lineRule="auto"/>
              <w:ind w:left="142" w:firstLine="0"/>
              <w:rPr>
                <w:rFonts w:ascii="Arial" w:hAnsi="Arial" w:cs="Arial"/>
                <w:noProof/>
                <w:sz w:val="18"/>
                <w:szCs w:val="20"/>
              </w:rPr>
            </w:pPr>
          </w:p>
        </w:tc>
        <w:tc>
          <w:tcPr>
            <w:tcW w:w="2637" w:type="pct"/>
            <w:tcBorders>
              <w:top w:val="single" w:sz="4" w:space="0" w:color="auto"/>
              <w:left w:val="nil"/>
              <w:bottom w:val="single" w:sz="4" w:space="0" w:color="auto"/>
              <w:right w:val="nil"/>
            </w:tcBorders>
            <w:shd w:val="solid" w:color="002395" w:fill="002395"/>
            <w:hideMark/>
          </w:tcPr>
          <w:p w:rsidR="00EA45F9" w:rsidRPr="009B5734" w:rsidRDefault="00EA45F9" w:rsidP="00981615">
            <w:pPr>
              <w:pStyle w:val="TableHeadingWhite"/>
              <w:spacing w:line="276" w:lineRule="auto"/>
              <w:ind w:left="101" w:firstLine="0"/>
              <w:jc w:val="center"/>
              <w:rPr>
                <w:rFonts w:ascii="Arial" w:hAnsi="Arial" w:cs="Arial"/>
                <w:noProof/>
                <w:sz w:val="18"/>
                <w:szCs w:val="20"/>
              </w:rPr>
            </w:pPr>
            <w:r w:rsidRPr="009B5734">
              <w:rPr>
                <w:rFonts w:ascii="Arial" w:hAnsi="Arial" w:cs="Arial"/>
                <w:noProof/>
                <w:sz w:val="18"/>
                <w:szCs w:val="20"/>
              </w:rPr>
              <w:t>Assumption</w:t>
            </w:r>
          </w:p>
        </w:tc>
        <w:tc>
          <w:tcPr>
            <w:tcW w:w="1335" w:type="pct"/>
            <w:tcBorders>
              <w:top w:val="single" w:sz="4" w:space="0" w:color="auto"/>
              <w:left w:val="nil"/>
              <w:bottom w:val="single" w:sz="4" w:space="0" w:color="auto"/>
              <w:right w:val="nil"/>
            </w:tcBorders>
            <w:shd w:val="solid" w:color="002395" w:fill="002395"/>
            <w:hideMark/>
          </w:tcPr>
          <w:p w:rsidR="00EA45F9" w:rsidRPr="009B5734" w:rsidRDefault="00EA45F9" w:rsidP="00981615">
            <w:pPr>
              <w:pStyle w:val="TableHeadingWhite"/>
              <w:spacing w:line="276" w:lineRule="auto"/>
              <w:ind w:left="169" w:firstLine="0"/>
              <w:jc w:val="center"/>
              <w:rPr>
                <w:rFonts w:ascii="Arial" w:hAnsi="Arial" w:cs="Arial"/>
                <w:noProof/>
                <w:sz w:val="18"/>
                <w:szCs w:val="20"/>
              </w:rPr>
            </w:pPr>
            <w:r w:rsidRPr="009B5734">
              <w:rPr>
                <w:rFonts w:ascii="Arial" w:hAnsi="Arial" w:cs="Arial"/>
                <w:noProof/>
                <w:sz w:val="18"/>
                <w:szCs w:val="20"/>
              </w:rPr>
              <w:t>Source</w:t>
            </w:r>
          </w:p>
        </w:tc>
      </w:tr>
      <w:tr w:rsidR="00EA45F9" w:rsidRPr="009B5734" w:rsidTr="00981615">
        <w:trPr>
          <w:trHeight w:val="391"/>
        </w:trPr>
        <w:tc>
          <w:tcPr>
            <w:tcW w:w="5000" w:type="pct"/>
            <w:gridSpan w:val="3"/>
            <w:tcBorders>
              <w:top w:val="single" w:sz="4" w:space="0" w:color="auto"/>
              <w:left w:val="nil"/>
              <w:bottom w:val="single" w:sz="4" w:space="0" w:color="auto"/>
              <w:right w:val="nil"/>
            </w:tcBorders>
            <w:shd w:val="clear" w:color="auto" w:fill="DBE5F1" w:themeFill="accent1" w:themeFillTint="33"/>
            <w:hideMark/>
          </w:tcPr>
          <w:p w:rsidR="00EA45F9" w:rsidRPr="009B5734" w:rsidRDefault="00EA45F9" w:rsidP="00981615">
            <w:pPr>
              <w:pStyle w:val="TableHeadingWhite"/>
              <w:spacing w:line="276" w:lineRule="auto"/>
              <w:ind w:left="169" w:firstLine="0"/>
              <w:rPr>
                <w:rFonts w:ascii="Arial" w:hAnsi="Arial" w:cs="Arial"/>
                <w:noProof/>
                <w:sz w:val="18"/>
                <w:szCs w:val="20"/>
              </w:rPr>
            </w:pPr>
            <w:r w:rsidRPr="009B5734">
              <w:rPr>
                <w:rFonts w:ascii="Arial" w:hAnsi="Arial" w:cs="Arial"/>
                <w:noProof/>
                <w:sz w:val="18"/>
                <w:szCs w:val="20"/>
              </w:rPr>
              <w:t xml:space="preserve">Manufacturers (excluding those that only produce components) </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rFonts w:cs="Arial"/>
                <w:b/>
                <w:bCs/>
                <w:noProof/>
                <w:sz w:val="18"/>
                <w:szCs w:val="20"/>
              </w:rPr>
            </w:pPr>
            <w:r w:rsidRPr="009B5734">
              <w:rPr>
                <w:rFonts w:cs="Arial"/>
                <w:b/>
                <w:bCs/>
                <w:noProof/>
                <w:sz w:val="18"/>
                <w:szCs w:val="20"/>
              </w:rPr>
              <w:t>Familiarization with the measure</w:t>
            </w:r>
          </w:p>
          <w:p w:rsidR="00EA45F9" w:rsidRPr="009B5734" w:rsidRDefault="00EA45F9" w:rsidP="00981615">
            <w:pPr>
              <w:pStyle w:val="TableTextNoSpace"/>
              <w:spacing w:line="276" w:lineRule="auto"/>
              <w:ind w:left="142" w:firstLine="0"/>
              <w:rPr>
                <w:rFonts w:cs="Arial"/>
                <w:b/>
                <w:bCs/>
                <w:noProof/>
                <w:sz w:val="18"/>
                <w:szCs w:val="20"/>
              </w:rPr>
            </w:pPr>
            <w:r w:rsidRPr="009B5734">
              <w:rPr>
                <w:rFonts w:cs="Arial"/>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rPr>
                <w:rFonts w:cs="Arial"/>
                <w:i/>
                <w:iCs/>
                <w:noProof/>
                <w:color w:val="000000" w:themeColor="text1"/>
                <w:sz w:val="18"/>
                <w:szCs w:val="20"/>
              </w:rPr>
            </w:pPr>
            <w:r w:rsidRPr="009B5734">
              <w:rPr>
                <w:rFonts w:cs="Arial"/>
                <w:i/>
                <w:iCs/>
                <w:noProof/>
                <w:sz w:val="18"/>
                <w:szCs w:val="20"/>
              </w:rPr>
              <w:t xml:space="preserve">This includes not only identifying the new obligations imposed by the measure but also analysing the steps that need to be taken to comply with it </w:t>
            </w:r>
          </w:p>
          <w:p w:rsidR="00EA45F9" w:rsidRPr="009B5734" w:rsidRDefault="00EA45F9" w:rsidP="00981615">
            <w:pPr>
              <w:pStyle w:val="TableTextNoSpace"/>
              <w:spacing w:line="276" w:lineRule="auto"/>
              <w:ind w:left="101" w:firstLine="0"/>
              <w:rPr>
                <w:rFonts w:cs="Arial"/>
                <w:noProof/>
                <w:sz w:val="18"/>
                <w:szCs w:val="20"/>
              </w:rPr>
            </w:pPr>
            <w:r w:rsidRPr="009B5734">
              <w:rPr>
                <w:rFonts w:cs="Arial"/>
                <w:noProof/>
                <w:sz w:val="18"/>
                <w:szCs w:val="20"/>
              </w:rPr>
              <w:t>SME: [7,35]h legal team, [14,35]h product development team, 7 commercial team</w:t>
            </w:r>
          </w:p>
          <w:p w:rsidR="00EA45F9" w:rsidRPr="009B5734" w:rsidRDefault="00EA45F9" w:rsidP="00981615">
            <w:pPr>
              <w:pStyle w:val="TableTextNoSpace"/>
              <w:spacing w:line="276" w:lineRule="auto"/>
              <w:ind w:left="101" w:firstLine="0"/>
              <w:rPr>
                <w:rFonts w:cs="Arial"/>
                <w:noProof/>
                <w:sz w:val="18"/>
                <w:szCs w:val="20"/>
              </w:rPr>
            </w:pPr>
            <w:r w:rsidRPr="009B5734">
              <w:rPr>
                <w:rFonts w:cs="Arial"/>
                <w:noProof/>
                <w:sz w:val="18"/>
                <w:szCs w:val="20"/>
              </w:rPr>
              <w:t>Large Enterprises:  35h legal team, [35,70]h product development team, 14 commercial team</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69" w:firstLine="0"/>
              <w:rPr>
                <w:rFonts w:cs="Arial"/>
                <w:noProof/>
                <w:sz w:val="18"/>
                <w:szCs w:val="20"/>
              </w:rPr>
            </w:pPr>
            <w:r w:rsidRPr="009B5734">
              <w:rPr>
                <w:rFonts w:cs="Arial"/>
                <w:noProof/>
                <w:sz w:val="18"/>
                <w:szCs w:val="20"/>
              </w:rPr>
              <w:t>Interviews with companies and industry associations</w:t>
            </w:r>
          </w:p>
        </w:tc>
      </w:tr>
      <w:tr w:rsidR="00EA45F9" w:rsidRPr="009B5734" w:rsidTr="00981615">
        <w:trPr>
          <w:trHeight w:val="1263"/>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rFonts w:cs="Arial"/>
                <w:b/>
                <w:bCs/>
                <w:noProof/>
                <w:sz w:val="18"/>
                <w:szCs w:val="20"/>
              </w:rPr>
            </w:pPr>
            <w:r w:rsidRPr="009B5734">
              <w:rPr>
                <w:rFonts w:cs="Arial"/>
                <w:b/>
                <w:bCs/>
                <w:noProof/>
                <w:sz w:val="18"/>
                <w:szCs w:val="20"/>
              </w:rPr>
              <w:t>Training</w:t>
            </w:r>
          </w:p>
          <w:p w:rsidR="00EA45F9" w:rsidRPr="009B5734" w:rsidRDefault="00EA45F9" w:rsidP="00981615">
            <w:pPr>
              <w:pStyle w:val="TableTextNoSpace"/>
              <w:spacing w:line="276" w:lineRule="auto"/>
              <w:ind w:left="142" w:firstLine="0"/>
              <w:rPr>
                <w:rFonts w:cs="Arial"/>
                <w:b/>
                <w:bCs/>
                <w:noProof/>
                <w:sz w:val="18"/>
                <w:szCs w:val="20"/>
              </w:rPr>
            </w:pPr>
            <w:r w:rsidRPr="009B5734">
              <w:rPr>
                <w:rFonts w:cs="Arial"/>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rPr>
                <w:rFonts w:cs="Arial"/>
                <w:i/>
                <w:iCs/>
                <w:noProof/>
                <w:color w:val="000000" w:themeColor="text1"/>
                <w:sz w:val="18"/>
                <w:szCs w:val="20"/>
              </w:rPr>
            </w:pPr>
            <w:r w:rsidRPr="009B5734">
              <w:rPr>
                <w:rFonts w:cs="Arial"/>
                <w:i/>
                <w:iCs/>
                <w:noProof/>
                <w:sz w:val="18"/>
                <w:szCs w:val="20"/>
              </w:rPr>
              <w:t>This includes an initial training of managers and key employees</w:t>
            </w:r>
          </w:p>
          <w:p w:rsidR="00EA45F9" w:rsidRPr="009B5734" w:rsidRDefault="00EA45F9" w:rsidP="00981615">
            <w:pPr>
              <w:pStyle w:val="TableTextNoSpace"/>
              <w:spacing w:line="276" w:lineRule="auto"/>
              <w:ind w:left="101" w:firstLine="0"/>
              <w:rPr>
                <w:rFonts w:cs="Arial"/>
                <w:noProof/>
                <w:sz w:val="18"/>
                <w:szCs w:val="20"/>
              </w:rPr>
            </w:pPr>
            <w:r w:rsidRPr="009B5734">
              <w:rPr>
                <w:rFonts w:cs="Arial"/>
                <w:noProof/>
                <w:sz w:val="18"/>
                <w:szCs w:val="20"/>
              </w:rPr>
              <w:t>SME: 3.5h manager + 10.5h key employees</w:t>
            </w:r>
          </w:p>
          <w:p w:rsidR="00EA45F9" w:rsidRPr="009B5734" w:rsidRDefault="00EA45F9" w:rsidP="00981615">
            <w:pPr>
              <w:pStyle w:val="TableTextNoSpace"/>
              <w:spacing w:line="276" w:lineRule="auto"/>
              <w:ind w:left="101" w:firstLine="0"/>
              <w:rPr>
                <w:rFonts w:cs="Arial"/>
                <w:noProof/>
                <w:sz w:val="18"/>
                <w:szCs w:val="20"/>
              </w:rPr>
            </w:pPr>
            <w:r w:rsidRPr="009B5734">
              <w:rPr>
                <w:rFonts w:cs="Arial"/>
                <w:noProof/>
                <w:sz w:val="18"/>
                <w:szCs w:val="20"/>
              </w:rPr>
              <w:t>Large enterprises: 7h managers + 21h key employees</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69" w:firstLine="0"/>
              <w:rPr>
                <w:rFonts w:cs="Arial"/>
                <w:noProof/>
                <w:sz w:val="18"/>
                <w:szCs w:val="20"/>
              </w:rPr>
            </w:pPr>
            <w:r w:rsidRPr="009B5734">
              <w:rPr>
                <w:rFonts w:cs="Arial"/>
                <w:noProof/>
                <w:sz w:val="18"/>
                <w:szCs w:val="20"/>
              </w:rPr>
              <w:t>Interviews with companies and industry associations</w:t>
            </w:r>
          </w:p>
        </w:tc>
      </w:tr>
      <w:tr w:rsidR="00EA45F9" w:rsidRPr="009B5734" w:rsidTr="00981615">
        <w:trPr>
          <w:trHeight w:val="558"/>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rFonts w:cs="Arial"/>
                <w:b/>
                <w:bCs/>
                <w:noProof/>
                <w:sz w:val="18"/>
                <w:szCs w:val="20"/>
              </w:rPr>
            </w:pPr>
            <w:r w:rsidRPr="009B5734">
              <w:rPr>
                <w:rFonts w:cs="Arial"/>
                <w:b/>
                <w:bCs/>
                <w:noProof/>
                <w:sz w:val="18"/>
                <w:szCs w:val="20"/>
              </w:rPr>
              <w:t>Retrieving relevant information from existing data and adjusting existing data (including adapting system to retrieve information)</w:t>
            </w:r>
          </w:p>
          <w:p w:rsidR="00EA45F9" w:rsidRPr="009B5734" w:rsidRDefault="00EA45F9" w:rsidP="00981615">
            <w:pPr>
              <w:pStyle w:val="TableTextNoSpace"/>
              <w:spacing w:line="276" w:lineRule="auto"/>
              <w:ind w:left="142" w:firstLine="0"/>
              <w:rPr>
                <w:rFonts w:cs="Arial"/>
                <w:b/>
                <w:bCs/>
                <w:noProof/>
                <w:sz w:val="18"/>
                <w:szCs w:val="20"/>
              </w:rPr>
            </w:pPr>
            <w:r w:rsidRPr="009B5734">
              <w:rPr>
                <w:rFonts w:cs="Arial"/>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rPr>
                <w:rFonts w:cs="Arial"/>
                <w:i/>
                <w:iCs/>
                <w:noProof/>
                <w:color w:val="000000" w:themeColor="text1"/>
                <w:sz w:val="18"/>
                <w:szCs w:val="20"/>
              </w:rPr>
            </w:pPr>
            <w:r w:rsidRPr="009B5734">
              <w:rPr>
                <w:rFonts w:cs="Arial"/>
                <w:i/>
                <w:iCs/>
                <w:noProof/>
                <w:sz w:val="18"/>
                <w:szCs w:val="20"/>
              </w:rPr>
              <w:t>This includes identifying and compiling all the information available to ensure that banned practices are being practices and if they are to ensure the procedures are put in place to address them</w:t>
            </w:r>
          </w:p>
          <w:p w:rsidR="00EA45F9" w:rsidRPr="009B5734" w:rsidRDefault="00EA45F9" w:rsidP="00981615">
            <w:pPr>
              <w:pStyle w:val="TableTextNoSpace"/>
              <w:spacing w:line="276" w:lineRule="auto"/>
              <w:ind w:left="101" w:firstLine="0"/>
              <w:rPr>
                <w:rFonts w:cs="Arial"/>
                <w:noProof/>
                <w:sz w:val="18"/>
                <w:szCs w:val="20"/>
              </w:rPr>
            </w:pPr>
            <w:r w:rsidRPr="009B5734">
              <w:rPr>
                <w:rFonts w:cs="Arial"/>
                <w:noProof/>
                <w:sz w:val="18"/>
                <w:szCs w:val="20"/>
              </w:rPr>
              <w:t>SME: [70,140]h in total</w:t>
            </w:r>
          </w:p>
          <w:p w:rsidR="00EA45F9" w:rsidRPr="009B5734" w:rsidRDefault="00EA45F9" w:rsidP="00981615">
            <w:pPr>
              <w:pStyle w:val="TableTextNoSpace"/>
              <w:spacing w:line="276" w:lineRule="auto"/>
              <w:ind w:left="101" w:firstLine="0"/>
              <w:rPr>
                <w:rFonts w:cs="Arial"/>
                <w:noProof/>
                <w:sz w:val="36"/>
                <w:szCs w:val="40"/>
              </w:rPr>
            </w:pPr>
            <w:r w:rsidRPr="009B5734">
              <w:rPr>
                <w:rFonts w:cs="Arial"/>
                <w:noProof/>
                <w:sz w:val="18"/>
                <w:szCs w:val="20"/>
              </w:rPr>
              <w:t>Large enterprises: 280h in total</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69" w:firstLine="0"/>
              <w:rPr>
                <w:rFonts w:cs="Arial"/>
                <w:i/>
                <w:iCs/>
                <w:noProof/>
                <w:sz w:val="18"/>
                <w:szCs w:val="20"/>
              </w:rPr>
            </w:pPr>
            <w:r w:rsidRPr="009B5734">
              <w:rPr>
                <w:rFonts w:cs="Arial"/>
                <w:noProof/>
                <w:sz w:val="18"/>
                <w:szCs w:val="20"/>
              </w:rPr>
              <w:t>Interviews with companies and industry associations</w:t>
            </w:r>
          </w:p>
        </w:tc>
      </w:tr>
      <w:tr w:rsidR="00EA45F9" w:rsidRPr="009B5734" w:rsidTr="00981615">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rFonts w:cs="Arial"/>
                <w:b/>
                <w:bCs/>
                <w:noProof/>
                <w:sz w:val="18"/>
                <w:szCs w:val="20"/>
              </w:rPr>
            </w:pPr>
            <w:r w:rsidRPr="009B5734">
              <w:rPr>
                <w:rFonts w:cs="Arial"/>
                <w:b/>
                <w:bCs/>
                <w:noProof/>
                <w:sz w:val="18"/>
                <w:szCs w:val="20"/>
              </w:rPr>
              <w:t>Updating models to comply with measure</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spacing w:line="276" w:lineRule="auto"/>
              <w:ind w:left="101" w:firstLine="0"/>
              <w:rPr>
                <w:rFonts w:ascii="Arial" w:hAnsi="Arial" w:cs="Arial"/>
                <w:noProof/>
                <w:color w:val="000000" w:themeColor="text1"/>
                <w:sz w:val="18"/>
                <w:szCs w:val="20"/>
              </w:rPr>
            </w:pPr>
            <w:r w:rsidRPr="009B5734">
              <w:rPr>
                <w:rFonts w:ascii="Arial" w:hAnsi="Arial" w:cs="Arial"/>
                <w:noProof/>
                <w:sz w:val="18"/>
                <w:szCs w:val="20"/>
              </w:rPr>
              <w:t>Companies producing models that do not comply with the measure will have to revise their production process in order to not engage in the banned practices and possibly improve their products. The latter costs are particularly difficult to estimate as they depend on two things:</w:t>
            </w:r>
          </w:p>
          <w:p w:rsidR="00EA45F9" w:rsidRPr="009B5734" w:rsidRDefault="00EA45F9" w:rsidP="00981615">
            <w:pPr>
              <w:pStyle w:val="ListParagraph"/>
              <w:numPr>
                <w:ilvl w:val="0"/>
                <w:numId w:val="191"/>
              </w:numPr>
              <w:spacing w:before="120" w:after="120" w:line="276" w:lineRule="auto"/>
              <w:ind w:left="101" w:firstLine="0"/>
              <w:contextualSpacing w:val="0"/>
              <w:jc w:val="left"/>
              <w:rPr>
                <w:rFonts w:ascii="Arial" w:hAnsi="Arial" w:cs="Arial"/>
                <w:noProof/>
                <w:sz w:val="18"/>
                <w:szCs w:val="20"/>
              </w:rPr>
            </w:pPr>
            <w:r w:rsidRPr="009B5734">
              <w:rPr>
                <w:rFonts w:ascii="Arial" w:hAnsi="Arial" w:cs="Arial"/>
                <w:noProof/>
                <w:sz w:val="18"/>
                <w:szCs w:val="20"/>
              </w:rPr>
              <w:t xml:space="preserve">the list of practices that will be banned, and the nature of those practices, i.e., if the practice is to prevent access to components or avoid software updates that will reduce the performance of the product, then they are not expected to lead to costs, if the banned practice is to ensure that the design of the product ensures its robustness and its reparability, then the companies may need to adapt their production process.  </w:t>
            </w:r>
          </w:p>
          <w:p w:rsidR="00EA45F9" w:rsidRPr="009B5734" w:rsidRDefault="00EA45F9" w:rsidP="00981615">
            <w:pPr>
              <w:pStyle w:val="ListParagraph"/>
              <w:numPr>
                <w:ilvl w:val="0"/>
                <w:numId w:val="191"/>
              </w:numPr>
              <w:spacing w:before="120" w:after="120" w:line="276" w:lineRule="auto"/>
              <w:ind w:left="101" w:firstLine="0"/>
              <w:contextualSpacing w:val="0"/>
              <w:jc w:val="left"/>
              <w:rPr>
                <w:rFonts w:ascii="Arial" w:hAnsi="Arial" w:cs="Arial"/>
                <w:noProof/>
                <w:sz w:val="18"/>
                <w:szCs w:val="20"/>
              </w:rPr>
            </w:pPr>
            <w:r w:rsidRPr="009B5734">
              <w:rPr>
                <w:rFonts w:ascii="Arial" w:hAnsi="Arial" w:cs="Arial"/>
                <w:noProof/>
                <w:sz w:val="18"/>
                <w:szCs w:val="20"/>
              </w:rPr>
              <w:t>the specificities of the production process of those companies engaging in these practices.</w:t>
            </w:r>
          </w:p>
          <w:p w:rsidR="00EA45F9" w:rsidRPr="009B5734" w:rsidRDefault="00EA45F9" w:rsidP="009B5734">
            <w:pPr>
              <w:spacing w:line="276" w:lineRule="auto"/>
              <w:ind w:left="101" w:firstLine="0"/>
              <w:rPr>
                <w:rFonts w:ascii="Arial" w:hAnsi="Arial" w:cs="Arial"/>
                <w:noProof/>
                <w:sz w:val="18"/>
                <w:szCs w:val="20"/>
              </w:rPr>
            </w:pPr>
            <w:r w:rsidRPr="009B5734">
              <w:rPr>
                <w:rFonts w:ascii="Arial" w:hAnsi="Arial" w:cs="Arial"/>
                <w:noProof/>
                <w:sz w:val="18"/>
                <w:szCs w:val="20"/>
              </w:rPr>
              <w:t xml:space="preserve">While fully aware of these limitations, we decided to carry out a very rough estimation of the possible costs for companies. This was done by screening the prices of various product types on online marketplaces, identifying the price of the cheapest product, and then assume that it will cost between 7.5% </w:t>
            </w:r>
            <w:r w:rsidR="009B5734">
              <w:rPr>
                <w:rFonts w:ascii="Arial" w:hAnsi="Arial" w:cs="Arial"/>
                <w:noProof/>
                <w:sz w:val="18"/>
                <w:szCs w:val="20"/>
              </w:rPr>
              <w:t>and</w:t>
            </w:r>
            <w:r w:rsidRPr="009B5734">
              <w:rPr>
                <w:rFonts w:ascii="Arial" w:hAnsi="Arial" w:cs="Arial"/>
                <w:noProof/>
                <w:sz w:val="18"/>
                <w:szCs w:val="20"/>
              </w:rPr>
              <w:t xml:space="preserve"> 15% extra to comply with the measure and improve the product accordingly.</w:t>
            </w:r>
            <w:r w:rsidRPr="009B5734">
              <w:rPr>
                <w:rFonts w:ascii="Arial" w:hAnsi="Arial" w:cs="Arial"/>
                <w:noProof/>
                <w:sz w:val="18"/>
                <w:szCs w:val="20"/>
                <w:vertAlign w:val="superscript"/>
              </w:rPr>
              <w:footnoteReference w:id="167"/>
            </w:r>
            <w:r w:rsidRPr="009B5734">
              <w:rPr>
                <w:rFonts w:ascii="Arial" w:hAnsi="Arial" w:cs="Arial"/>
                <w:noProof/>
                <w:sz w:val="18"/>
                <w:szCs w:val="20"/>
                <w:vertAlign w:val="superscript"/>
              </w:rPr>
              <w:t xml:space="preserve"> </w:t>
            </w:r>
          </w:p>
        </w:tc>
        <w:tc>
          <w:tcPr>
            <w:tcW w:w="1335" w:type="pct"/>
            <w:tcBorders>
              <w:top w:val="single" w:sz="4" w:space="0" w:color="auto"/>
              <w:left w:val="nil"/>
              <w:bottom w:val="single" w:sz="4" w:space="0" w:color="auto"/>
              <w:right w:val="nil"/>
            </w:tcBorders>
            <w:shd w:val="clear" w:color="auto" w:fill="auto"/>
            <w:vAlign w:val="center"/>
            <w:hideMark/>
          </w:tcPr>
          <w:p w:rsidR="00EA45F9" w:rsidRPr="009B5734" w:rsidRDefault="00EA45F9" w:rsidP="00981615">
            <w:pPr>
              <w:pStyle w:val="TableTextNoSpace"/>
              <w:spacing w:line="276" w:lineRule="auto"/>
              <w:ind w:left="169" w:firstLine="0"/>
              <w:rPr>
                <w:rFonts w:cs="Arial"/>
                <w:iCs/>
                <w:noProof/>
                <w:sz w:val="18"/>
                <w:szCs w:val="20"/>
              </w:rPr>
            </w:pPr>
            <w:r w:rsidRPr="009B5734">
              <w:rPr>
                <w:rFonts w:cs="Arial"/>
                <w:iCs/>
                <w:noProof/>
                <w:sz w:val="18"/>
                <w:szCs w:val="20"/>
              </w:rPr>
              <w:t>Market research</w:t>
            </w:r>
          </w:p>
        </w:tc>
      </w:tr>
      <w:tr w:rsidR="00EA45F9" w:rsidRPr="009B5734" w:rsidTr="00981615">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rFonts w:cs="Arial"/>
                <w:b/>
                <w:bCs/>
                <w:noProof/>
                <w:sz w:val="18"/>
                <w:szCs w:val="20"/>
              </w:rPr>
            </w:pPr>
            <w:r w:rsidRPr="009B5734">
              <w:rPr>
                <w:rFonts w:cs="Arial"/>
                <w:b/>
                <w:bCs/>
                <w:noProof/>
                <w:sz w:val="18"/>
                <w:szCs w:val="20"/>
              </w:rPr>
              <w:t>Inspections (internal and external)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rPr>
                <w:rFonts w:cs="Arial"/>
                <w:i/>
                <w:iCs/>
                <w:noProof/>
                <w:color w:val="000000" w:themeColor="text1"/>
                <w:sz w:val="18"/>
                <w:szCs w:val="20"/>
              </w:rPr>
            </w:pPr>
            <w:r w:rsidRPr="009B5734">
              <w:rPr>
                <w:rFonts w:cs="Arial"/>
                <w:i/>
                <w:iCs/>
                <w:noProof/>
                <w:sz w:val="18"/>
                <w:szCs w:val="20"/>
              </w:rPr>
              <w:t xml:space="preserve">Internal inspections take place quarterly and in total involve </w:t>
            </w:r>
          </w:p>
          <w:p w:rsidR="00EA45F9" w:rsidRPr="009B5734" w:rsidRDefault="00EA45F9" w:rsidP="00981615">
            <w:pPr>
              <w:pStyle w:val="TableTextNoSpace"/>
              <w:numPr>
                <w:ilvl w:val="0"/>
                <w:numId w:val="192"/>
              </w:numPr>
              <w:spacing w:before="120" w:line="276" w:lineRule="auto"/>
              <w:ind w:left="101" w:right="0" w:firstLine="0"/>
              <w:jc w:val="left"/>
              <w:rPr>
                <w:rFonts w:cs="Arial"/>
                <w:i/>
                <w:iCs/>
                <w:noProof/>
                <w:sz w:val="18"/>
                <w:szCs w:val="20"/>
              </w:rPr>
            </w:pPr>
            <w:r w:rsidRPr="009B5734">
              <w:rPr>
                <w:rFonts w:cs="Arial"/>
                <w:i/>
                <w:iCs/>
                <w:noProof/>
                <w:sz w:val="18"/>
                <w:szCs w:val="20"/>
              </w:rPr>
              <w:t xml:space="preserve">0.5h of a manager in the case of SMEs and 1h for large enterprises </w:t>
            </w:r>
          </w:p>
          <w:p w:rsidR="00EA45F9" w:rsidRPr="009B5734" w:rsidRDefault="00EA45F9" w:rsidP="00981615">
            <w:pPr>
              <w:pStyle w:val="TableTextNoSpace"/>
              <w:numPr>
                <w:ilvl w:val="0"/>
                <w:numId w:val="192"/>
              </w:numPr>
              <w:spacing w:before="120" w:line="276" w:lineRule="auto"/>
              <w:ind w:left="101" w:right="0" w:firstLine="0"/>
              <w:jc w:val="left"/>
              <w:rPr>
                <w:rFonts w:cs="Arial"/>
                <w:i/>
                <w:iCs/>
                <w:noProof/>
                <w:sz w:val="18"/>
                <w:szCs w:val="20"/>
              </w:rPr>
            </w:pPr>
            <w:r w:rsidRPr="009B5734">
              <w:rPr>
                <w:rFonts w:cs="Arial"/>
                <w:i/>
                <w:iCs/>
                <w:noProof/>
                <w:sz w:val="18"/>
                <w:szCs w:val="20"/>
              </w:rPr>
              <w:t>[3.5,7]h of an employee in the case of SMEs or 14h in the case of large enterprises</w:t>
            </w:r>
          </w:p>
          <w:p w:rsidR="00EA45F9" w:rsidRPr="009B5734" w:rsidRDefault="00EA45F9" w:rsidP="00981615">
            <w:pPr>
              <w:pStyle w:val="TableTextNoSpace"/>
              <w:spacing w:line="276" w:lineRule="auto"/>
              <w:ind w:left="101" w:firstLine="0"/>
              <w:rPr>
                <w:rFonts w:cs="Arial"/>
                <w:i/>
                <w:iCs/>
                <w:noProof/>
                <w:sz w:val="18"/>
                <w:szCs w:val="20"/>
              </w:rPr>
            </w:pPr>
            <w:r w:rsidRPr="009B5734">
              <w:rPr>
                <w:rFonts w:cs="Arial"/>
                <w:i/>
                <w:iCs/>
                <w:noProof/>
                <w:sz w:val="18"/>
                <w:szCs w:val="20"/>
              </w:rPr>
              <w:t xml:space="preserve">External inspections are expected to take place in less than 1% of the companies. Each external inspection will involve 1h manager and 2h of an employee. </w:t>
            </w: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169" w:firstLine="0"/>
              <w:rPr>
                <w:rFonts w:cs="Arial"/>
                <w:noProof/>
                <w:sz w:val="18"/>
                <w:szCs w:val="20"/>
              </w:rPr>
            </w:pPr>
            <w:r w:rsidRPr="009B5734">
              <w:rPr>
                <w:rFonts w:cs="Arial"/>
                <w:noProof/>
                <w:sz w:val="18"/>
                <w:szCs w:val="20"/>
              </w:rPr>
              <w:t>Interviews with companies and industry associations</w:t>
            </w:r>
          </w:p>
          <w:p w:rsidR="00EA45F9" w:rsidRPr="009B5734" w:rsidRDefault="00EA45F9" w:rsidP="00981615">
            <w:pPr>
              <w:pStyle w:val="TableTextNoSpace"/>
              <w:spacing w:line="276" w:lineRule="auto"/>
              <w:ind w:left="169" w:firstLine="0"/>
              <w:rPr>
                <w:rFonts w:cs="Arial"/>
                <w:noProof/>
                <w:sz w:val="18"/>
                <w:szCs w:val="20"/>
              </w:rPr>
            </w:pPr>
          </w:p>
          <w:p w:rsidR="00EA45F9" w:rsidRPr="009B5734" w:rsidRDefault="00EA45F9" w:rsidP="00981615">
            <w:pPr>
              <w:pStyle w:val="TableTextNoSpace"/>
              <w:spacing w:line="276" w:lineRule="auto"/>
              <w:ind w:left="169" w:firstLine="0"/>
              <w:rPr>
                <w:rFonts w:cs="Arial"/>
                <w:noProof/>
                <w:sz w:val="18"/>
                <w:szCs w:val="20"/>
              </w:rPr>
            </w:pPr>
          </w:p>
          <w:p w:rsidR="00EA45F9" w:rsidRPr="009B5734" w:rsidRDefault="00EA45F9" w:rsidP="00981615">
            <w:pPr>
              <w:pStyle w:val="TableTextNoSpace"/>
              <w:spacing w:line="276" w:lineRule="auto"/>
              <w:ind w:left="169" w:firstLine="0"/>
              <w:rPr>
                <w:rFonts w:cs="Arial"/>
                <w:noProof/>
                <w:sz w:val="18"/>
                <w:szCs w:val="20"/>
              </w:rPr>
            </w:pPr>
            <w:r w:rsidRPr="009B5734">
              <w:rPr>
                <w:rFonts w:cs="Arial"/>
                <w:noProof/>
                <w:sz w:val="18"/>
                <w:szCs w:val="20"/>
              </w:rPr>
              <w:t>Expert judgment by panel</w:t>
            </w:r>
          </w:p>
        </w:tc>
      </w:tr>
      <w:tr w:rsidR="00EA45F9" w:rsidRPr="009B5734" w:rsidTr="00981615">
        <w:trPr>
          <w:trHeight w:val="391"/>
        </w:trPr>
        <w:tc>
          <w:tcPr>
            <w:tcW w:w="5000" w:type="pct"/>
            <w:gridSpan w:val="3"/>
            <w:tcBorders>
              <w:top w:val="single" w:sz="4" w:space="0" w:color="auto"/>
              <w:left w:val="nil"/>
              <w:bottom w:val="single" w:sz="4" w:space="0" w:color="auto"/>
              <w:right w:val="nil"/>
            </w:tcBorders>
            <w:shd w:val="clear" w:color="auto" w:fill="DBE5F1" w:themeFill="accent1" w:themeFillTint="33"/>
            <w:hideMark/>
          </w:tcPr>
          <w:p w:rsidR="00EA45F9" w:rsidRPr="009B5734" w:rsidRDefault="00EA45F9" w:rsidP="00981615">
            <w:pPr>
              <w:pStyle w:val="TableHeadingWhite"/>
              <w:spacing w:line="276" w:lineRule="auto"/>
              <w:ind w:left="169" w:firstLine="0"/>
              <w:rPr>
                <w:rFonts w:ascii="Arial" w:hAnsi="Arial" w:cs="Arial"/>
                <w:noProof/>
                <w:sz w:val="18"/>
                <w:szCs w:val="20"/>
              </w:rPr>
            </w:pPr>
            <w:r w:rsidRPr="009B5734">
              <w:rPr>
                <w:rFonts w:ascii="Arial" w:hAnsi="Arial" w:cs="Arial"/>
                <w:noProof/>
                <w:sz w:val="18"/>
                <w:szCs w:val="20"/>
              </w:rPr>
              <w:t xml:space="preserve">Retailers </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rFonts w:cs="Arial"/>
                <w:b/>
                <w:bCs/>
                <w:noProof/>
                <w:sz w:val="18"/>
                <w:szCs w:val="20"/>
              </w:rPr>
            </w:pPr>
            <w:r w:rsidRPr="009B5734">
              <w:rPr>
                <w:rFonts w:cs="Arial"/>
                <w:b/>
                <w:bCs/>
                <w:noProof/>
                <w:sz w:val="18"/>
                <w:szCs w:val="20"/>
              </w:rPr>
              <w:t>Familiarization with the measure</w:t>
            </w:r>
          </w:p>
          <w:p w:rsidR="00EA45F9" w:rsidRPr="009B5734" w:rsidRDefault="00EA45F9" w:rsidP="00981615">
            <w:pPr>
              <w:pStyle w:val="TableTextNoSpace"/>
              <w:spacing w:line="276" w:lineRule="auto"/>
              <w:ind w:left="142" w:firstLine="0"/>
              <w:rPr>
                <w:rFonts w:cs="Arial"/>
                <w:b/>
                <w:bCs/>
                <w:noProof/>
                <w:sz w:val="18"/>
                <w:szCs w:val="20"/>
              </w:rPr>
            </w:pPr>
            <w:r w:rsidRPr="009B5734">
              <w:rPr>
                <w:rFonts w:cs="Arial"/>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01" w:firstLine="0"/>
              <w:jc w:val="center"/>
              <w:rPr>
                <w:rFonts w:cs="Arial"/>
                <w:i/>
                <w:iCs/>
                <w:noProof/>
                <w:color w:val="000000" w:themeColor="text1"/>
                <w:sz w:val="18"/>
                <w:szCs w:val="20"/>
              </w:rPr>
            </w:pPr>
            <w:r w:rsidRPr="009B5734">
              <w:rPr>
                <w:rFonts w:cs="Arial"/>
                <w:i/>
                <w:iCs/>
                <w:noProof/>
                <w:sz w:val="18"/>
                <w:szCs w:val="20"/>
              </w:rPr>
              <w:t xml:space="preserve">This includes not only identifying the new obligations imposed by the measure but analysing what are the necessary steps that need to be taken to comply with it </w:t>
            </w:r>
          </w:p>
          <w:p w:rsidR="00EA45F9" w:rsidRPr="009B5734" w:rsidRDefault="00EA45F9" w:rsidP="00981615">
            <w:pPr>
              <w:pStyle w:val="TableTextNoSpace"/>
              <w:spacing w:line="276" w:lineRule="auto"/>
              <w:ind w:left="101" w:firstLine="0"/>
              <w:rPr>
                <w:rFonts w:cs="Arial"/>
                <w:noProof/>
                <w:sz w:val="18"/>
                <w:szCs w:val="20"/>
              </w:rPr>
            </w:pPr>
            <w:r w:rsidRPr="009B5734">
              <w:rPr>
                <w:rFonts w:cs="Arial"/>
                <w:noProof/>
                <w:sz w:val="18"/>
                <w:szCs w:val="20"/>
              </w:rPr>
              <w:t>SME: [7,17.5]h legal team</w:t>
            </w:r>
          </w:p>
          <w:p w:rsidR="00EA45F9" w:rsidRPr="009B5734" w:rsidRDefault="00EA45F9" w:rsidP="00981615">
            <w:pPr>
              <w:pStyle w:val="TableTextNoSpace"/>
              <w:spacing w:line="276" w:lineRule="auto"/>
              <w:ind w:left="101" w:firstLine="0"/>
              <w:rPr>
                <w:rFonts w:cs="Arial"/>
                <w:noProof/>
                <w:sz w:val="18"/>
                <w:szCs w:val="20"/>
              </w:rPr>
            </w:pPr>
            <w:r w:rsidRPr="009B5734">
              <w:rPr>
                <w:rFonts w:cs="Arial"/>
                <w:noProof/>
                <w:sz w:val="18"/>
                <w:szCs w:val="20"/>
              </w:rPr>
              <w:t>Large Enterprises:  17.5h legal team</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69" w:firstLine="0"/>
              <w:rPr>
                <w:rFonts w:cs="Arial"/>
                <w:noProof/>
                <w:sz w:val="18"/>
                <w:szCs w:val="20"/>
              </w:rPr>
            </w:pPr>
            <w:r w:rsidRPr="009B5734">
              <w:rPr>
                <w:rFonts w:cs="Arial"/>
                <w:noProof/>
                <w:sz w:val="18"/>
                <w:szCs w:val="20"/>
              </w:rPr>
              <w:t>Interviews with companies and industry associations</w:t>
            </w:r>
          </w:p>
        </w:tc>
      </w:tr>
    </w:tbl>
    <w:p w:rsidR="00EA45F9" w:rsidRPr="009B5734" w:rsidRDefault="00EA45F9" w:rsidP="00EA45F9">
      <w:pPr>
        <w:rPr>
          <w:rFonts w:ascii="Verdana" w:hAnsi="Verdana"/>
          <w:noProof/>
          <w:color w:val="000000" w:themeColor="text1"/>
          <w:sz w:val="20"/>
        </w:rPr>
      </w:pPr>
    </w:p>
    <w:p w:rsidR="00EA45F9" w:rsidRPr="009B5734" w:rsidRDefault="00EA45F9" w:rsidP="00EA45F9">
      <w:pPr>
        <w:pStyle w:val="Titlecost"/>
        <w:rPr>
          <w:rFonts w:ascii="Times New Roman" w:hAnsi="Times New Roman" w:cs="Times New Roman"/>
          <w:noProof/>
          <w:sz w:val="24"/>
          <w:szCs w:val="24"/>
        </w:rPr>
      </w:pPr>
      <w:r w:rsidRPr="009B5734">
        <w:rPr>
          <w:rFonts w:ascii="Times New Roman" w:hAnsi="Times New Roman" w:cs="Times New Roman"/>
          <w:noProof/>
          <w:sz w:val="24"/>
          <w:szCs w:val="24"/>
        </w:rPr>
        <w:t>Enforcement costs</w:t>
      </w:r>
    </w:p>
    <w:p w:rsidR="00EA45F9" w:rsidRPr="009B5734" w:rsidRDefault="00EA45F9" w:rsidP="00EA45F9">
      <w:pPr>
        <w:ind w:left="0" w:firstLine="0"/>
        <w:rPr>
          <w:rFonts w:ascii="Times New Roman" w:hAnsi="Times New Roman" w:cs="Times New Roman"/>
          <w:noProof/>
          <w:sz w:val="24"/>
          <w:szCs w:val="24"/>
        </w:rPr>
      </w:pPr>
      <w:bookmarkStart w:id="612" w:name="_Hlk58525089"/>
      <w:bookmarkStart w:id="613" w:name="_Hlk58503949"/>
      <w:r w:rsidRPr="009B5734">
        <w:rPr>
          <w:rFonts w:ascii="Times New Roman" w:hAnsi="Times New Roman" w:cs="Times New Roman"/>
          <w:noProof/>
          <w:sz w:val="24"/>
          <w:szCs w:val="24"/>
        </w:rPr>
        <w:t>Based on interviews with some CPC authorities, it is assumed that the measure would require significant additional resources on top of the existing ones to enforce UCPD (except for one Member States – France).</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We therefore assume that the measure will require a team of seven additional Full Time Equivalent (per Member State), with 42% of their time devoted to surveillance, 42% devoted to inspections and 16% to handling complaints.</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We assumed 70h for three people getting familiarized with the measure and adjust the internal procedures to start enforcing the measure. 16 employees will receive a 14h training.</w:t>
      </w:r>
    </w:p>
    <w:bookmarkEnd w:id="612"/>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The costs of adjudication ate expected to be significantly higher than average given the complexity of the matter. We assume that one ADR case will costs around EUR 7,756 and a court case around five times the average. </w:t>
      </w:r>
      <w:bookmarkEnd w:id="613"/>
    </w:p>
    <w:p w:rsidR="00EA45F9" w:rsidRPr="009B5734" w:rsidRDefault="00EA45F9" w:rsidP="00EA45F9">
      <w:pPr>
        <w:pStyle w:val="Titlecost"/>
        <w:rPr>
          <w:rFonts w:ascii="Times New Roman" w:hAnsi="Times New Roman" w:cs="Times New Roman"/>
          <w:noProof/>
          <w:sz w:val="24"/>
          <w:szCs w:val="24"/>
        </w:rPr>
      </w:pPr>
      <w:r w:rsidRPr="009B5734">
        <w:rPr>
          <w:rFonts w:ascii="Times New Roman" w:hAnsi="Times New Roman" w:cs="Times New Roman"/>
          <w:noProof/>
          <w:sz w:val="24"/>
          <w:szCs w:val="24"/>
        </w:rPr>
        <w:t>Impact on monetisable consumer welfare</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approach followed to monetize the consumer welfare is illustrated in the figure below.</w:t>
      </w:r>
    </w:p>
    <w:p w:rsidR="00EA45F9" w:rsidRPr="009B5734" w:rsidRDefault="00EA45F9" w:rsidP="00EA45F9">
      <w:pPr>
        <w:rPr>
          <w:noProof/>
        </w:rPr>
      </w:pPr>
      <w:r w:rsidRPr="009B5734">
        <w:rPr>
          <w:noProof/>
          <w:lang w:eastAsia="en-GB"/>
        </w:rPr>
        <w:drawing>
          <wp:inline distT="0" distB="0" distL="0" distR="0" wp14:anchorId="44F3DD25" wp14:editId="5A77AD4E">
            <wp:extent cx="5584825" cy="18776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84825" cy="1877695"/>
                    </a:xfrm>
                    <a:prstGeom prst="rect">
                      <a:avLst/>
                    </a:prstGeom>
                    <a:noFill/>
                    <a:ln>
                      <a:noFill/>
                    </a:ln>
                  </pic:spPr>
                </pic:pic>
              </a:graphicData>
            </a:graphic>
          </wp:inline>
        </w:drawing>
      </w:r>
    </w:p>
    <w:p w:rsidR="00EA45F9" w:rsidRPr="009B5734" w:rsidRDefault="00EA45F9" w:rsidP="00EA45F9">
      <w:pPr>
        <w:rPr>
          <w:noProof/>
        </w:rPr>
      </w:pPr>
    </w:p>
    <w:tbl>
      <w:tblPr>
        <w:tblW w:w="4916" w:type="pct"/>
        <w:tblBorders>
          <w:top w:val="single" w:sz="4" w:space="0" w:color="auto"/>
          <w:bottom w:val="single" w:sz="4" w:space="0" w:color="auto"/>
          <w:insideH w:val="single" w:sz="4" w:space="0" w:color="auto"/>
        </w:tblBorders>
        <w:shd w:val="solid" w:color="F2F2F2" w:fill="F2F2F2"/>
        <w:tblCellMar>
          <w:left w:w="0" w:type="dxa"/>
          <w:right w:w="0" w:type="dxa"/>
        </w:tblCellMar>
        <w:tblLook w:val="04A0" w:firstRow="1" w:lastRow="0" w:firstColumn="1" w:lastColumn="0" w:noHBand="0" w:noVBand="1"/>
      </w:tblPr>
      <w:tblGrid>
        <w:gridCol w:w="1742"/>
        <w:gridCol w:w="4468"/>
        <w:gridCol w:w="2262"/>
      </w:tblGrid>
      <w:tr w:rsidR="00EA45F9" w:rsidRPr="009B5734" w:rsidTr="00981615">
        <w:trPr>
          <w:trHeight w:val="727"/>
        </w:trPr>
        <w:tc>
          <w:tcPr>
            <w:tcW w:w="1028" w:type="pct"/>
            <w:tcBorders>
              <w:top w:val="single" w:sz="4" w:space="0" w:color="auto"/>
              <w:left w:val="nil"/>
              <w:bottom w:val="single" w:sz="4" w:space="0" w:color="auto"/>
              <w:right w:val="nil"/>
            </w:tcBorders>
            <w:shd w:val="solid" w:color="002395" w:fill="002395"/>
          </w:tcPr>
          <w:p w:rsidR="00EA45F9" w:rsidRPr="009B5734" w:rsidRDefault="00EA45F9" w:rsidP="00981615">
            <w:pPr>
              <w:pStyle w:val="TableHeadingWhite"/>
              <w:spacing w:line="276" w:lineRule="auto"/>
              <w:ind w:left="142" w:firstLine="0"/>
              <w:rPr>
                <w:noProof/>
                <w:sz w:val="18"/>
                <w:szCs w:val="20"/>
              </w:rPr>
            </w:pPr>
          </w:p>
        </w:tc>
        <w:tc>
          <w:tcPr>
            <w:tcW w:w="2637" w:type="pct"/>
            <w:tcBorders>
              <w:top w:val="single" w:sz="4" w:space="0" w:color="auto"/>
              <w:left w:val="nil"/>
              <w:bottom w:val="single" w:sz="4" w:space="0" w:color="auto"/>
              <w:right w:val="nil"/>
            </w:tcBorders>
            <w:shd w:val="solid" w:color="002395" w:fill="002395"/>
            <w:hideMark/>
          </w:tcPr>
          <w:p w:rsidR="00EA45F9" w:rsidRPr="009B5734" w:rsidRDefault="00EA45F9" w:rsidP="00981615">
            <w:pPr>
              <w:pStyle w:val="TableHeadingWhite"/>
              <w:spacing w:line="276" w:lineRule="auto"/>
              <w:jc w:val="center"/>
              <w:rPr>
                <w:noProof/>
                <w:sz w:val="18"/>
                <w:szCs w:val="20"/>
              </w:rPr>
            </w:pPr>
            <w:r w:rsidRPr="009B5734">
              <w:rPr>
                <w:noProof/>
                <w:sz w:val="18"/>
                <w:szCs w:val="20"/>
              </w:rPr>
              <w:t>Assumption</w:t>
            </w:r>
          </w:p>
        </w:tc>
        <w:tc>
          <w:tcPr>
            <w:tcW w:w="1335" w:type="pct"/>
            <w:tcBorders>
              <w:top w:val="single" w:sz="4" w:space="0" w:color="auto"/>
              <w:left w:val="nil"/>
              <w:bottom w:val="single" w:sz="4" w:space="0" w:color="auto"/>
              <w:right w:val="nil"/>
            </w:tcBorders>
            <w:shd w:val="solid" w:color="002395" w:fill="002395"/>
            <w:hideMark/>
          </w:tcPr>
          <w:p w:rsidR="00EA45F9" w:rsidRPr="009B5734" w:rsidRDefault="00EA45F9" w:rsidP="00981615">
            <w:pPr>
              <w:pStyle w:val="TableHeadingWhite"/>
              <w:spacing w:line="276" w:lineRule="auto"/>
              <w:jc w:val="center"/>
              <w:rPr>
                <w:noProof/>
                <w:sz w:val="18"/>
                <w:szCs w:val="20"/>
              </w:rPr>
            </w:pPr>
            <w:r w:rsidRPr="009B5734">
              <w:rPr>
                <w:noProof/>
                <w:sz w:val="18"/>
                <w:szCs w:val="20"/>
              </w:rPr>
              <w:t>Source</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Share of early failures</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jc w:val="center"/>
              <w:rPr>
                <w:noProof/>
                <w:color w:val="000000" w:themeColor="text1"/>
                <w:sz w:val="18"/>
                <w:szCs w:val="20"/>
              </w:rPr>
            </w:pPr>
            <w:r w:rsidRPr="009B5734">
              <w:rPr>
                <w:noProof/>
                <w:sz w:val="18"/>
                <w:szCs w:val="20"/>
              </w:rPr>
              <w:t>6%-20% depending on the product (for 60% scenario)</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noProof/>
                <w:sz w:val="18"/>
                <w:szCs w:val="20"/>
              </w:rPr>
            </w:pPr>
            <w:r w:rsidRPr="009B5734">
              <w:rPr>
                <w:noProof/>
                <w:sz w:val="18"/>
                <w:szCs w:val="20"/>
              </w:rPr>
              <w:t xml:space="preserve">Consumer survey </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Average price of goods</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jc w:val="center"/>
              <w:rPr>
                <w:noProof/>
                <w:color w:val="000000" w:themeColor="text1"/>
                <w:sz w:val="18"/>
                <w:szCs w:val="20"/>
              </w:rPr>
            </w:pPr>
            <w:r w:rsidRPr="009B5734">
              <w:rPr>
                <w:noProof/>
                <w:sz w:val="18"/>
                <w:szCs w:val="20"/>
              </w:rPr>
              <w:t>Depends on the good</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noProof/>
                <w:sz w:val="18"/>
                <w:szCs w:val="20"/>
              </w:rPr>
            </w:pPr>
            <w:r w:rsidRPr="009B5734">
              <w:rPr>
                <w:noProof/>
                <w:sz w:val="18"/>
                <w:szCs w:val="20"/>
              </w:rPr>
              <w:t xml:space="preserve">Statista </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 xml:space="preserve">Likelihood of the failure being due to the practice banned  </w:t>
            </w:r>
          </w:p>
        </w:tc>
        <w:tc>
          <w:tcPr>
            <w:tcW w:w="2637" w:type="pct"/>
            <w:tcBorders>
              <w:top w:val="single" w:sz="4" w:space="0" w:color="auto"/>
              <w:left w:val="nil"/>
              <w:bottom w:val="single" w:sz="4" w:space="0" w:color="auto"/>
              <w:right w:val="nil"/>
            </w:tcBorders>
            <w:shd w:val="clear" w:color="auto" w:fill="auto"/>
          </w:tcPr>
          <w:p w:rsidR="00EA45F9" w:rsidRPr="009B5734" w:rsidRDefault="00EA45F9" w:rsidP="00981615">
            <w:pPr>
              <w:pStyle w:val="TableTextNoSpace"/>
              <w:spacing w:line="276" w:lineRule="auto"/>
              <w:ind w:left="357"/>
              <w:jc w:val="center"/>
              <w:rPr>
                <w:noProof/>
                <w:color w:val="000000" w:themeColor="text1"/>
                <w:sz w:val="18"/>
                <w:szCs w:val="20"/>
              </w:rPr>
            </w:pPr>
            <w:r w:rsidRPr="009B5734">
              <w:rPr>
                <w:noProof/>
                <w:sz w:val="18"/>
                <w:szCs w:val="20"/>
              </w:rPr>
              <w:t>See incidence of practice</w:t>
            </w:r>
          </w:p>
          <w:p w:rsidR="00EA45F9" w:rsidRPr="009B5734" w:rsidRDefault="00EA45F9" w:rsidP="00981615">
            <w:pPr>
              <w:spacing w:line="276" w:lineRule="auto"/>
              <w:jc w:val="center"/>
              <w:rPr>
                <w:noProof/>
                <w:sz w:val="20"/>
              </w:rPr>
            </w:pP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noProof/>
                <w:sz w:val="18"/>
                <w:szCs w:val="20"/>
              </w:rPr>
            </w:pPr>
            <w:r w:rsidRPr="009B5734">
              <w:rPr>
                <w:noProof/>
                <w:sz w:val="18"/>
                <w:szCs w:val="20"/>
              </w:rPr>
              <w:t>NA</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Additional lifespan as a result of the improvement</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jc w:val="center"/>
              <w:rPr>
                <w:noProof/>
                <w:color w:val="000000" w:themeColor="text1"/>
                <w:sz w:val="18"/>
                <w:szCs w:val="20"/>
              </w:rPr>
            </w:pPr>
            <w:r w:rsidRPr="009B5734">
              <w:rPr>
                <w:noProof/>
                <w:sz w:val="18"/>
                <w:szCs w:val="20"/>
              </w:rPr>
              <w:t>40% or 25% (depending on the scenario 60% or 75%)</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noProof/>
                <w:sz w:val="18"/>
                <w:szCs w:val="20"/>
              </w:rPr>
            </w:pPr>
            <w:r w:rsidRPr="009B5734">
              <w:rPr>
                <w:noProof/>
                <w:sz w:val="18"/>
                <w:szCs w:val="20"/>
              </w:rPr>
              <w:t>NA</w:t>
            </w:r>
          </w:p>
        </w:tc>
      </w:tr>
    </w:tbl>
    <w:p w:rsidR="00EA45F9" w:rsidRPr="009B5734" w:rsidRDefault="00EA45F9" w:rsidP="00EA45F9">
      <w:pPr>
        <w:rPr>
          <w:rFonts w:ascii="Verdana" w:hAnsi="Verdana"/>
          <w:noProof/>
          <w:color w:val="000000" w:themeColor="text1"/>
          <w:sz w:val="20"/>
        </w:rPr>
      </w:pPr>
    </w:p>
    <w:p w:rsidR="00EA45F9" w:rsidRPr="009B5734" w:rsidRDefault="00A00208" w:rsidP="00A00208">
      <w:pPr>
        <w:pStyle w:val="Heading4"/>
        <w:rPr>
          <w:noProof/>
        </w:rPr>
      </w:pPr>
      <w:bookmarkStart w:id="614" w:name="_Toc60734102"/>
      <w:bookmarkStart w:id="615" w:name="_Toc75440995"/>
      <w:bookmarkStart w:id="616" w:name="_Toc75446994"/>
      <w:bookmarkStart w:id="617" w:name="_Toc75448867"/>
      <w:r w:rsidRPr="00A00208">
        <w:t>4.5.</w:t>
      </w:r>
      <w:r w:rsidRPr="00A00208">
        <w:tab/>
      </w:r>
      <w:r w:rsidR="00EA45F9" w:rsidRPr="009B5734">
        <w:rPr>
          <w:noProof/>
        </w:rPr>
        <w:t xml:space="preserve">“Sub-problem 2.2: </w:t>
      </w:r>
      <w:r w:rsidR="00D60C0B" w:rsidRPr="009B5734">
        <w:rPr>
          <w:noProof/>
        </w:rPr>
        <w:t>Consumers are faced with the practice of making unclear or not well-substantiated green claims (“Greenwashing”)</w:t>
      </w:r>
      <w:r w:rsidR="00EA45F9" w:rsidRPr="009B5734">
        <w:rPr>
          <w:noProof/>
        </w:rPr>
        <w:t>”</w:t>
      </w:r>
      <w:bookmarkEnd w:id="614"/>
      <w:bookmarkEnd w:id="615"/>
      <w:bookmarkEnd w:id="616"/>
      <w:bookmarkEnd w:id="617"/>
    </w:p>
    <w:p w:rsidR="00EA45F9" w:rsidRPr="009B5734" w:rsidRDefault="00EA45F9" w:rsidP="00EA45F9">
      <w:pPr>
        <w:pStyle w:val="Heading5"/>
        <w:rPr>
          <w:rFonts w:ascii="Times New Roman" w:hAnsi="Times New Roman" w:cs="Times New Roman"/>
          <w:i w:val="0"/>
          <w:noProof/>
          <w:sz w:val="24"/>
        </w:rPr>
      </w:pPr>
      <w:r w:rsidRPr="009B5734">
        <w:rPr>
          <w:rFonts w:ascii="Times New Roman" w:hAnsi="Times New Roman" w:cs="Times New Roman"/>
          <w:i w:val="0"/>
          <w:noProof/>
          <w:sz w:val="24"/>
        </w:rPr>
        <w:t xml:space="preserve">Option 2.2.A. Ban of general /vague environmental claims  </w:t>
      </w:r>
    </w:p>
    <w:p w:rsidR="00EA45F9" w:rsidRPr="009B5734" w:rsidRDefault="00EA45F9" w:rsidP="00EA45F9">
      <w:pPr>
        <w:pStyle w:val="Titlecost"/>
        <w:rPr>
          <w:rFonts w:ascii="Times New Roman" w:hAnsi="Times New Roman" w:cs="Times New Roman"/>
          <w:noProof/>
          <w:sz w:val="24"/>
          <w:szCs w:val="24"/>
        </w:rPr>
      </w:pPr>
      <w:r w:rsidRPr="009B5734">
        <w:rPr>
          <w:rFonts w:ascii="Times New Roman" w:hAnsi="Times New Roman" w:cs="Times New Roman"/>
          <w:noProof/>
          <w:sz w:val="24"/>
          <w:szCs w:val="24"/>
        </w:rPr>
        <w:t>Substantive compliance costs</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adopted approach to the monetisation of the substantive compliance costs of the measure took into account the lack of data on the number of products offered in the market and so assumed cost per company (SMEs and Large enterprises) but not per product.</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Data regarding the share of products with unsubstantiated vague claims (to avoid double counting of benefits with measures under problem 2.3, we only considered non-label/logo type of claims) was obtained from the Study on “Environmental claims in the EU: Inventory and reliability assessment”.</w:t>
      </w:r>
      <w:r w:rsidRPr="009B5734">
        <w:rPr>
          <w:rStyle w:val="FootnoteReference"/>
          <w:rFonts w:ascii="Times New Roman" w:hAnsi="Times New Roman" w:cs="Times New Roman"/>
          <w:noProof/>
          <w:sz w:val="24"/>
          <w:szCs w:val="24"/>
        </w:rPr>
        <w:footnoteReference w:id="168"/>
      </w:r>
    </w:p>
    <w:p w:rsidR="00EA45F9" w:rsidRPr="009B5734" w:rsidRDefault="00EA45F9" w:rsidP="00EA45F9">
      <w:pPr>
        <w:rPr>
          <w:noProof/>
        </w:rPr>
      </w:pPr>
    </w:p>
    <w:tbl>
      <w:tblPr>
        <w:tblW w:w="4916" w:type="pct"/>
        <w:tblBorders>
          <w:top w:val="single" w:sz="4" w:space="0" w:color="auto"/>
          <w:bottom w:val="single" w:sz="4" w:space="0" w:color="auto"/>
          <w:insideH w:val="single" w:sz="4" w:space="0" w:color="auto"/>
        </w:tblBorders>
        <w:shd w:val="solid" w:color="F2F2F2" w:fill="F2F2F2"/>
        <w:tblCellMar>
          <w:left w:w="0" w:type="dxa"/>
          <w:right w:w="0" w:type="dxa"/>
        </w:tblCellMar>
        <w:tblLook w:val="04A0" w:firstRow="1" w:lastRow="0" w:firstColumn="1" w:lastColumn="0" w:noHBand="0" w:noVBand="1"/>
      </w:tblPr>
      <w:tblGrid>
        <w:gridCol w:w="1742"/>
        <w:gridCol w:w="4468"/>
        <w:gridCol w:w="2262"/>
      </w:tblGrid>
      <w:tr w:rsidR="00EA45F9" w:rsidRPr="009B5734" w:rsidTr="00C84A99">
        <w:trPr>
          <w:trHeight w:val="727"/>
        </w:trPr>
        <w:tc>
          <w:tcPr>
            <w:tcW w:w="1028" w:type="pct"/>
            <w:tcBorders>
              <w:top w:val="single" w:sz="4" w:space="0" w:color="auto"/>
              <w:left w:val="nil"/>
              <w:bottom w:val="single" w:sz="4" w:space="0" w:color="auto"/>
              <w:right w:val="nil"/>
            </w:tcBorders>
            <w:shd w:val="clear" w:color="auto" w:fill="002395"/>
          </w:tcPr>
          <w:p w:rsidR="00EA45F9" w:rsidRPr="009B5734" w:rsidRDefault="00EA45F9" w:rsidP="00981615">
            <w:pPr>
              <w:pStyle w:val="TableHeadingWhite"/>
              <w:spacing w:line="276" w:lineRule="auto"/>
              <w:rPr>
                <w:noProof/>
                <w:sz w:val="18"/>
                <w:szCs w:val="20"/>
              </w:rPr>
            </w:pPr>
          </w:p>
        </w:tc>
        <w:tc>
          <w:tcPr>
            <w:tcW w:w="2637" w:type="pct"/>
            <w:tcBorders>
              <w:top w:val="single" w:sz="4" w:space="0" w:color="auto"/>
              <w:left w:val="nil"/>
              <w:bottom w:val="single" w:sz="4" w:space="0" w:color="auto"/>
              <w:right w:val="nil"/>
            </w:tcBorders>
            <w:shd w:val="clear" w:color="auto" w:fill="002395"/>
            <w:hideMark/>
          </w:tcPr>
          <w:p w:rsidR="00EA45F9" w:rsidRPr="009B5734" w:rsidRDefault="00EA45F9" w:rsidP="00981615">
            <w:pPr>
              <w:pStyle w:val="TableHeadingWhite"/>
              <w:spacing w:line="276" w:lineRule="auto"/>
              <w:jc w:val="center"/>
              <w:rPr>
                <w:noProof/>
                <w:sz w:val="18"/>
                <w:szCs w:val="20"/>
              </w:rPr>
            </w:pPr>
            <w:r w:rsidRPr="009B5734">
              <w:rPr>
                <w:noProof/>
                <w:sz w:val="18"/>
                <w:szCs w:val="20"/>
              </w:rPr>
              <w:t>Assumption</w:t>
            </w:r>
          </w:p>
        </w:tc>
        <w:tc>
          <w:tcPr>
            <w:tcW w:w="1335" w:type="pct"/>
            <w:tcBorders>
              <w:top w:val="single" w:sz="4" w:space="0" w:color="auto"/>
              <w:left w:val="nil"/>
              <w:bottom w:val="single" w:sz="4" w:space="0" w:color="auto"/>
              <w:right w:val="nil"/>
            </w:tcBorders>
            <w:shd w:val="clear" w:color="auto" w:fill="002395"/>
            <w:hideMark/>
          </w:tcPr>
          <w:p w:rsidR="00EA45F9" w:rsidRPr="009B5734" w:rsidRDefault="00EA45F9" w:rsidP="00981615">
            <w:pPr>
              <w:pStyle w:val="TableHeadingWhite"/>
              <w:spacing w:line="276" w:lineRule="auto"/>
              <w:jc w:val="center"/>
              <w:rPr>
                <w:noProof/>
                <w:sz w:val="18"/>
                <w:szCs w:val="20"/>
              </w:rPr>
            </w:pPr>
            <w:r w:rsidRPr="009B5734">
              <w:rPr>
                <w:noProof/>
                <w:sz w:val="18"/>
                <w:szCs w:val="20"/>
              </w:rPr>
              <w:t>Source</w:t>
            </w:r>
          </w:p>
        </w:tc>
      </w:tr>
      <w:tr w:rsidR="00EA45F9" w:rsidRPr="009B5734" w:rsidTr="00C84A99">
        <w:trPr>
          <w:trHeight w:val="391"/>
        </w:trPr>
        <w:tc>
          <w:tcPr>
            <w:tcW w:w="5000" w:type="pct"/>
            <w:gridSpan w:val="3"/>
            <w:tcBorders>
              <w:top w:val="single" w:sz="4" w:space="0" w:color="auto"/>
              <w:left w:val="nil"/>
              <w:bottom w:val="single" w:sz="4" w:space="0" w:color="auto"/>
              <w:right w:val="nil"/>
            </w:tcBorders>
            <w:shd w:val="clear" w:color="auto" w:fill="DBE5F1" w:themeFill="accent1" w:themeFillTint="33"/>
            <w:hideMark/>
          </w:tcPr>
          <w:p w:rsidR="00EA45F9" w:rsidRPr="009B5734" w:rsidRDefault="00EA45F9" w:rsidP="00981615">
            <w:pPr>
              <w:pStyle w:val="TableHeadingWhite"/>
              <w:spacing w:line="276" w:lineRule="auto"/>
              <w:rPr>
                <w:noProof/>
                <w:sz w:val="18"/>
                <w:szCs w:val="20"/>
              </w:rPr>
            </w:pPr>
            <w:r w:rsidRPr="009B5734">
              <w:rPr>
                <w:noProof/>
                <w:sz w:val="18"/>
                <w:szCs w:val="20"/>
              </w:rPr>
              <w:t>Manufacturers and Service Providers</w:t>
            </w:r>
          </w:p>
        </w:tc>
      </w:tr>
      <w:tr w:rsidR="00EA45F9" w:rsidRPr="009B5734" w:rsidTr="00C84A99">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Familiarization with the measure</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tcPr>
          <w:p w:rsidR="00EA45F9" w:rsidRPr="009B5734" w:rsidRDefault="00EA45F9" w:rsidP="00981615">
            <w:pPr>
              <w:pStyle w:val="TableTextNoSpace"/>
              <w:spacing w:line="276" w:lineRule="auto"/>
              <w:ind w:left="357"/>
              <w:rPr>
                <w:i/>
                <w:iCs/>
                <w:noProof/>
                <w:color w:val="000000" w:themeColor="text1"/>
                <w:sz w:val="18"/>
                <w:szCs w:val="20"/>
              </w:rPr>
            </w:pPr>
            <w:r w:rsidRPr="009B5734">
              <w:rPr>
                <w:i/>
                <w:iCs/>
                <w:noProof/>
                <w:sz w:val="18"/>
                <w:szCs w:val="20"/>
              </w:rPr>
              <w:t>This includes not only identifying the new obligations imposed by the measure but analysing what the necessary steps are that need to be taken to comply with it.</w:t>
            </w:r>
            <w:r w:rsidRPr="009B5734">
              <w:rPr>
                <w:rStyle w:val="FootnoteReference"/>
                <w:i/>
                <w:iCs/>
                <w:noProof/>
                <w:sz w:val="18"/>
                <w:szCs w:val="20"/>
              </w:rPr>
              <w:footnoteReference w:id="169"/>
            </w:r>
            <w:r w:rsidRPr="009B5734">
              <w:rPr>
                <w:i/>
                <w:iCs/>
                <w:noProof/>
                <w:sz w:val="18"/>
                <w:szCs w:val="20"/>
              </w:rPr>
              <w:t xml:space="preserve"> </w:t>
            </w:r>
          </w:p>
          <w:p w:rsidR="00EA45F9" w:rsidRPr="009B5734" w:rsidRDefault="00EA45F9" w:rsidP="00981615">
            <w:pPr>
              <w:pStyle w:val="TableTextNoSpace"/>
              <w:spacing w:line="276" w:lineRule="auto"/>
              <w:ind w:left="357"/>
              <w:rPr>
                <w:noProof/>
                <w:sz w:val="18"/>
                <w:szCs w:val="20"/>
              </w:rPr>
            </w:pPr>
            <w:r w:rsidRPr="009B5734">
              <w:rPr>
                <w:noProof/>
                <w:sz w:val="18"/>
                <w:szCs w:val="20"/>
              </w:rPr>
              <w:t>SMEs: 3.5 legal team, 1h product development team, 1h commercial team</w:t>
            </w:r>
          </w:p>
          <w:p w:rsidR="00EA45F9" w:rsidRPr="009B5734" w:rsidRDefault="00EA45F9" w:rsidP="00981615">
            <w:pPr>
              <w:pStyle w:val="TableTextNoSpace"/>
              <w:spacing w:line="276" w:lineRule="auto"/>
              <w:ind w:left="357"/>
              <w:rPr>
                <w:noProof/>
                <w:sz w:val="18"/>
                <w:szCs w:val="20"/>
              </w:rPr>
            </w:pPr>
            <w:r w:rsidRPr="009B5734">
              <w:rPr>
                <w:noProof/>
                <w:sz w:val="18"/>
                <w:szCs w:val="20"/>
              </w:rPr>
              <w:t>Large Enterprises: 3.5 legal team, 2h product development team, 2h commercial team</w:t>
            </w:r>
          </w:p>
          <w:p w:rsidR="00EA45F9" w:rsidRPr="009B5734" w:rsidRDefault="00EA45F9" w:rsidP="00981615">
            <w:pPr>
              <w:pStyle w:val="TableTextNoSpace"/>
              <w:spacing w:line="276" w:lineRule="auto"/>
              <w:ind w:left="357"/>
              <w:rPr>
                <w:noProof/>
                <w:sz w:val="18"/>
                <w:szCs w:val="20"/>
                <w:u w:val="single"/>
              </w:rPr>
            </w:pP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noProof/>
                <w:sz w:val="18"/>
                <w:szCs w:val="20"/>
              </w:rPr>
            </w:pPr>
            <w:r w:rsidRPr="009B5734">
              <w:rPr>
                <w:noProof/>
                <w:sz w:val="18"/>
                <w:szCs w:val="20"/>
              </w:rPr>
              <w:t>Interviews with companies and industry associations</w:t>
            </w:r>
          </w:p>
        </w:tc>
      </w:tr>
      <w:tr w:rsidR="00EA45F9" w:rsidRPr="009B5734" w:rsidTr="00C84A99">
        <w:trPr>
          <w:trHeight w:val="530"/>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Training</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i/>
                <w:iCs/>
                <w:noProof/>
                <w:color w:val="000000" w:themeColor="text1"/>
                <w:sz w:val="18"/>
                <w:szCs w:val="20"/>
              </w:rPr>
            </w:pPr>
            <w:r w:rsidRPr="009B5734">
              <w:rPr>
                <w:i/>
                <w:iCs/>
                <w:noProof/>
                <w:sz w:val="18"/>
                <w:szCs w:val="20"/>
              </w:rPr>
              <w:t>This includes an initial training of managers</w:t>
            </w:r>
          </w:p>
          <w:p w:rsidR="00EA45F9" w:rsidRPr="009B5734" w:rsidRDefault="00EA45F9" w:rsidP="00981615">
            <w:pPr>
              <w:pStyle w:val="TableTextNoSpace"/>
              <w:spacing w:line="276" w:lineRule="auto"/>
              <w:ind w:left="357"/>
              <w:rPr>
                <w:noProof/>
                <w:sz w:val="18"/>
                <w:szCs w:val="20"/>
              </w:rPr>
            </w:pPr>
            <w:r w:rsidRPr="009B5734">
              <w:rPr>
                <w:noProof/>
                <w:sz w:val="18"/>
                <w:szCs w:val="20"/>
              </w:rPr>
              <w:t>SME: 0.5h manager</w:t>
            </w:r>
          </w:p>
          <w:p w:rsidR="00EA45F9" w:rsidRPr="009B5734" w:rsidRDefault="00EA45F9" w:rsidP="00981615">
            <w:pPr>
              <w:pStyle w:val="TableTextNoSpace"/>
              <w:spacing w:line="276" w:lineRule="auto"/>
              <w:ind w:left="357"/>
              <w:rPr>
                <w:noProof/>
                <w:sz w:val="18"/>
                <w:szCs w:val="20"/>
              </w:rPr>
            </w:pPr>
            <w:r w:rsidRPr="009B5734">
              <w:rPr>
                <w:noProof/>
                <w:sz w:val="18"/>
                <w:szCs w:val="20"/>
              </w:rPr>
              <w:t>Large enterprises: 1h managers</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noProof/>
                <w:sz w:val="18"/>
                <w:szCs w:val="20"/>
              </w:rPr>
            </w:pPr>
            <w:r w:rsidRPr="009B5734">
              <w:rPr>
                <w:noProof/>
                <w:sz w:val="18"/>
                <w:szCs w:val="20"/>
              </w:rPr>
              <w:t>Interviews with companies and industry associations</w:t>
            </w:r>
          </w:p>
        </w:tc>
      </w:tr>
      <w:tr w:rsidR="00EA45F9" w:rsidRPr="009B5734" w:rsidTr="00C84A99">
        <w:trPr>
          <w:trHeight w:val="558"/>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Retrieving relevant information from existing data and adjusting existing data (including adapting system to retrieve information)</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i/>
                <w:iCs/>
                <w:noProof/>
                <w:color w:val="000000" w:themeColor="text1"/>
                <w:sz w:val="18"/>
                <w:szCs w:val="20"/>
              </w:rPr>
            </w:pPr>
            <w:r w:rsidRPr="009B5734">
              <w:rPr>
                <w:i/>
                <w:iCs/>
                <w:noProof/>
                <w:sz w:val="18"/>
                <w:szCs w:val="20"/>
              </w:rPr>
              <w:t>This includes gathering data about which products have claims that are not allowed according to the measure. We assume the information is very easy to trace as it is included with the products.</w:t>
            </w:r>
          </w:p>
          <w:p w:rsidR="00EA45F9" w:rsidRPr="009B5734" w:rsidRDefault="00EA45F9" w:rsidP="00981615">
            <w:pPr>
              <w:pStyle w:val="TableTextNoSpace"/>
              <w:spacing w:line="276" w:lineRule="auto"/>
              <w:ind w:left="357"/>
              <w:rPr>
                <w:noProof/>
                <w:sz w:val="18"/>
                <w:szCs w:val="20"/>
              </w:rPr>
            </w:pPr>
            <w:r w:rsidRPr="009B5734">
              <w:rPr>
                <w:noProof/>
                <w:sz w:val="18"/>
                <w:szCs w:val="20"/>
              </w:rPr>
              <w:t>SME: 7h employees</w:t>
            </w:r>
          </w:p>
          <w:p w:rsidR="00EA45F9" w:rsidRPr="009B5734" w:rsidRDefault="00EA45F9" w:rsidP="00981615">
            <w:pPr>
              <w:pStyle w:val="TableTextNoSpace"/>
              <w:spacing w:line="276" w:lineRule="auto"/>
              <w:ind w:left="357"/>
              <w:rPr>
                <w:noProof/>
                <w:sz w:val="36"/>
                <w:szCs w:val="40"/>
              </w:rPr>
            </w:pPr>
            <w:r w:rsidRPr="009B5734">
              <w:rPr>
                <w:noProof/>
                <w:sz w:val="18"/>
                <w:szCs w:val="20"/>
              </w:rPr>
              <w:t>Large enterprises: 14h employees</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i/>
                <w:iCs/>
                <w:noProof/>
                <w:sz w:val="18"/>
                <w:szCs w:val="20"/>
              </w:rPr>
            </w:pPr>
            <w:r w:rsidRPr="009B5734">
              <w:rPr>
                <w:noProof/>
                <w:sz w:val="18"/>
                <w:szCs w:val="20"/>
              </w:rPr>
              <w:t>Interviews with companies and industry associations</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 xml:space="preserve">Producing new data </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 per model)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noProof/>
                <w:color w:val="000000" w:themeColor="text1"/>
                <w:sz w:val="18"/>
                <w:szCs w:val="18"/>
              </w:rPr>
            </w:pPr>
            <w:r w:rsidRPr="009B5734">
              <w:rPr>
                <w:noProof/>
                <w:sz w:val="36"/>
                <w:szCs w:val="36"/>
              </w:rPr>
              <w:t>-</w:t>
            </w: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357"/>
              <w:jc w:val="center"/>
              <w:rPr>
                <w:iCs/>
                <w:noProof/>
                <w:sz w:val="18"/>
                <w:szCs w:val="20"/>
              </w:rPr>
            </w:pP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Designing and placing information material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jc w:val="center"/>
              <w:rPr>
                <w:i/>
                <w:iCs/>
                <w:noProof/>
                <w:color w:val="000000" w:themeColor="text1"/>
                <w:sz w:val="18"/>
                <w:szCs w:val="20"/>
              </w:rPr>
            </w:pPr>
            <w:r w:rsidRPr="009B5734">
              <w:rPr>
                <w:i/>
                <w:iCs/>
                <w:noProof/>
                <w:sz w:val="18"/>
                <w:szCs w:val="20"/>
              </w:rPr>
              <w:t>This includes re-designing the packages that still include banned claims at the time the measure enters into force</w:t>
            </w:r>
          </w:p>
          <w:p w:rsidR="00EA45F9" w:rsidRPr="009B5734" w:rsidRDefault="00EA45F9" w:rsidP="00981615">
            <w:pPr>
              <w:pStyle w:val="TableTextNoSpace"/>
              <w:spacing w:line="276" w:lineRule="auto"/>
              <w:ind w:left="357"/>
              <w:rPr>
                <w:noProof/>
                <w:sz w:val="18"/>
                <w:szCs w:val="20"/>
              </w:rPr>
            </w:pPr>
            <w:r w:rsidRPr="009B5734">
              <w:rPr>
                <w:noProof/>
                <w:sz w:val="18"/>
                <w:szCs w:val="20"/>
              </w:rPr>
              <w:t>SME: [14,28]h employees</w:t>
            </w:r>
          </w:p>
          <w:p w:rsidR="00EA45F9" w:rsidRPr="009B5734" w:rsidRDefault="00EA45F9" w:rsidP="00981615">
            <w:pPr>
              <w:pStyle w:val="TableTextNoSpace"/>
              <w:spacing w:line="276" w:lineRule="auto"/>
              <w:ind w:left="357"/>
              <w:rPr>
                <w:noProof/>
                <w:sz w:val="18"/>
                <w:szCs w:val="20"/>
              </w:rPr>
            </w:pPr>
            <w:r w:rsidRPr="009B5734">
              <w:rPr>
                <w:noProof/>
                <w:sz w:val="18"/>
                <w:szCs w:val="20"/>
              </w:rPr>
              <w:t>Large enterprises: [28,42]h employees</w:t>
            </w: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357"/>
              <w:rPr>
                <w:noProof/>
                <w:sz w:val="18"/>
                <w:szCs w:val="20"/>
              </w:rPr>
            </w:pPr>
            <w:r w:rsidRPr="009B5734">
              <w:rPr>
                <w:noProof/>
                <w:sz w:val="18"/>
                <w:szCs w:val="20"/>
              </w:rPr>
              <w:t>Interviews with companies and industry associations</w:t>
            </w:r>
          </w:p>
          <w:p w:rsidR="00EA45F9" w:rsidRPr="009B5734" w:rsidRDefault="00EA45F9" w:rsidP="00981615">
            <w:pPr>
              <w:pStyle w:val="TableTextNoSpace"/>
              <w:spacing w:line="276" w:lineRule="auto"/>
              <w:ind w:left="357"/>
              <w:jc w:val="center"/>
              <w:rPr>
                <w:noProof/>
                <w:sz w:val="18"/>
                <w:szCs w:val="20"/>
              </w:rPr>
            </w:pP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Adjust forms and tables (one-off)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jc w:val="center"/>
              <w:rPr>
                <w:noProof/>
                <w:color w:val="000000" w:themeColor="text1"/>
                <w:sz w:val="18"/>
                <w:szCs w:val="18"/>
              </w:rPr>
            </w:pPr>
            <w:r w:rsidRPr="009B5734">
              <w:rPr>
                <w:noProof/>
                <w:sz w:val="36"/>
                <w:szCs w:val="36"/>
              </w:rPr>
              <w:t>-</w:t>
            </w: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357"/>
              <w:jc w:val="center"/>
              <w:rPr>
                <w:noProof/>
                <w:sz w:val="18"/>
                <w:szCs w:val="20"/>
              </w:rPr>
            </w:pP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Inspections (internal and external)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noProof/>
                <w:color w:val="000000" w:themeColor="text1"/>
                <w:sz w:val="18"/>
                <w:szCs w:val="20"/>
              </w:rPr>
            </w:pPr>
            <w:r w:rsidRPr="009B5734">
              <w:rPr>
                <w:noProof/>
                <w:sz w:val="18"/>
                <w:szCs w:val="20"/>
              </w:rPr>
              <w:t>Internal inspections involve 0.5h of a manager and 1h of an employee in the case of SMEs and 1h of managers and 4h in the case of large enterprises</w:t>
            </w:r>
          </w:p>
          <w:p w:rsidR="00EA45F9" w:rsidRPr="009B5734" w:rsidRDefault="00EA45F9" w:rsidP="00981615">
            <w:pPr>
              <w:pStyle w:val="TableTextNoSpace"/>
              <w:spacing w:line="276" w:lineRule="auto"/>
              <w:ind w:left="357"/>
              <w:rPr>
                <w:i/>
                <w:iCs/>
                <w:noProof/>
                <w:sz w:val="18"/>
                <w:szCs w:val="20"/>
              </w:rPr>
            </w:pPr>
            <w:r w:rsidRPr="009B5734">
              <w:rPr>
                <w:i/>
                <w:iCs/>
                <w:noProof/>
                <w:sz w:val="18"/>
                <w:szCs w:val="20"/>
              </w:rPr>
              <w:t xml:space="preserve">External inspections are expected to take place in less than 1% of the companies. Each external inspection will require an amount of time similar to an internal inspection. </w:t>
            </w: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357"/>
              <w:rPr>
                <w:noProof/>
                <w:sz w:val="18"/>
                <w:szCs w:val="20"/>
              </w:rPr>
            </w:pPr>
            <w:r w:rsidRPr="009B5734">
              <w:rPr>
                <w:noProof/>
                <w:sz w:val="18"/>
                <w:szCs w:val="20"/>
              </w:rPr>
              <w:t>Interviews with companies and industry associations</w:t>
            </w:r>
          </w:p>
          <w:p w:rsidR="00EA45F9" w:rsidRPr="009B5734" w:rsidRDefault="00EA45F9" w:rsidP="00981615">
            <w:pPr>
              <w:pStyle w:val="TableTextNoSpace"/>
              <w:spacing w:line="276" w:lineRule="auto"/>
              <w:ind w:left="357"/>
              <w:jc w:val="center"/>
              <w:rPr>
                <w:noProof/>
                <w:sz w:val="18"/>
                <w:szCs w:val="20"/>
              </w:rPr>
            </w:pPr>
          </w:p>
          <w:p w:rsidR="00EA45F9" w:rsidRPr="009B5734" w:rsidRDefault="00EA45F9" w:rsidP="00981615">
            <w:pPr>
              <w:pStyle w:val="TableTextNoSpace"/>
              <w:spacing w:line="276" w:lineRule="auto"/>
              <w:ind w:left="357"/>
              <w:jc w:val="center"/>
              <w:rPr>
                <w:noProof/>
                <w:sz w:val="18"/>
                <w:szCs w:val="20"/>
              </w:rPr>
            </w:pPr>
            <w:r w:rsidRPr="009B5734">
              <w:rPr>
                <w:noProof/>
                <w:sz w:val="18"/>
                <w:szCs w:val="20"/>
              </w:rPr>
              <w:t>Expert judgment by panel</w:t>
            </w:r>
          </w:p>
        </w:tc>
      </w:tr>
      <w:tr w:rsidR="00EA45F9" w:rsidRPr="009B5734" w:rsidTr="00C84A99">
        <w:trPr>
          <w:trHeight w:val="391"/>
        </w:trPr>
        <w:tc>
          <w:tcPr>
            <w:tcW w:w="5000" w:type="pct"/>
            <w:gridSpan w:val="3"/>
            <w:tcBorders>
              <w:top w:val="single" w:sz="4" w:space="0" w:color="auto"/>
              <w:left w:val="nil"/>
              <w:bottom w:val="single" w:sz="4" w:space="0" w:color="auto"/>
              <w:right w:val="nil"/>
            </w:tcBorders>
            <w:shd w:val="clear" w:color="auto" w:fill="DBE5F1" w:themeFill="accent1" w:themeFillTint="33"/>
            <w:hideMark/>
          </w:tcPr>
          <w:p w:rsidR="00EA45F9" w:rsidRPr="009B5734" w:rsidRDefault="00EA45F9" w:rsidP="00981615">
            <w:pPr>
              <w:pStyle w:val="TableHeadingWhite"/>
              <w:spacing w:line="276" w:lineRule="auto"/>
              <w:ind w:left="142" w:firstLine="0"/>
              <w:rPr>
                <w:noProof/>
                <w:sz w:val="18"/>
                <w:szCs w:val="20"/>
              </w:rPr>
            </w:pPr>
            <w:r w:rsidRPr="009B5734">
              <w:rPr>
                <w:noProof/>
                <w:sz w:val="18"/>
                <w:szCs w:val="20"/>
              </w:rPr>
              <w:t xml:space="preserve">Retailers </w:t>
            </w:r>
          </w:p>
        </w:tc>
      </w:tr>
      <w:tr w:rsidR="00EA45F9" w:rsidRPr="009B5734" w:rsidTr="00C84A99">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Familiarization with the measure</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i/>
                <w:iCs/>
                <w:noProof/>
                <w:color w:val="000000" w:themeColor="text1"/>
                <w:sz w:val="18"/>
                <w:szCs w:val="20"/>
              </w:rPr>
            </w:pPr>
            <w:r w:rsidRPr="009B5734">
              <w:rPr>
                <w:i/>
                <w:iCs/>
                <w:noProof/>
                <w:sz w:val="18"/>
                <w:szCs w:val="20"/>
              </w:rPr>
              <w:t xml:space="preserve">This includes not only identifying the new obligations imposed by the measure but also analysing the necessary steps that need to be taken to comply with it </w:t>
            </w:r>
          </w:p>
          <w:p w:rsidR="00EA45F9" w:rsidRPr="009B5734" w:rsidRDefault="00EA45F9" w:rsidP="00981615">
            <w:pPr>
              <w:pStyle w:val="TableTextNoSpace"/>
              <w:spacing w:line="276" w:lineRule="auto"/>
              <w:ind w:left="357"/>
              <w:rPr>
                <w:noProof/>
                <w:sz w:val="18"/>
                <w:szCs w:val="20"/>
              </w:rPr>
            </w:pPr>
            <w:r w:rsidRPr="009B5734">
              <w:rPr>
                <w:noProof/>
                <w:sz w:val="18"/>
                <w:szCs w:val="20"/>
              </w:rPr>
              <w:t>SME: 3.5h legal team, 1h commercial team</w:t>
            </w:r>
          </w:p>
          <w:p w:rsidR="00EA45F9" w:rsidRPr="009B5734" w:rsidRDefault="00EA45F9" w:rsidP="00981615">
            <w:pPr>
              <w:pStyle w:val="TableTextNoSpace"/>
              <w:spacing w:line="276" w:lineRule="auto"/>
              <w:ind w:left="357"/>
              <w:rPr>
                <w:noProof/>
                <w:sz w:val="18"/>
                <w:szCs w:val="20"/>
              </w:rPr>
            </w:pPr>
            <w:r w:rsidRPr="009B5734">
              <w:rPr>
                <w:noProof/>
                <w:sz w:val="18"/>
                <w:szCs w:val="20"/>
              </w:rPr>
              <w:t>Large Enterprises:  3.5h legal team, 2h commercial team</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noProof/>
                <w:sz w:val="18"/>
                <w:szCs w:val="20"/>
              </w:rPr>
            </w:pPr>
            <w:r w:rsidRPr="009B5734">
              <w:rPr>
                <w:noProof/>
                <w:sz w:val="18"/>
                <w:szCs w:val="20"/>
              </w:rPr>
              <w:t>Interviews with companies and industry associations</w:t>
            </w:r>
          </w:p>
        </w:tc>
      </w:tr>
      <w:tr w:rsidR="00EA45F9" w:rsidRPr="009B5734" w:rsidTr="00C84A99">
        <w:trPr>
          <w:trHeight w:val="1263"/>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Training</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i/>
                <w:iCs/>
                <w:noProof/>
                <w:color w:val="000000" w:themeColor="text1"/>
                <w:sz w:val="18"/>
                <w:szCs w:val="20"/>
              </w:rPr>
            </w:pPr>
            <w:r w:rsidRPr="009B5734">
              <w:rPr>
                <w:i/>
                <w:iCs/>
                <w:noProof/>
                <w:sz w:val="18"/>
                <w:szCs w:val="20"/>
              </w:rPr>
              <w:t>This includes an initial training of managers and key employees</w:t>
            </w:r>
          </w:p>
          <w:p w:rsidR="00EA45F9" w:rsidRPr="009B5734" w:rsidRDefault="00EA45F9" w:rsidP="00981615">
            <w:pPr>
              <w:pStyle w:val="TableTextNoSpace"/>
              <w:spacing w:line="276" w:lineRule="auto"/>
              <w:ind w:left="357"/>
              <w:rPr>
                <w:noProof/>
                <w:sz w:val="18"/>
                <w:szCs w:val="20"/>
              </w:rPr>
            </w:pPr>
            <w:r w:rsidRPr="009B5734">
              <w:rPr>
                <w:noProof/>
                <w:sz w:val="18"/>
                <w:szCs w:val="20"/>
              </w:rPr>
              <w:t>SME: 0.5h manager + 1h key employees</w:t>
            </w:r>
          </w:p>
          <w:p w:rsidR="00EA45F9" w:rsidRPr="009B5734" w:rsidRDefault="00EA45F9" w:rsidP="00981615">
            <w:pPr>
              <w:pStyle w:val="TableTextNoSpace"/>
              <w:spacing w:line="276" w:lineRule="auto"/>
              <w:ind w:left="357"/>
              <w:rPr>
                <w:noProof/>
                <w:sz w:val="18"/>
                <w:szCs w:val="20"/>
              </w:rPr>
            </w:pPr>
            <w:r w:rsidRPr="009B5734">
              <w:rPr>
                <w:noProof/>
                <w:sz w:val="18"/>
                <w:szCs w:val="20"/>
              </w:rPr>
              <w:t>Large enterprises: 1h managers + 2h key employees</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noProof/>
                <w:sz w:val="18"/>
                <w:szCs w:val="20"/>
              </w:rPr>
            </w:pPr>
            <w:r w:rsidRPr="009B5734">
              <w:rPr>
                <w:noProof/>
                <w:sz w:val="18"/>
                <w:szCs w:val="20"/>
              </w:rPr>
              <w:t>Interviews with companies and industry associations</w:t>
            </w:r>
          </w:p>
        </w:tc>
      </w:tr>
      <w:tr w:rsidR="00EA45F9" w:rsidRPr="009B5734" w:rsidTr="00C84A99">
        <w:trPr>
          <w:trHeight w:val="558"/>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Retrieving relevant information from existing data and adjusting existing data</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jc w:val="center"/>
              <w:rPr>
                <w:noProof/>
                <w:color w:val="000000" w:themeColor="text1"/>
                <w:sz w:val="36"/>
                <w:szCs w:val="36"/>
              </w:rPr>
            </w:pPr>
            <w:r w:rsidRPr="009B5734">
              <w:rPr>
                <w:noProof/>
                <w:sz w:val="36"/>
                <w:szCs w:val="36"/>
              </w:rPr>
              <w:t>-</w:t>
            </w:r>
          </w:p>
        </w:tc>
        <w:tc>
          <w:tcPr>
            <w:tcW w:w="1335" w:type="pct"/>
            <w:tcBorders>
              <w:top w:val="single" w:sz="4" w:space="0" w:color="auto"/>
              <w:left w:val="nil"/>
              <w:bottom w:val="single" w:sz="4" w:space="0" w:color="auto"/>
              <w:right w:val="nil"/>
            </w:tcBorders>
            <w:shd w:val="clear" w:color="auto" w:fill="auto"/>
          </w:tcPr>
          <w:p w:rsidR="00EA45F9" w:rsidRPr="009B5734" w:rsidRDefault="00EA45F9" w:rsidP="00981615">
            <w:pPr>
              <w:pStyle w:val="TableTextNoSpace"/>
              <w:spacing w:line="276" w:lineRule="auto"/>
              <w:ind w:left="357"/>
              <w:rPr>
                <w:i/>
                <w:iCs/>
                <w:noProof/>
                <w:sz w:val="18"/>
                <w:szCs w:val="20"/>
              </w:rPr>
            </w:pP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Producing new data</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jc w:val="center"/>
              <w:rPr>
                <w:noProof/>
                <w:color w:val="000000" w:themeColor="text1"/>
                <w:sz w:val="18"/>
                <w:szCs w:val="18"/>
              </w:rPr>
            </w:pPr>
            <w:r w:rsidRPr="009B5734">
              <w:rPr>
                <w:noProof/>
                <w:sz w:val="36"/>
                <w:szCs w:val="36"/>
              </w:rPr>
              <w:t>-</w:t>
            </w: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357"/>
              <w:rPr>
                <w:iCs/>
                <w:noProof/>
                <w:sz w:val="18"/>
                <w:szCs w:val="20"/>
              </w:rPr>
            </w:pP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Designing and placing information material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jc w:val="center"/>
              <w:rPr>
                <w:i/>
                <w:iCs/>
                <w:noProof/>
                <w:color w:val="000000" w:themeColor="text1"/>
                <w:sz w:val="18"/>
                <w:szCs w:val="20"/>
              </w:rPr>
            </w:pPr>
            <w:r w:rsidRPr="009B5734">
              <w:rPr>
                <w:i/>
                <w:iCs/>
                <w:noProof/>
                <w:sz w:val="18"/>
                <w:szCs w:val="20"/>
              </w:rPr>
              <w:t>This includes ensuring that the packages do not have banned claims. We assume that in the first years after the implementation of the measure, there might be products in stock with claims that need to be “removed” using for example a sticker</w:t>
            </w:r>
          </w:p>
          <w:p w:rsidR="00EA45F9" w:rsidRPr="009B5734" w:rsidRDefault="00EA45F9" w:rsidP="00981615">
            <w:pPr>
              <w:pStyle w:val="TableTextNoSpace"/>
              <w:spacing w:line="276" w:lineRule="auto"/>
              <w:ind w:left="357"/>
              <w:rPr>
                <w:noProof/>
                <w:sz w:val="18"/>
                <w:szCs w:val="20"/>
              </w:rPr>
            </w:pPr>
            <w:r w:rsidRPr="009B5734">
              <w:rPr>
                <w:noProof/>
                <w:sz w:val="18"/>
                <w:szCs w:val="20"/>
              </w:rPr>
              <w:t>SME: 7h employees</w:t>
            </w:r>
          </w:p>
          <w:p w:rsidR="00EA45F9" w:rsidRPr="009B5734" w:rsidRDefault="00EA45F9" w:rsidP="00981615">
            <w:pPr>
              <w:pStyle w:val="TableTextNoSpace"/>
              <w:spacing w:line="276" w:lineRule="auto"/>
              <w:ind w:left="357"/>
              <w:rPr>
                <w:i/>
                <w:iCs/>
                <w:noProof/>
                <w:sz w:val="18"/>
                <w:szCs w:val="20"/>
              </w:rPr>
            </w:pPr>
            <w:r w:rsidRPr="009B5734">
              <w:rPr>
                <w:noProof/>
                <w:sz w:val="18"/>
                <w:szCs w:val="20"/>
              </w:rPr>
              <w:t>Large enterprises: 14h employees</w:t>
            </w:r>
          </w:p>
        </w:tc>
        <w:tc>
          <w:tcPr>
            <w:tcW w:w="1335" w:type="pct"/>
            <w:tcBorders>
              <w:top w:val="single" w:sz="4" w:space="0" w:color="auto"/>
              <w:left w:val="nil"/>
              <w:bottom w:val="single" w:sz="4" w:space="0" w:color="auto"/>
              <w:right w:val="nil"/>
            </w:tcBorders>
            <w:shd w:val="clear" w:color="auto" w:fill="auto"/>
            <w:vAlign w:val="center"/>
            <w:hideMark/>
          </w:tcPr>
          <w:p w:rsidR="00EA45F9" w:rsidRPr="009B5734" w:rsidRDefault="00EA45F9" w:rsidP="00981615">
            <w:pPr>
              <w:pStyle w:val="TableTextNoSpace"/>
              <w:spacing w:line="276" w:lineRule="auto"/>
              <w:ind w:left="357"/>
              <w:rPr>
                <w:noProof/>
                <w:sz w:val="18"/>
                <w:szCs w:val="20"/>
              </w:rPr>
            </w:pPr>
            <w:r w:rsidRPr="009B5734">
              <w:rPr>
                <w:noProof/>
                <w:sz w:val="18"/>
                <w:szCs w:val="20"/>
              </w:rPr>
              <w:t>Expert judgment by panel</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Adjust forms and tables (one-off)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jc w:val="center"/>
              <w:rPr>
                <w:noProof/>
                <w:color w:val="000000" w:themeColor="text1"/>
                <w:sz w:val="18"/>
                <w:szCs w:val="18"/>
              </w:rPr>
            </w:pPr>
            <w:r w:rsidRPr="009B5734">
              <w:rPr>
                <w:noProof/>
                <w:sz w:val="36"/>
                <w:szCs w:val="36"/>
              </w:rPr>
              <w:t>-</w:t>
            </w: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357"/>
              <w:jc w:val="center"/>
              <w:rPr>
                <w:noProof/>
                <w:sz w:val="18"/>
                <w:szCs w:val="20"/>
              </w:rPr>
            </w:pP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Inspections (internal and external)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jc w:val="center"/>
              <w:rPr>
                <w:i/>
                <w:iCs/>
                <w:noProof/>
                <w:color w:val="000000" w:themeColor="text1"/>
                <w:sz w:val="18"/>
                <w:szCs w:val="20"/>
              </w:rPr>
            </w:pPr>
            <w:r w:rsidRPr="009B5734">
              <w:rPr>
                <w:i/>
                <w:iCs/>
                <w:noProof/>
                <w:sz w:val="18"/>
                <w:szCs w:val="20"/>
              </w:rPr>
              <w:t>External inspections are expected to take place in less than 1% of the companies. Each external inspection will require 0.5h of manager and 3.5h employees for SMEs and 1h of managers and 7h employees for Large Enterprises.</w:t>
            </w:r>
          </w:p>
        </w:tc>
        <w:tc>
          <w:tcPr>
            <w:tcW w:w="1335" w:type="pct"/>
            <w:tcBorders>
              <w:top w:val="single" w:sz="4" w:space="0" w:color="auto"/>
              <w:left w:val="nil"/>
              <w:bottom w:val="single" w:sz="4" w:space="0" w:color="auto"/>
              <w:right w:val="nil"/>
            </w:tcBorders>
            <w:shd w:val="clear" w:color="auto" w:fill="auto"/>
            <w:vAlign w:val="center"/>
            <w:hideMark/>
          </w:tcPr>
          <w:p w:rsidR="00EA45F9" w:rsidRPr="009B5734" w:rsidRDefault="00EA45F9" w:rsidP="00981615">
            <w:pPr>
              <w:pStyle w:val="TableTextNoSpace"/>
              <w:spacing w:line="276" w:lineRule="auto"/>
              <w:ind w:left="357"/>
              <w:rPr>
                <w:noProof/>
                <w:sz w:val="18"/>
                <w:szCs w:val="20"/>
              </w:rPr>
            </w:pPr>
            <w:r w:rsidRPr="009B5734">
              <w:rPr>
                <w:noProof/>
                <w:sz w:val="18"/>
                <w:szCs w:val="20"/>
              </w:rPr>
              <w:t>Expert judgment by panel</w:t>
            </w:r>
          </w:p>
        </w:tc>
      </w:tr>
    </w:tbl>
    <w:p w:rsidR="00EA45F9" w:rsidRPr="009B5734" w:rsidRDefault="00EA45F9" w:rsidP="00EA45F9">
      <w:pPr>
        <w:pStyle w:val="Titlecost"/>
        <w:rPr>
          <w:rFonts w:ascii="Times New Roman" w:hAnsi="Times New Roman" w:cs="Times New Roman"/>
          <w:noProof/>
          <w:sz w:val="24"/>
          <w:szCs w:val="24"/>
        </w:rPr>
      </w:pPr>
      <w:r w:rsidRPr="009B5734">
        <w:rPr>
          <w:rFonts w:ascii="Times New Roman" w:hAnsi="Times New Roman" w:cs="Times New Roman"/>
          <w:noProof/>
          <w:sz w:val="24"/>
          <w:szCs w:val="24"/>
        </w:rPr>
        <w:t>Enforcement costs</w:t>
      </w:r>
    </w:p>
    <w:p w:rsidR="00EA45F9" w:rsidRPr="009B5734" w:rsidRDefault="00EA45F9" w:rsidP="00EA45F9">
      <w:pPr>
        <w:pStyle w:val="BodyText"/>
        <w:ind w:left="0" w:firstLine="0"/>
        <w:rPr>
          <w:rFonts w:ascii="Times New Roman" w:hAnsi="Times New Roman"/>
          <w:noProof/>
          <w:sz w:val="24"/>
        </w:rPr>
      </w:pPr>
      <w:r w:rsidRPr="009B5734">
        <w:rPr>
          <w:rFonts w:ascii="Times New Roman" w:hAnsi="Times New Roman"/>
          <w:noProof/>
          <w:sz w:val="24"/>
        </w:rPr>
        <w:t>It is assumed that the measure would not require significant additional resources on top of the existing ones to enforce UCPD. In fact, some of the interviewed CPC authorities even indicated that the measure might lead to savings as it will help them to prove the practice of “greenwashing” more easily (less resources are needed to substantiate their assessment). For these Member States we considered that the measure does not bring incremental costs. For the others, we assume that one Full Time equivalent would work half time with 50% of its time devoted to monitoring, 25% to inspections and the remaining 25% to handle complaints.</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For all Member States, we assumed 35h for two people getting familiarized with the measure and adjust the internal procedures to start enforcing the measure. 16 employees will receive a 7h training.</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It is also assumed that there might be a yearly action per Member State, which will cost EUR 20,000 (based on market research).</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costs of an ADR body adjudication and of a court adjudication were obtained from the Impact Assessment of CPC authorities and supporting study</w:t>
      </w:r>
      <w:r w:rsidRPr="009B5734">
        <w:rPr>
          <w:rStyle w:val="FootnoteReference"/>
          <w:rFonts w:ascii="Times New Roman" w:hAnsi="Times New Roman" w:cs="Times New Roman"/>
          <w:noProof/>
          <w:sz w:val="24"/>
          <w:szCs w:val="24"/>
        </w:rPr>
        <w:footnoteReference w:id="170"/>
      </w:r>
      <w:r w:rsidRPr="009B5734">
        <w:rPr>
          <w:rFonts w:ascii="Times New Roman" w:hAnsi="Times New Roman" w:cs="Times New Roman"/>
          <w:noProof/>
          <w:sz w:val="24"/>
          <w:szCs w:val="24"/>
        </w:rPr>
        <w:t xml:space="preserve">. </w:t>
      </w:r>
    </w:p>
    <w:p w:rsidR="00EA45F9" w:rsidRPr="009B5734" w:rsidRDefault="00EA45F9" w:rsidP="00EA45F9">
      <w:pPr>
        <w:pStyle w:val="Titlecost"/>
        <w:rPr>
          <w:rFonts w:ascii="Times New Roman" w:hAnsi="Times New Roman" w:cs="Times New Roman"/>
          <w:noProof/>
          <w:sz w:val="24"/>
          <w:szCs w:val="24"/>
        </w:rPr>
      </w:pPr>
      <w:r w:rsidRPr="009B5734">
        <w:rPr>
          <w:rFonts w:ascii="Times New Roman" w:hAnsi="Times New Roman" w:cs="Times New Roman"/>
          <w:noProof/>
          <w:sz w:val="24"/>
          <w:szCs w:val="24"/>
        </w:rPr>
        <w:t>Impact on monetisable consumer welfare</w:t>
      </w:r>
    </w:p>
    <w:p w:rsidR="00EA45F9" w:rsidRPr="004931D3" w:rsidRDefault="00EA45F9">
      <w:pPr>
        <w:pStyle w:val="BTBullet1Last"/>
        <w:tabs>
          <w:tab w:val="clear" w:pos="1191"/>
          <w:tab w:val="left" w:pos="720"/>
        </w:tabs>
        <w:ind w:left="0" w:firstLine="0"/>
        <w:rPr>
          <w:rFonts w:ascii="Times New Roman" w:hAnsi="Times New Roman"/>
          <w:noProof/>
          <w:sz w:val="24"/>
        </w:rPr>
      </w:pPr>
      <w:r w:rsidRPr="6B053803">
        <w:rPr>
          <w:rFonts w:ascii="Times New Roman" w:hAnsi="Times New Roman"/>
          <w:noProof/>
          <w:sz w:val="24"/>
        </w:rPr>
        <w:t>The approach to quantification of the impact of the measure on the monetisable consumer welfare was the following:</w:t>
      </w:r>
    </w:p>
    <w:p w:rsidR="00EA45F9" w:rsidRPr="009B5734" w:rsidRDefault="00EA45F9" w:rsidP="00EA45F9">
      <w:pPr>
        <w:pStyle w:val="BTBullet1Last"/>
        <w:numPr>
          <w:ilvl w:val="0"/>
          <w:numId w:val="194"/>
        </w:numPr>
        <w:tabs>
          <w:tab w:val="left" w:pos="720"/>
        </w:tabs>
        <w:spacing w:before="120" w:line="240" w:lineRule="auto"/>
        <w:ind w:left="0" w:firstLine="0"/>
        <w:jc w:val="left"/>
        <w:rPr>
          <w:rFonts w:ascii="Times New Roman" w:hAnsi="Times New Roman"/>
          <w:noProof/>
          <w:sz w:val="24"/>
        </w:rPr>
      </w:pPr>
      <w:r w:rsidRPr="009B5734">
        <w:rPr>
          <w:rFonts w:ascii="Times New Roman" w:hAnsi="Times New Roman"/>
          <w:noProof/>
          <w:sz w:val="24"/>
        </w:rPr>
        <w:t>Step 1. Estimate the percentage of products carrying claims that will become banned if the measure is implemented.</w:t>
      </w:r>
      <w:r w:rsidRPr="009B5734">
        <w:rPr>
          <w:rStyle w:val="FootnoteReference"/>
          <w:rFonts w:ascii="Times New Roman" w:hAnsi="Times New Roman"/>
          <w:noProof/>
          <w:sz w:val="24"/>
        </w:rPr>
        <w:footnoteReference w:id="171"/>
      </w:r>
    </w:p>
    <w:p w:rsidR="00EA45F9" w:rsidRPr="009B5734" w:rsidRDefault="00EA45F9" w:rsidP="00EA45F9">
      <w:pPr>
        <w:pStyle w:val="BTBullet1Last"/>
        <w:numPr>
          <w:ilvl w:val="0"/>
          <w:numId w:val="194"/>
        </w:numPr>
        <w:tabs>
          <w:tab w:val="left" w:pos="720"/>
        </w:tabs>
        <w:spacing w:before="120" w:line="240" w:lineRule="auto"/>
        <w:ind w:left="0" w:firstLine="0"/>
        <w:jc w:val="left"/>
        <w:rPr>
          <w:rFonts w:ascii="Times New Roman" w:hAnsi="Times New Roman"/>
          <w:noProof/>
          <w:sz w:val="24"/>
        </w:rPr>
      </w:pPr>
      <w:r w:rsidRPr="009B5734">
        <w:rPr>
          <w:rFonts w:ascii="Times New Roman" w:hAnsi="Times New Roman"/>
          <w:noProof/>
          <w:sz w:val="24"/>
        </w:rPr>
        <w:t>Step 2. Estimate the share of consumers that were purchasing those products (in the baseline) and that are willing to pay to be sure that the information is trustworthy.</w:t>
      </w:r>
    </w:p>
    <w:p w:rsidR="00EA45F9" w:rsidRPr="009B5734" w:rsidRDefault="00EA45F9" w:rsidP="00EA45F9">
      <w:pPr>
        <w:pStyle w:val="BTBullet1Last"/>
        <w:numPr>
          <w:ilvl w:val="0"/>
          <w:numId w:val="194"/>
        </w:numPr>
        <w:tabs>
          <w:tab w:val="left" w:pos="720"/>
        </w:tabs>
        <w:spacing w:before="120" w:line="240" w:lineRule="auto"/>
        <w:ind w:left="0" w:firstLine="0"/>
        <w:jc w:val="left"/>
        <w:rPr>
          <w:rFonts w:ascii="Times New Roman" w:hAnsi="Times New Roman"/>
          <w:noProof/>
          <w:sz w:val="24"/>
        </w:rPr>
      </w:pPr>
      <w:r w:rsidRPr="009B5734">
        <w:rPr>
          <w:rFonts w:ascii="Times New Roman" w:hAnsi="Times New Roman"/>
          <w:noProof/>
          <w:sz w:val="24"/>
        </w:rPr>
        <w:t>Step 3. Estimate how much these consumers are willing to pay for more trustworthy information for those sales covered by the measure.</w:t>
      </w:r>
      <w:r w:rsidRPr="009B5734">
        <w:rPr>
          <w:rStyle w:val="FootnoteReference"/>
          <w:rFonts w:ascii="Times New Roman" w:hAnsi="Times New Roman"/>
          <w:noProof/>
          <w:sz w:val="24"/>
        </w:rPr>
        <w:footnoteReference w:id="172"/>
      </w:r>
    </w:p>
    <w:p w:rsidR="00EA45F9" w:rsidRPr="009B5734" w:rsidRDefault="00EA45F9" w:rsidP="00EA45F9">
      <w:pPr>
        <w:pStyle w:val="BTBullet1Last"/>
        <w:numPr>
          <w:ilvl w:val="0"/>
          <w:numId w:val="194"/>
        </w:numPr>
        <w:tabs>
          <w:tab w:val="left" w:pos="720"/>
        </w:tabs>
        <w:spacing w:before="120" w:line="240" w:lineRule="auto"/>
        <w:ind w:left="0" w:firstLine="0"/>
        <w:jc w:val="left"/>
        <w:rPr>
          <w:rFonts w:ascii="Times New Roman" w:hAnsi="Times New Roman"/>
          <w:noProof/>
          <w:sz w:val="24"/>
        </w:rPr>
      </w:pPr>
      <w:r w:rsidRPr="009B5734">
        <w:rPr>
          <w:rFonts w:ascii="Times New Roman" w:hAnsi="Times New Roman"/>
          <w:noProof/>
          <w:sz w:val="24"/>
        </w:rPr>
        <w:t>In the scenario where we assume that the measure will increase the level of trust of consumers, and for that reason more consumers (than in the baseline) will purchase greener products, then the monetisation of the benefits of the new demand was done by:</w:t>
      </w:r>
    </w:p>
    <w:p w:rsidR="00EA45F9" w:rsidRPr="009B5734" w:rsidRDefault="00EA45F9" w:rsidP="00EA45F9">
      <w:pPr>
        <w:pStyle w:val="BTBullet1Last"/>
        <w:numPr>
          <w:ilvl w:val="0"/>
          <w:numId w:val="194"/>
        </w:numPr>
        <w:tabs>
          <w:tab w:val="left" w:pos="720"/>
        </w:tabs>
        <w:spacing w:before="120" w:line="240" w:lineRule="auto"/>
        <w:ind w:left="0" w:firstLine="0"/>
        <w:jc w:val="left"/>
        <w:rPr>
          <w:rFonts w:ascii="Times New Roman" w:hAnsi="Times New Roman"/>
          <w:noProof/>
          <w:sz w:val="24"/>
        </w:rPr>
      </w:pPr>
      <w:r w:rsidRPr="009B5734">
        <w:rPr>
          <w:rFonts w:ascii="Times New Roman" w:hAnsi="Times New Roman"/>
          <w:noProof/>
          <w:sz w:val="24"/>
        </w:rPr>
        <w:t>Step 4. Estimate the share of consumers that were not purchasing those greener products (in the baseline) and that would start doing as a result of the measure.</w:t>
      </w:r>
    </w:p>
    <w:p w:rsidR="00EA45F9" w:rsidRPr="009B5734" w:rsidRDefault="00EA45F9" w:rsidP="00EA45F9">
      <w:pPr>
        <w:pStyle w:val="BTBullet1Last"/>
        <w:numPr>
          <w:ilvl w:val="0"/>
          <w:numId w:val="194"/>
        </w:numPr>
        <w:tabs>
          <w:tab w:val="left" w:pos="720"/>
        </w:tabs>
        <w:spacing w:before="120" w:line="240" w:lineRule="auto"/>
        <w:jc w:val="left"/>
        <w:rPr>
          <w:rFonts w:ascii="Times New Roman" w:hAnsi="Times New Roman"/>
          <w:noProof/>
          <w:sz w:val="24"/>
        </w:rPr>
      </w:pPr>
      <w:r w:rsidRPr="009B5734">
        <w:rPr>
          <w:rFonts w:ascii="Times New Roman" w:hAnsi="Times New Roman"/>
          <w:noProof/>
          <w:sz w:val="24"/>
        </w:rPr>
        <w:t>Step 5. Estimate the surplus of these new consumers based on their stated willingness to pay to have products with trustworthy information.</w:t>
      </w:r>
    </w:p>
    <w:p w:rsidR="00EA45F9" w:rsidRPr="009B5734" w:rsidRDefault="00EA45F9" w:rsidP="00EA45F9">
      <w:pPr>
        <w:rPr>
          <w:noProof/>
        </w:rPr>
      </w:pPr>
    </w:p>
    <w:tbl>
      <w:tblPr>
        <w:tblW w:w="4916" w:type="pct"/>
        <w:tblBorders>
          <w:top w:val="single" w:sz="4" w:space="0" w:color="auto"/>
          <w:bottom w:val="single" w:sz="4" w:space="0" w:color="auto"/>
          <w:insideH w:val="single" w:sz="4" w:space="0" w:color="auto"/>
        </w:tblBorders>
        <w:shd w:val="solid" w:color="F2F2F2" w:fill="F2F2F2"/>
        <w:tblCellMar>
          <w:left w:w="0" w:type="dxa"/>
          <w:right w:w="0" w:type="dxa"/>
        </w:tblCellMar>
        <w:tblLook w:val="04A0" w:firstRow="1" w:lastRow="0" w:firstColumn="1" w:lastColumn="0" w:noHBand="0" w:noVBand="1"/>
      </w:tblPr>
      <w:tblGrid>
        <w:gridCol w:w="1742"/>
        <w:gridCol w:w="4468"/>
        <w:gridCol w:w="2262"/>
      </w:tblGrid>
      <w:tr w:rsidR="00EA45F9" w:rsidRPr="009B5734" w:rsidTr="00981615">
        <w:trPr>
          <w:trHeight w:val="727"/>
        </w:trPr>
        <w:tc>
          <w:tcPr>
            <w:tcW w:w="1028" w:type="pct"/>
            <w:tcBorders>
              <w:top w:val="single" w:sz="4" w:space="0" w:color="auto"/>
              <w:left w:val="nil"/>
              <w:bottom w:val="single" w:sz="4" w:space="0" w:color="auto"/>
              <w:right w:val="nil"/>
            </w:tcBorders>
            <w:shd w:val="solid" w:color="002395" w:fill="002395"/>
          </w:tcPr>
          <w:p w:rsidR="00EA45F9" w:rsidRPr="009B5734" w:rsidRDefault="00EA45F9" w:rsidP="00981615">
            <w:pPr>
              <w:pStyle w:val="TableHeadingWhite"/>
              <w:spacing w:line="276" w:lineRule="auto"/>
              <w:rPr>
                <w:noProof/>
                <w:sz w:val="18"/>
                <w:szCs w:val="20"/>
              </w:rPr>
            </w:pPr>
          </w:p>
        </w:tc>
        <w:tc>
          <w:tcPr>
            <w:tcW w:w="2637" w:type="pct"/>
            <w:tcBorders>
              <w:top w:val="single" w:sz="4" w:space="0" w:color="auto"/>
              <w:left w:val="nil"/>
              <w:bottom w:val="single" w:sz="4" w:space="0" w:color="auto"/>
              <w:right w:val="nil"/>
            </w:tcBorders>
            <w:shd w:val="solid" w:color="002395" w:fill="002395"/>
            <w:hideMark/>
          </w:tcPr>
          <w:p w:rsidR="00EA45F9" w:rsidRPr="009B5734" w:rsidRDefault="00EA45F9" w:rsidP="00981615">
            <w:pPr>
              <w:pStyle w:val="TableHeadingWhite"/>
              <w:spacing w:line="276" w:lineRule="auto"/>
              <w:jc w:val="center"/>
              <w:rPr>
                <w:noProof/>
                <w:sz w:val="18"/>
                <w:szCs w:val="20"/>
              </w:rPr>
            </w:pPr>
            <w:r w:rsidRPr="009B5734">
              <w:rPr>
                <w:noProof/>
                <w:sz w:val="18"/>
                <w:szCs w:val="20"/>
              </w:rPr>
              <w:t>Assumption</w:t>
            </w:r>
          </w:p>
        </w:tc>
        <w:tc>
          <w:tcPr>
            <w:tcW w:w="1335" w:type="pct"/>
            <w:tcBorders>
              <w:top w:val="single" w:sz="4" w:space="0" w:color="auto"/>
              <w:left w:val="nil"/>
              <w:bottom w:val="single" w:sz="4" w:space="0" w:color="auto"/>
              <w:right w:val="nil"/>
            </w:tcBorders>
            <w:shd w:val="solid" w:color="002395" w:fill="002395"/>
            <w:hideMark/>
          </w:tcPr>
          <w:p w:rsidR="00EA45F9" w:rsidRPr="009B5734" w:rsidRDefault="00EA45F9" w:rsidP="00981615">
            <w:pPr>
              <w:pStyle w:val="TableHeadingWhite"/>
              <w:spacing w:line="276" w:lineRule="auto"/>
              <w:jc w:val="center"/>
              <w:rPr>
                <w:noProof/>
                <w:sz w:val="18"/>
                <w:szCs w:val="20"/>
              </w:rPr>
            </w:pPr>
            <w:r w:rsidRPr="009B5734">
              <w:rPr>
                <w:noProof/>
                <w:sz w:val="18"/>
                <w:szCs w:val="20"/>
              </w:rPr>
              <w:t>Source</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Consumers that always buy more environmentally friendly products (when available)</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jc w:val="center"/>
              <w:rPr>
                <w:noProof/>
                <w:color w:val="000000" w:themeColor="text1"/>
                <w:sz w:val="18"/>
                <w:szCs w:val="20"/>
              </w:rPr>
            </w:pPr>
            <w:r w:rsidRPr="009B5734">
              <w:rPr>
                <w:noProof/>
                <w:sz w:val="18"/>
                <w:szCs w:val="20"/>
              </w:rPr>
              <w:t>15%</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noProof/>
                <w:sz w:val="18"/>
                <w:szCs w:val="20"/>
              </w:rPr>
            </w:pPr>
            <w:r w:rsidRPr="009B5734">
              <w:rPr>
                <w:noProof/>
                <w:sz w:val="18"/>
                <w:szCs w:val="20"/>
              </w:rPr>
              <w:t xml:space="preserve">Consumer survey </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Consumers that will start trusting the information and buying greener products more often</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noProof/>
                <w:color w:val="000000" w:themeColor="text1"/>
                <w:sz w:val="18"/>
                <w:szCs w:val="20"/>
              </w:rPr>
            </w:pPr>
            <w:r w:rsidRPr="009B5734">
              <w:rPr>
                <w:noProof/>
                <w:sz w:val="18"/>
                <w:szCs w:val="20"/>
              </w:rPr>
              <w:t>Three scenarios were developed to consider three possible impacts of the measure on the trust of consumers on environmental claims and therefore (following evidence collected from the consumer survey and other studies) purchase products that claim to be more environmentally friendly:</w:t>
            </w:r>
          </w:p>
          <w:p w:rsidR="00EA45F9" w:rsidRPr="009B5734" w:rsidRDefault="00EA45F9" w:rsidP="00981615">
            <w:pPr>
              <w:pStyle w:val="TableTextNoSpace"/>
              <w:numPr>
                <w:ilvl w:val="0"/>
                <w:numId w:val="195"/>
              </w:numPr>
              <w:spacing w:before="120" w:line="276" w:lineRule="auto"/>
              <w:ind w:left="357" w:right="0" w:hanging="357"/>
              <w:jc w:val="left"/>
              <w:rPr>
                <w:noProof/>
                <w:sz w:val="18"/>
                <w:szCs w:val="20"/>
              </w:rPr>
            </w:pPr>
            <w:r w:rsidRPr="009B5734">
              <w:rPr>
                <w:noProof/>
                <w:sz w:val="18"/>
                <w:szCs w:val="20"/>
              </w:rPr>
              <w:t>0% no impact on trust</w:t>
            </w:r>
          </w:p>
          <w:p w:rsidR="00EA45F9" w:rsidRPr="009B5734" w:rsidRDefault="00EA45F9" w:rsidP="00981615">
            <w:pPr>
              <w:pStyle w:val="TableTextNoSpace"/>
              <w:numPr>
                <w:ilvl w:val="0"/>
                <w:numId w:val="195"/>
              </w:numPr>
              <w:spacing w:before="120" w:line="276" w:lineRule="auto"/>
              <w:ind w:left="357" w:right="0" w:hanging="357"/>
              <w:jc w:val="left"/>
              <w:rPr>
                <w:noProof/>
                <w:sz w:val="18"/>
                <w:szCs w:val="20"/>
              </w:rPr>
            </w:pPr>
            <w:r w:rsidRPr="009B5734">
              <w:rPr>
                <w:noProof/>
                <w:sz w:val="18"/>
                <w:szCs w:val="20"/>
              </w:rPr>
              <w:t>0.5% low-moderate impact on trust</w:t>
            </w:r>
          </w:p>
          <w:p w:rsidR="00EA45F9" w:rsidRPr="009B5734" w:rsidRDefault="00EA45F9" w:rsidP="00981615">
            <w:pPr>
              <w:pStyle w:val="TableTextNoSpace"/>
              <w:numPr>
                <w:ilvl w:val="0"/>
                <w:numId w:val="195"/>
              </w:numPr>
              <w:spacing w:before="120" w:line="276" w:lineRule="auto"/>
              <w:ind w:left="357" w:right="0" w:hanging="357"/>
              <w:jc w:val="left"/>
              <w:rPr>
                <w:noProof/>
                <w:sz w:val="18"/>
                <w:szCs w:val="20"/>
              </w:rPr>
            </w:pPr>
            <w:r w:rsidRPr="009B5734">
              <w:rPr>
                <w:noProof/>
                <w:sz w:val="18"/>
                <w:szCs w:val="20"/>
              </w:rPr>
              <w:t>1% moderate-high</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noProof/>
                <w:sz w:val="18"/>
                <w:szCs w:val="20"/>
              </w:rPr>
            </w:pPr>
            <w:r w:rsidRPr="009B5734">
              <w:rPr>
                <w:noProof/>
                <w:sz w:val="18"/>
                <w:szCs w:val="20"/>
              </w:rPr>
              <w:t xml:space="preserve">Expert judgement based on results of the consumer survey </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Willingness to pay for having trustworthy environmental information</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numPr>
                <w:ilvl w:val="0"/>
                <w:numId w:val="196"/>
              </w:numPr>
              <w:spacing w:before="120" w:line="276" w:lineRule="auto"/>
              <w:ind w:left="357" w:right="0" w:hanging="357"/>
              <w:jc w:val="left"/>
              <w:rPr>
                <w:noProof/>
                <w:color w:val="000000" w:themeColor="text1"/>
                <w:sz w:val="18"/>
                <w:szCs w:val="20"/>
              </w:rPr>
            </w:pPr>
            <w:r w:rsidRPr="009B5734">
              <w:rPr>
                <w:noProof/>
                <w:sz w:val="18"/>
                <w:szCs w:val="20"/>
              </w:rPr>
              <w:t>Existing demand: 0.35 (average, depends on the product)</w:t>
            </w:r>
          </w:p>
          <w:p w:rsidR="00EA45F9" w:rsidRPr="009B5734" w:rsidRDefault="00EA45F9" w:rsidP="00981615">
            <w:pPr>
              <w:pStyle w:val="TableTextNoSpace"/>
              <w:numPr>
                <w:ilvl w:val="0"/>
                <w:numId w:val="196"/>
              </w:numPr>
              <w:spacing w:before="120" w:line="276" w:lineRule="auto"/>
              <w:ind w:left="357" w:right="0" w:hanging="357"/>
              <w:jc w:val="left"/>
              <w:rPr>
                <w:noProof/>
                <w:sz w:val="18"/>
                <w:szCs w:val="20"/>
              </w:rPr>
            </w:pPr>
            <w:r w:rsidRPr="009B5734">
              <w:rPr>
                <w:noProof/>
                <w:sz w:val="18"/>
                <w:szCs w:val="20"/>
              </w:rPr>
              <w:t>New demand: 4.91% (average, depends on the product)</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noProof/>
                <w:sz w:val="18"/>
                <w:szCs w:val="20"/>
              </w:rPr>
            </w:pPr>
            <w:r w:rsidRPr="009B5734">
              <w:rPr>
                <w:noProof/>
                <w:sz w:val="18"/>
                <w:szCs w:val="20"/>
              </w:rPr>
              <w:t xml:space="preserve">Consumer survey </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18"/>
              </w:rPr>
            </w:pPr>
            <w:r w:rsidRPr="009B5734">
              <w:rPr>
                <w:b/>
                <w:bCs/>
                <w:noProof/>
                <w:sz w:val="18"/>
                <w:szCs w:val="18"/>
              </w:rPr>
              <w:t>Sales within scope</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spacing w:line="276" w:lineRule="auto"/>
              <w:rPr>
                <w:noProof/>
                <w:color w:val="000000" w:themeColor="text1"/>
                <w:sz w:val="18"/>
                <w:szCs w:val="18"/>
              </w:rPr>
            </w:pPr>
            <w:r w:rsidRPr="009B5734">
              <w:rPr>
                <w:noProof/>
                <w:sz w:val="18"/>
                <w:szCs w:val="18"/>
              </w:rPr>
              <w:t xml:space="preserve">Products with textual claims: 27% (average) </w:t>
            </w:r>
          </w:p>
          <w:p w:rsidR="00EA45F9" w:rsidRPr="009B5734" w:rsidRDefault="00EA45F9" w:rsidP="00981615">
            <w:pPr>
              <w:spacing w:line="276" w:lineRule="auto"/>
              <w:rPr>
                <w:noProof/>
                <w:sz w:val="18"/>
                <w:szCs w:val="18"/>
              </w:rPr>
            </w:pPr>
            <w:r w:rsidRPr="009B5734">
              <w:rPr>
                <w:noProof/>
                <w:sz w:val="18"/>
                <w:szCs w:val="18"/>
              </w:rPr>
              <w:t>Share of textual vague claims: 36%</w:t>
            </w:r>
          </w:p>
          <w:p w:rsidR="00EA45F9" w:rsidRPr="009B5734" w:rsidRDefault="00EA45F9" w:rsidP="00981615">
            <w:pPr>
              <w:spacing w:line="276" w:lineRule="auto"/>
              <w:rPr>
                <w:noProof/>
                <w:sz w:val="18"/>
                <w:szCs w:val="18"/>
              </w:rPr>
            </w:pPr>
            <w:r w:rsidRPr="009B5734">
              <w:rPr>
                <w:noProof/>
                <w:sz w:val="18"/>
                <w:szCs w:val="18"/>
              </w:rPr>
              <w:t>Sales within scope: 27% X Uniform (34%,36%)</w:t>
            </w:r>
            <w:r w:rsidRPr="009B5734">
              <w:rPr>
                <w:rStyle w:val="FootnoteReference"/>
                <w:noProof/>
                <w:sz w:val="18"/>
                <w:szCs w:val="18"/>
              </w:rPr>
              <w:footnoteReference w:id="173"/>
            </w:r>
            <w:r w:rsidRPr="009B5734">
              <w:rPr>
                <w:noProof/>
                <w:sz w:val="18"/>
                <w:szCs w:val="18"/>
              </w:rPr>
              <w:t xml:space="preserve"> </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noProof/>
                <w:sz w:val="18"/>
                <w:szCs w:val="18"/>
              </w:rPr>
            </w:pPr>
            <w:r w:rsidRPr="009B5734">
              <w:rPr>
                <w:noProof/>
                <w:sz w:val="18"/>
                <w:szCs w:val="18"/>
              </w:rPr>
              <w:t>Study on “Environmental claims in the EU: Inventory and reliability assessment”.</w:t>
            </w:r>
            <w:r w:rsidRPr="009B5734">
              <w:rPr>
                <w:rStyle w:val="FootnoteReference"/>
                <w:noProof/>
                <w:sz w:val="18"/>
                <w:szCs w:val="18"/>
              </w:rPr>
              <w:footnoteReference w:id="174"/>
            </w:r>
          </w:p>
          <w:p w:rsidR="00EA45F9" w:rsidRPr="009B5734" w:rsidRDefault="00EA45F9" w:rsidP="00981615">
            <w:pPr>
              <w:pStyle w:val="TableTextNoSpace"/>
              <w:spacing w:line="276" w:lineRule="auto"/>
              <w:ind w:left="357"/>
              <w:rPr>
                <w:noProof/>
                <w:sz w:val="18"/>
                <w:szCs w:val="18"/>
              </w:rPr>
            </w:pPr>
            <w:r w:rsidRPr="009B5734">
              <w:rPr>
                <w:noProof/>
                <w:sz w:val="18"/>
                <w:szCs w:val="18"/>
              </w:rPr>
              <w:t>Mystery shopping carried out in the context of the present study</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18"/>
              </w:rPr>
            </w:pPr>
            <w:r w:rsidRPr="009B5734">
              <w:rPr>
                <w:b/>
                <w:bCs/>
                <w:noProof/>
                <w:sz w:val="18"/>
                <w:szCs w:val="18"/>
              </w:rPr>
              <w:t>Likelihood of finding a greener product without a misleading claim</w:t>
            </w:r>
          </w:p>
        </w:tc>
        <w:tc>
          <w:tcPr>
            <w:tcW w:w="2637" w:type="pct"/>
            <w:tcBorders>
              <w:top w:val="single" w:sz="4" w:space="0" w:color="auto"/>
              <w:left w:val="nil"/>
              <w:bottom w:val="single" w:sz="4" w:space="0" w:color="auto"/>
              <w:right w:val="nil"/>
            </w:tcBorders>
            <w:shd w:val="clear" w:color="auto" w:fill="auto"/>
          </w:tcPr>
          <w:p w:rsidR="00EA45F9" w:rsidRPr="009B5734" w:rsidRDefault="00EA45F9" w:rsidP="00981615">
            <w:pPr>
              <w:spacing w:line="276" w:lineRule="auto"/>
              <w:rPr>
                <w:noProof/>
                <w:color w:val="000000" w:themeColor="text1"/>
                <w:sz w:val="18"/>
                <w:szCs w:val="18"/>
              </w:rPr>
            </w:pPr>
            <w:r w:rsidRPr="009B5734">
              <w:rPr>
                <w:noProof/>
                <w:sz w:val="18"/>
                <w:szCs w:val="20"/>
              </w:rPr>
              <w:t>The uncertainty regarding this parameter required us to define it as a triangular distribution function with a lower limit of 0, an upper limit of 0.5 and a peak of 25%</w:t>
            </w:r>
          </w:p>
          <w:p w:rsidR="00EA45F9" w:rsidRPr="009B5734" w:rsidRDefault="00EA45F9" w:rsidP="00981615">
            <w:pPr>
              <w:spacing w:line="276" w:lineRule="auto"/>
              <w:jc w:val="center"/>
              <w:rPr>
                <w:noProof/>
                <w:sz w:val="18"/>
                <w:szCs w:val="18"/>
              </w:rPr>
            </w:pP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noProof/>
                <w:sz w:val="18"/>
                <w:szCs w:val="18"/>
              </w:rPr>
            </w:pPr>
            <w:r w:rsidRPr="009B5734">
              <w:rPr>
                <w:noProof/>
                <w:sz w:val="18"/>
                <w:szCs w:val="18"/>
              </w:rPr>
              <w:t>Expert judgment by a panel</w:t>
            </w:r>
          </w:p>
        </w:tc>
      </w:tr>
    </w:tbl>
    <w:p w:rsidR="00EA45F9" w:rsidRPr="009B5734" w:rsidRDefault="00EA45F9" w:rsidP="00EA45F9">
      <w:pPr>
        <w:rPr>
          <w:rFonts w:ascii="Verdana" w:hAnsi="Verdana"/>
          <w:noProof/>
          <w:color w:val="000000" w:themeColor="text1"/>
          <w:sz w:val="20"/>
        </w:rPr>
      </w:pPr>
    </w:p>
    <w:p w:rsidR="00EA45F9" w:rsidRPr="009B5734" w:rsidRDefault="00EA45F9" w:rsidP="00EA45F9">
      <w:pPr>
        <w:pStyle w:val="Heading5"/>
        <w:rPr>
          <w:rFonts w:ascii="Times New Roman" w:hAnsi="Times New Roman" w:cs="Times New Roman"/>
          <w:i w:val="0"/>
          <w:noProof/>
          <w:sz w:val="24"/>
        </w:rPr>
      </w:pPr>
      <w:r w:rsidRPr="009B5734">
        <w:rPr>
          <w:rFonts w:ascii="Times New Roman" w:hAnsi="Times New Roman" w:cs="Times New Roman"/>
          <w:i w:val="0"/>
          <w:noProof/>
          <w:sz w:val="24"/>
        </w:rPr>
        <w:t>Option 2.2.B. Prohibition of environmental claims that do not fulfil a minimum set of criteria</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The substantive compliance costs and enforcement costs followed the same approach and assumptions presented for the previous measure. </w:t>
      </w:r>
    </w:p>
    <w:p w:rsidR="00EA45F9" w:rsidRPr="009B5734" w:rsidRDefault="00EA45F9" w:rsidP="00EA45F9">
      <w:pPr>
        <w:rPr>
          <w:noProof/>
        </w:rPr>
      </w:pPr>
    </w:p>
    <w:p w:rsidR="00EA45F9" w:rsidRPr="009B5734" w:rsidRDefault="00A00208" w:rsidP="00A00208">
      <w:pPr>
        <w:pStyle w:val="Heading4"/>
        <w:rPr>
          <w:noProof/>
        </w:rPr>
      </w:pPr>
      <w:bookmarkStart w:id="618" w:name="_Toc60734103"/>
      <w:bookmarkStart w:id="619" w:name="_Toc75440996"/>
      <w:bookmarkStart w:id="620" w:name="_Toc75446995"/>
      <w:bookmarkStart w:id="621" w:name="_Toc75448868"/>
      <w:r w:rsidRPr="00A00208">
        <w:t>4.6.</w:t>
      </w:r>
      <w:r w:rsidRPr="00A00208">
        <w:tab/>
      </w:r>
      <w:r w:rsidR="00EA45F9" w:rsidRPr="009B5734">
        <w:rPr>
          <w:noProof/>
        </w:rPr>
        <w:t xml:space="preserve">“Sub-problem 2.3: Consumers are faced with </w:t>
      </w:r>
      <w:r w:rsidR="00E00633" w:rsidRPr="009B5734">
        <w:rPr>
          <w:noProof/>
        </w:rPr>
        <w:t>the use</w:t>
      </w:r>
      <w:r w:rsidR="00EA45F9" w:rsidRPr="009B5734">
        <w:rPr>
          <w:noProof/>
        </w:rPr>
        <w:t xml:space="preserve"> of sustainability labels </w:t>
      </w:r>
      <w:r w:rsidR="00E00633" w:rsidRPr="009B5734">
        <w:rPr>
          <w:noProof/>
        </w:rPr>
        <w:t>and digital information tools</w:t>
      </w:r>
      <w:r w:rsidR="00EA45F9" w:rsidRPr="009B5734">
        <w:rPr>
          <w:noProof/>
        </w:rPr>
        <w:t xml:space="preserve"> that are not always </w:t>
      </w:r>
      <w:r w:rsidR="00E00633" w:rsidRPr="009B5734">
        <w:rPr>
          <w:noProof/>
        </w:rPr>
        <w:t xml:space="preserve">transparent </w:t>
      </w:r>
      <w:r w:rsidR="00EA45F9" w:rsidRPr="009B5734">
        <w:rPr>
          <w:noProof/>
        </w:rPr>
        <w:t xml:space="preserve">or </w:t>
      </w:r>
      <w:r w:rsidR="00E00633" w:rsidRPr="009B5734">
        <w:rPr>
          <w:noProof/>
        </w:rPr>
        <w:t>credible</w:t>
      </w:r>
      <w:r w:rsidR="00EA45F9" w:rsidRPr="009B5734">
        <w:rPr>
          <w:noProof/>
        </w:rPr>
        <w:t>”</w:t>
      </w:r>
      <w:bookmarkEnd w:id="618"/>
      <w:bookmarkEnd w:id="619"/>
      <w:bookmarkEnd w:id="620"/>
      <w:bookmarkEnd w:id="621"/>
    </w:p>
    <w:p w:rsidR="00EA45F9" w:rsidRPr="009B5734" w:rsidRDefault="00EA45F9" w:rsidP="00EA45F9">
      <w:pPr>
        <w:pStyle w:val="Titlecost"/>
        <w:rPr>
          <w:rFonts w:ascii="Times New Roman" w:hAnsi="Times New Roman" w:cs="Times New Roman"/>
          <w:noProof/>
          <w:sz w:val="24"/>
          <w:szCs w:val="24"/>
        </w:rPr>
      </w:pPr>
      <w:r w:rsidRPr="009B5734">
        <w:rPr>
          <w:rFonts w:ascii="Times New Roman" w:hAnsi="Times New Roman" w:cs="Times New Roman"/>
          <w:noProof/>
          <w:sz w:val="24"/>
          <w:szCs w:val="24"/>
        </w:rPr>
        <w:t>Administrative burdens</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Since the measures impose both administrative burden and substantive compliance costs, we split the costs related to familiarization with the measure, training, retrieving data and adjusting internal systems and procedures between administrative burden and substantive compliance costs.</w:t>
      </w:r>
    </w:p>
    <w:tbl>
      <w:tblPr>
        <w:tblW w:w="4916" w:type="pct"/>
        <w:tblBorders>
          <w:top w:val="single" w:sz="4" w:space="0" w:color="auto"/>
          <w:bottom w:val="single" w:sz="4" w:space="0" w:color="auto"/>
          <w:insideH w:val="single" w:sz="4" w:space="0" w:color="auto"/>
        </w:tblBorders>
        <w:shd w:val="solid" w:color="F2F2F2" w:fill="F2F2F2"/>
        <w:tblCellMar>
          <w:left w:w="0" w:type="dxa"/>
          <w:right w:w="0" w:type="dxa"/>
        </w:tblCellMar>
        <w:tblLook w:val="04A0" w:firstRow="1" w:lastRow="0" w:firstColumn="1" w:lastColumn="0" w:noHBand="0" w:noVBand="1"/>
      </w:tblPr>
      <w:tblGrid>
        <w:gridCol w:w="1742"/>
        <w:gridCol w:w="4468"/>
        <w:gridCol w:w="2262"/>
      </w:tblGrid>
      <w:tr w:rsidR="00EA45F9" w:rsidRPr="009B5734" w:rsidTr="00C84A99">
        <w:trPr>
          <w:trHeight w:val="727"/>
        </w:trPr>
        <w:tc>
          <w:tcPr>
            <w:tcW w:w="1028" w:type="pct"/>
            <w:tcBorders>
              <w:top w:val="single" w:sz="4" w:space="0" w:color="auto"/>
              <w:left w:val="nil"/>
              <w:bottom w:val="single" w:sz="4" w:space="0" w:color="auto"/>
              <w:right w:val="nil"/>
            </w:tcBorders>
            <w:shd w:val="clear" w:color="auto" w:fill="002395"/>
          </w:tcPr>
          <w:p w:rsidR="00EA45F9" w:rsidRPr="009B5734" w:rsidRDefault="00EA45F9" w:rsidP="00981615">
            <w:pPr>
              <w:pStyle w:val="TableHeadingWhite"/>
              <w:spacing w:line="276" w:lineRule="auto"/>
              <w:rPr>
                <w:noProof/>
                <w:sz w:val="18"/>
                <w:szCs w:val="20"/>
              </w:rPr>
            </w:pPr>
          </w:p>
        </w:tc>
        <w:tc>
          <w:tcPr>
            <w:tcW w:w="2637" w:type="pct"/>
            <w:tcBorders>
              <w:top w:val="single" w:sz="4" w:space="0" w:color="auto"/>
              <w:left w:val="nil"/>
              <w:bottom w:val="single" w:sz="4" w:space="0" w:color="auto"/>
              <w:right w:val="nil"/>
            </w:tcBorders>
            <w:shd w:val="clear" w:color="auto" w:fill="002395"/>
            <w:hideMark/>
          </w:tcPr>
          <w:p w:rsidR="00EA45F9" w:rsidRPr="009B5734" w:rsidRDefault="00EA45F9" w:rsidP="00981615">
            <w:pPr>
              <w:pStyle w:val="TableHeadingWhite"/>
              <w:spacing w:line="276" w:lineRule="auto"/>
              <w:jc w:val="center"/>
              <w:rPr>
                <w:noProof/>
                <w:sz w:val="18"/>
                <w:szCs w:val="20"/>
              </w:rPr>
            </w:pPr>
            <w:r w:rsidRPr="009B5734">
              <w:rPr>
                <w:noProof/>
                <w:sz w:val="18"/>
                <w:szCs w:val="20"/>
              </w:rPr>
              <w:t>Assumption</w:t>
            </w:r>
          </w:p>
        </w:tc>
        <w:tc>
          <w:tcPr>
            <w:tcW w:w="1335" w:type="pct"/>
            <w:tcBorders>
              <w:top w:val="single" w:sz="4" w:space="0" w:color="auto"/>
              <w:left w:val="nil"/>
              <w:bottom w:val="single" w:sz="4" w:space="0" w:color="auto"/>
              <w:right w:val="nil"/>
            </w:tcBorders>
            <w:shd w:val="clear" w:color="auto" w:fill="002395"/>
            <w:hideMark/>
          </w:tcPr>
          <w:p w:rsidR="00EA45F9" w:rsidRPr="009B5734" w:rsidRDefault="00EA45F9" w:rsidP="00981615">
            <w:pPr>
              <w:pStyle w:val="TableHeadingWhite"/>
              <w:spacing w:line="276" w:lineRule="auto"/>
              <w:jc w:val="center"/>
              <w:rPr>
                <w:noProof/>
                <w:sz w:val="18"/>
                <w:szCs w:val="20"/>
              </w:rPr>
            </w:pPr>
            <w:r w:rsidRPr="009B5734">
              <w:rPr>
                <w:noProof/>
                <w:sz w:val="18"/>
                <w:szCs w:val="20"/>
              </w:rPr>
              <w:t>Source</w:t>
            </w:r>
          </w:p>
        </w:tc>
      </w:tr>
      <w:tr w:rsidR="00EA45F9" w:rsidRPr="009B5734" w:rsidTr="00C84A99">
        <w:trPr>
          <w:trHeight w:val="391"/>
        </w:trPr>
        <w:tc>
          <w:tcPr>
            <w:tcW w:w="5000" w:type="pct"/>
            <w:gridSpan w:val="3"/>
            <w:tcBorders>
              <w:top w:val="single" w:sz="4" w:space="0" w:color="auto"/>
              <w:left w:val="nil"/>
              <w:bottom w:val="single" w:sz="4" w:space="0" w:color="auto"/>
              <w:right w:val="nil"/>
            </w:tcBorders>
            <w:shd w:val="clear" w:color="auto" w:fill="DBE5F1" w:themeFill="accent1" w:themeFillTint="33"/>
            <w:hideMark/>
          </w:tcPr>
          <w:p w:rsidR="00EA45F9" w:rsidRPr="009B5734" w:rsidRDefault="00EA45F9" w:rsidP="00981615">
            <w:pPr>
              <w:pStyle w:val="TableHeadingWhite"/>
              <w:spacing w:line="276" w:lineRule="auto"/>
              <w:rPr>
                <w:noProof/>
                <w:sz w:val="18"/>
                <w:szCs w:val="20"/>
              </w:rPr>
            </w:pPr>
            <w:r w:rsidRPr="009B5734">
              <w:rPr>
                <w:noProof/>
                <w:sz w:val="18"/>
                <w:szCs w:val="20"/>
              </w:rPr>
              <w:t xml:space="preserve">Labels/Logo managers </w:t>
            </w:r>
          </w:p>
        </w:tc>
      </w:tr>
      <w:tr w:rsidR="00EA45F9" w:rsidRPr="009B5734" w:rsidTr="00C84A99">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Familiarization with the measure</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jc w:val="center"/>
              <w:rPr>
                <w:i/>
                <w:iCs/>
                <w:noProof/>
                <w:color w:val="000000" w:themeColor="text1"/>
                <w:sz w:val="18"/>
                <w:szCs w:val="20"/>
              </w:rPr>
            </w:pPr>
            <w:r w:rsidRPr="009B5734">
              <w:rPr>
                <w:i/>
                <w:iCs/>
                <w:noProof/>
                <w:sz w:val="18"/>
                <w:szCs w:val="20"/>
              </w:rPr>
              <w:t>This includes not only identifying the new obligations imposed by the measure but analysing what the necessary steps are that need to be taken to comply with it.</w:t>
            </w:r>
            <w:r w:rsidRPr="009B5734">
              <w:rPr>
                <w:rStyle w:val="FootnoteReference"/>
                <w:i/>
                <w:iCs/>
                <w:noProof/>
                <w:sz w:val="18"/>
                <w:szCs w:val="20"/>
              </w:rPr>
              <w:footnoteReference w:id="175"/>
            </w:r>
            <w:r w:rsidRPr="009B5734">
              <w:rPr>
                <w:i/>
                <w:iCs/>
                <w:noProof/>
                <w:sz w:val="18"/>
                <w:szCs w:val="20"/>
              </w:rPr>
              <w:t xml:space="preserve"> </w:t>
            </w:r>
          </w:p>
          <w:p w:rsidR="00EA45F9" w:rsidRPr="009B5734" w:rsidRDefault="00EA45F9" w:rsidP="00981615">
            <w:pPr>
              <w:pStyle w:val="TableTextNoSpace"/>
              <w:spacing w:line="276" w:lineRule="auto"/>
              <w:ind w:left="357"/>
              <w:rPr>
                <w:noProof/>
                <w:sz w:val="18"/>
                <w:szCs w:val="20"/>
                <w:u w:val="single"/>
              </w:rPr>
            </w:pPr>
            <w:r w:rsidRPr="009B5734">
              <w:rPr>
                <w:noProof/>
                <w:sz w:val="18"/>
                <w:szCs w:val="20"/>
              </w:rPr>
              <w:t>17.5h legal team, 17.5h technical team</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noProof/>
                <w:sz w:val="18"/>
                <w:szCs w:val="20"/>
              </w:rPr>
            </w:pPr>
            <w:r w:rsidRPr="009B5734">
              <w:rPr>
                <w:noProof/>
                <w:sz w:val="18"/>
                <w:szCs w:val="20"/>
              </w:rPr>
              <w:t>Interviews with two organisations running labels/logos</w:t>
            </w:r>
          </w:p>
        </w:tc>
      </w:tr>
      <w:tr w:rsidR="00EA45F9" w:rsidRPr="009B5734" w:rsidTr="00C84A99">
        <w:trPr>
          <w:trHeight w:val="530"/>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Training</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jc w:val="center"/>
              <w:rPr>
                <w:i/>
                <w:iCs/>
                <w:noProof/>
                <w:color w:val="000000" w:themeColor="text1"/>
                <w:sz w:val="18"/>
                <w:szCs w:val="20"/>
              </w:rPr>
            </w:pPr>
            <w:r w:rsidRPr="009B5734">
              <w:rPr>
                <w:i/>
                <w:iCs/>
                <w:noProof/>
                <w:sz w:val="18"/>
                <w:szCs w:val="20"/>
              </w:rPr>
              <w:t>This includes an initial training of managers and employees</w:t>
            </w:r>
          </w:p>
          <w:p w:rsidR="00EA45F9" w:rsidRPr="009B5734" w:rsidRDefault="00EA45F9" w:rsidP="00981615">
            <w:pPr>
              <w:pStyle w:val="TableTextNoSpace"/>
              <w:spacing w:line="276" w:lineRule="auto"/>
              <w:ind w:left="357"/>
              <w:rPr>
                <w:noProof/>
                <w:sz w:val="18"/>
                <w:szCs w:val="20"/>
              </w:rPr>
            </w:pPr>
            <w:r w:rsidRPr="009B5734">
              <w:rPr>
                <w:noProof/>
                <w:sz w:val="18"/>
                <w:szCs w:val="20"/>
              </w:rPr>
              <w:t>0.5h managers and 14h employees</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noProof/>
                <w:sz w:val="18"/>
                <w:szCs w:val="20"/>
              </w:rPr>
            </w:pPr>
            <w:r w:rsidRPr="009B5734">
              <w:rPr>
                <w:noProof/>
                <w:sz w:val="18"/>
                <w:szCs w:val="20"/>
              </w:rPr>
              <w:t>Interviews with two organisations running labels/logos</w:t>
            </w:r>
          </w:p>
        </w:tc>
      </w:tr>
      <w:tr w:rsidR="00EA45F9" w:rsidRPr="009B5734" w:rsidTr="00C84A99">
        <w:trPr>
          <w:trHeight w:val="558"/>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Retrieving relevant information from existing data and adjusting existing data (including adapting system to retrieve information)</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jc w:val="center"/>
              <w:rPr>
                <w:i/>
                <w:iCs/>
                <w:noProof/>
                <w:color w:val="000000" w:themeColor="text1"/>
                <w:sz w:val="18"/>
                <w:szCs w:val="20"/>
              </w:rPr>
            </w:pPr>
            <w:r w:rsidRPr="009B5734">
              <w:rPr>
                <w:i/>
                <w:iCs/>
                <w:noProof/>
                <w:sz w:val="18"/>
                <w:szCs w:val="20"/>
              </w:rPr>
              <w:t xml:space="preserve">This includes gathering data about the label/logo and adjusting internal procedures and systems to systematically collect, analyse and disclose the necessary information </w:t>
            </w:r>
          </w:p>
          <w:p w:rsidR="00EA45F9" w:rsidRPr="009B5734" w:rsidRDefault="00EA45F9" w:rsidP="00981615">
            <w:pPr>
              <w:pStyle w:val="TableTextNoSpace"/>
              <w:spacing w:line="276" w:lineRule="auto"/>
              <w:ind w:left="357"/>
              <w:rPr>
                <w:noProof/>
                <w:sz w:val="36"/>
                <w:szCs w:val="40"/>
              </w:rPr>
            </w:pPr>
            <w:r w:rsidRPr="009B5734">
              <w:rPr>
                <w:noProof/>
                <w:sz w:val="18"/>
                <w:szCs w:val="20"/>
              </w:rPr>
              <w:t>210h for those labels/logos that currently do comply with at least one the criterion (based on the analysis of the ecolabels listed in the ecolabelindex.com that would be about 94%)</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i/>
                <w:iCs/>
                <w:noProof/>
                <w:sz w:val="18"/>
                <w:szCs w:val="20"/>
              </w:rPr>
            </w:pPr>
            <w:r w:rsidRPr="009B5734">
              <w:rPr>
                <w:noProof/>
                <w:sz w:val="18"/>
                <w:szCs w:val="20"/>
              </w:rPr>
              <w:t>Interviews with two organisations running labels/logos</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Designing and placing information material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jc w:val="center"/>
              <w:rPr>
                <w:i/>
                <w:iCs/>
                <w:noProof/>
                <w:color w:val="000000" w:themeColor="text1"/>
                <w:sz w:val="18"/>
                <w:szCs w:val="20"/>
              </w:rPr>
            </w:pPr>
            <w:r w:rsidRPr="009B5734">
              <w:rPr>
                <w:i/>
                <w:iCs/>
                <w:noProof/>
                <w:sz w:val="18"/>
                <w:szCs w:val="20"/>
              </w:rPr>
              <w:t>This includes re-designing the websites to include the information required by the measure</w:t>
            </w:r>
          </w:p>
          <w:p w:rsidR="00EA45F9" w:rsidRPr="009B5734" w:rsidRDefault="00EA45F9" w:rsidP="00981615">
            <w:pPr>
              <w:pStyle w:val="TableTextNoSpace"/>
              <w:spacing w:line="276" w:lineRule="auto"/>
              <w:ind w:left="357"/>
              <w:rPr>
                <w:noProof/>
                <w:sz w:val="18"/>
                <w:szCs w:val="20"/>
              </w:rPr>
            </w:pPr>
            <w:r w:rsidRPr="009B5734">
              <w:rPr>
                <w:noProof/>
                <w:sz w:val="18"/>
                <w:szCs w:val="20"/>
              </w:rPr>
              <w:t>70h employees</w:t>
            </w:r>
          </w:p>
        </w:tc>
        <w:tc>
          <w:tcPr>
            <w:tcW w:w="1335" w:type="pct"/>
            <w:tcBorders>
              <w:top w:val="single" w:sz="4" w:space="0" w:color="auto"/>
              <w:left w:val="nil"/>
              <w:bottom w:val="single" w:sz="4" w:space="0" w:color="auto"/>
              <w:right w:val="nil"/>
            </w:tcBorders>
            <w:shd w:val="clear" w:color="auto" w:fill="auto"/>
            <w:vAlign w:val="center"/>
            <w:hideMark/>
          </w:tcPr>
          <w:p w:rsidR="00EA45F9" w:rsidRPr="009B5734" w:rsidRDefault="00EA45F9" w:rsidP="00981615">
            <w:pPr>
              <w:pStyle w:val="TableTextNoSpace"/>
              <w:spacing w:line="276" w:lineRule="auto"/>
              <w:ind w:left="357"/>
              <w:jc w:val="center"/>
              <w:rPr>
                <w:noProof/>
                <w:sz w:val="18"/>
                <w:szCs w:val="20"/>
              </w:rPr>
            </w:pPr>
            <w:r w:rsidRPr="009B5734">
              <w:rPr>
                <w:noProof/>
                <w:sz w:val="18"/>
                <w:szCs w:val="20"/>
              </w:rPr>
              <w:t>Market research</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Adjust forms and tables (one-off)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jc w:val="center"/>
              <w:rPr>
                <w:noProof/>
                <w:color w:val="000000" w:themeColor="text1"/>
                <w:sz w:val="18"/>
                <w:szCs w:val="18"/>
              </w:rPr>
            </w:pPr>
            <w:r w:rsidRPr="009B5734">
              <w:rPr>
                <w:noProof/>
                <w:sz w:val="36"/>
                <w:szCs w:val="36"/>
              </w:rPr>
              <w:t>-</w:t>
            </w: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357"/>
              <w:jc w:val="center"/>
              <w:rPr>
                <w:noProof/>
                <w:sz w:val="18"/>
                <w:szCs w:val="20"/>
              </w:rPr>
            </w:pP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Inspections (internal and external)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noProof/>
                <w:color w:val="000000" w:themeColor="text1"/>
                <w:sz w:val="18"/>
                <w:szCs w:val="20"/>
              </w:rPr>
            </w:pPr>
            <w:r w:rsidRPr="009B5734">
              <w:rPr>
                <w:noProof/>
                <w:sz w:val="18"/>
                <w:szCs w:val="20"/>
              </w:rPr>
              <w:t>Internal inspections involve 0.25h of a manager and 0.75h of an employee. We assume that internal inspections already take place in the baseline and that the incremental burden of the measure in this respect is very limited.</w:t>
            </w:r>
          </w:p>
          <w:p w:rsidR="00EA45F9" w:rsidRPr="009B5734" w:rsidRDefault="00EA45F9" w:rsidP="00981615">
            <w:pPr>
              <w:pStyle w:val="TableTextNoSpace"/>
              <w:spacing w:line="276" w:lineRule="auto"/>
              <w:ind w:left="357"/>
              <w:rPr>
                <w:i/>
                <w:iCs/>
                <w:noProof/>
                <w:sz w:val="18"/>
                <w:szCs w:val="20"/>
              </w:rPr>
            </w:pPr>
            <w:r w:rsidRPr="009B5734">
              <w:rPr>
                <w:i/>
                <w:iCs/>
                <w:noProof/>
                <w:sz w:val="18"/>
                <w:szCs w:val="20"/>
              </w:rPr>
              <w:t>External inspections are expected to take place in less than 5% of the companies. Each external inspection will require involve 0.5h of a manager and 3.5h of an employee</w:t>
            </w: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357"/>
              <w:rPr>
                <w:noProof/>
                <w:sz w:val="18"/>
                <w:szCs w:val="20"/>
              </w:rPr>
            </w:pPr>
            <w:r w:rsidRPr="009B5734">
              <w:rPr>
                <w:noProof/>
                <w:sz w:val="18"/>
                <w:szCs w:val="20"/>
              </w:rPr>
              <w:t>Interviews with two organisations running labels/logos</w:t>
            </w:r>
          </w:p>
          <w:p w:rsidR="00EA45F9" w:rsidRPr="009B5734" w:rsidRDefault="00EA45F9" w:rsidP="00981615">
            <w:pPr>
              <w:pStyle w:val="TableTextNoSpace"/>
              <w:spacing w:line="276" w:lineRule="auto"/>
              <w:ind w:left="357"/>
              <w:rPr>
                <w:noProof/>
                <w:sz w:val="18"/>
                <w:szCs w:val="20"/>
              </w:rPr>
            </w:pPr>
          </w:p>
          <w:p w:rsidR="00EA45F9" w:rsidRPr="009B5734" w:rsidRDefault="00EA45F9" w:rsidP="00981615">
            <w:pPr>
              <w:pStyle w:val="TableTextNoSpace"/>
              <w:spacing w:line="276" w:lineRule="auto"/>
              <w:ind w:left="357"/>
              <w:rPr>
                <w:noProof/>
                <w:sz w:val="18"/>
                <w:szCs w:val="20"/>
              </w:rPr>
            </w:pPr>
          </w:p>
          <w:p w:rsidR="00EA45F9" w:rsidRPr="009B5734" w:rsidRDefault="00EA45F9" w:rsidP="00981615">
            <w:pPr>
              <w:pStyle w:val="TableTextNoSpace"/>
              <w:spacing w:line="276" w:lineRule="auto"/>
              <w:ind w:left="357"/>
              <w:rPr>
                <w:noProof/>
                <w:sz w:val="18"/>
                <w:szCs w:val="20"/>
              </w:rPr>
            </w:pPr>
            <w:r w:rsidRPr="009B5734">
              <w:rPr>
                <w:noProof/>
                <w:sz w:val="18"/>
                <w:szCs w:val="20"/>
              </w:rPr>
              <w:t>Expert judgement by panel</w:t>
            </w:r>
          </w:p>
        </w:tc>
      </w:tr>
      <w:tr w:rsidR="00EA45F9" w:rsidRPr="009B5734" w:rsidTr="00C84A99">
        <w:trPr>
          <w:trHeight w:val="391"/>
        </w:trPr>
        <w:tc>
          <w:tcPr>
            <w:tcW w:w="5000" w:type="pct"/>
            <w:gridSpan w:val="3"/>
            <w:tcBorders>
              <w:top w:val="single" w:sz="4" w:space="0" w:color="auto"/>
              <w:left w:val="nil"/>
              <w:bottom w:val="single" w:sz="4" w:space="0" w:color="auto"/>
              <w:right w:val="nil"/>
            </w:tcBorders>
            <w:shd w:val="clear" w:color="auto" w:fill="DBE5F1" w:themeFill="accent1" w:themeFillTint="33"/>
            <w:hideMark/>
          </w:tcPr>
          <w:p w:rsidR="00EA45F9" w:rsidRPr="009B5734" w:rsidRDefault="00EA45F9" w:rsidP="00981615">
            <w:pPr>
              <w:pStyle w:val="TableHeadingWhite"/>
              <w:spacing w:line="276" w:lineRule="auto"/>
              <w:rPr>
                <w:noProof/>
                <w:sz w:val="18"/>
                <w:szCs w:val="20"/>
              </w:rPr>
            </w:pPr>
            <w:r w:rsidRPr="009B5734">
              <w:rPr>
                <w:noProof/>
                <w:sz w:val="18"/>
                <w:szCs w:val="20"/>
              </w:rPr>
              <w:t xml:space="preserve">Retailers </w:t>
            </w:r>
          </w:p>
        </w:tc>
      </w:tr>
      <w:tr w:rsidR="00EA45F9" w:rsidRPr="009B5734" w:rsidTr="00C84A99">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Familiarization with the measure</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jc w:val="center"/>
              <w:rPr>
                <w:i/>
                <w:iCs/>
                <w:noProof/>
                <w:color w:val="000000" w:themeColor="text1"/>
                <w:sz w:val="18"/>
                <w:szCs w:val="20"/>
              </w:rPr>
            </w:pPr>
            <w:r w:rsidRPr="009B5734">
              <w:rPr>
                <w:i/>
                <w:iCs/>
                <w:noProof/>
                <w:sz w:val="18"/>
                <w:szCs w:val="20"/>
              </w:rPr>
              <w:t xml:space="preserve">This includes not only identifying the new obligations imposed by the measure but also analysing the necessary steps that need to be taken to comply with it </w:t>
            </w:r>
          </w:p>
          <w:p w:rsidR="00EA45F9" w:rsidRPr="009B5734" w:rsidRDefault="00EA45F9" w:rsidP="00981615">
            <w:pPr>
              <w:pStyle w:val="TableTextNoSpace"/>
              <w:spacing w:line="276" w:lineRule="auto"/>
              <w:ind w:left="357"/>
              <w:jc w:val="center"/>
              <w:rPr>
                <w:noProof/>
                <w:sz w:val="18"/>
                <w:szCs w:val="20"/>
              </w:rPr>
            </w:pPr>
            <w:r w:rsidRPr="009B5734">
              <w:rPr>
                <w:noProof/>
                <w:sz w:val="18"/>
                <w:szCs w:val="20"/>
              </w:rPr>
              <w:t>SME: 3.5h legal team, 1h commercial team</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noProof/>
                <w:sz w:val="18"/>
                <w:szCs w:val="20"/>
              </w:rPr>
            </w:pPr>
            <w:r w:rsidRPr="009B5734">
              <w:rPr>
                <w:noProof/>
                <w:sz w:val="18"/>
                <w:szCs w:val="20"/>
              </w:rPr>
              <w:t>Expert judgment by panel based on data for previous measures</w:t>
            </w:r>
          </w:p>
        </w:tc>
      </w:tr>
      <w:tr w:rsidR="00EA45F9" w:rsidRPr="009B5734" w:rsidTr="00C84A99">
        <w:trPr>
          <w:trHeight w:val="1263"/>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Training</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jc w:val="center"/>
              <w:rPr>
                <w:i/>
                <w:iCs/>
                <w:noProof/>
                <w:color w:val="000000" w:themeColor="text1"/>
                <w:sz w:val="18"/>
                <w:szCs w:val="20"/>
              </w:rPr>
            </w:pPr>
            <w:r w:rsidRPr="009B5734">
              <w:rPr>
                <w:i/>
                <w:iCs/>
                <w:noProof/>
                <w:sz w:val="18"/>
                <w:szCs w:val="20"/>
              </w:rPr>
              <w:t>This includes an initial training of managers and key employees</w:t>
            </w:r>
          </w:p>
          <w:p w:rsidR="00EA45F9" w:rsidRPr="009B5734" w:rsidRDefault="00EA45F9" w:rsidP="00981615">
            <w:pPr>
              <w:pStyle w:val="TableTextNoSpace"/>
              <w:spacing w:line="276" w:lineRule="auto"/>
              <w:ind w:left="357"/>
              <w:rPr>
                <w:noProof/>
                <w:sz w:val="18"/>
                <w:szCs w:val="20"/>
              </w:rPr>
            </w:pPr>
            <w:r w:rsidRPr="009B5734">
              <w:rPr>
                <w:noProof/>
                <w:sz w:val="18"/>
                <w:szCs w:val="20"/>
              </w:rPr>
              <w:t>SME: 0.5h manager + 1h key employees</w:t>
            </w:r>
          </w:p>
          <w:p w:rsidR="00EA45F9" w:rsidRPr="009B5734" w:rsidRDefault="00EA45F9" w:rsidP="00981615">
            <w:pPr>
              <w:pStyle w:val="TableTextNoSpace"/>
              <w:spacing w:line="276" w:lineRule="auto"/>
              <w:ind w:left="357"/>
              <w:rPr>
                <w:noProof/>
                <w:sz w:val="18"/>
                <w:szCs w:val="20"/>
              </w:rPr>
            </w:pPr>
            <w:r w:rsidRPr="009B5734">
              <w:rPr>
                <w:noProof/>
                <w:sz w:val="18"/>
                <w:szCs w:val="20"/>
              </w:rPr>
              <w:t>Large enterprises: 1h managers + 2h key employees</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noProof/>
                <w:sz w:val="18"/>
                <w:szCs w:val="20"/>
              </w:rPr>
            </w:pPr>
            <w:r w:rsidRPr="009B5734">
              <w:rPr>
                <w:noProof/>
                <w:sz w:val="18"/>
                <w:szCs w:val="20"/>
              </w:rPr>
              <w:t>Expert judgment by panel based on data for previous measures</w:t>
            </w:r>
          </w:p>
        </w:tc>
      </w:tr>
    </w:tbl>
    <w:p w:rsidR="00EA45F9" w:rsidRPr="009B5734" w:rsidRDefault="00EA45F9" w:rsidP="00EA45F9">
      <w:pPr>
        <w:pStyle w:val="Titlecost"/>
        <w:rPr>
          <w:noProof/>
        </w:rPr>
      </w:pPr>
    </w:p>
    <w:p w:rsidR="00EA45F9" w:rsidRPr="009B5734" w:rsidRDefault="00EA45F9" w:rsidP="00EA45F9">
      <w:pPr>
        <w:pStyle w:val="Titlecost"/>
        <w:rPr>
          <w:noProof/>
        </w:rPr>
      </w:pPr>
      <w:r w:rsidRPr="009B5734">
        <w:rPr>
          <w:noProof/>
        </w:rPr>
        <w:t>Substantive compliance costs</w:t>
      </w:r>
    </w:p>
    <w:tbl>
      <w:tblPr>
        <w:tblW w:w="4916" w:type="pct"/>
        <w:tblBorders>
          <w:top w:val="single" w:sz="4" w:space="0" w:color="auto"/>
          <w:bottom w:val="single" w:sz="4" w:space="0" w:color="auto"/>
          <w:insideH w:val="single" w:sz="4" w:space="0" w:color="auto"/>
        </w:tblBorders>
        <w:shd w:val="solid" w:color="F2F2F2" w:fill="F2F2F2"/>
        <w:tblCellMar>
          <w:left w:w="0" w:type="dxa"/>
          <w:right w:w="0" w:type="dxa"/>
        </w:tblCellMar>
        <w:tblLook w:val="04A0" w:firstRow="1" w:lastRow="0" w:firstColumn="1" w:lastColumn="0" w:noHBand="0" w:noVBand="1"/>
      </w:tblPr>
      <w:tblGrid>
        <w:gridCol w:w="1742"/>
        <w:gridCol w:w="4468"/>
        <w:gridCol w:w="2262"/>
      </w:tblGrid>
      <w:tr w:rsidR="00EA45F9" w:rsidRPr="009B5734" w:rsidTr="00C84A99">
        <w:trPr>
          <w:trHeight w:val="727"/>
        </w:trPr>
        <w:tc>
          <w:tcPr>
            <w:tcW w:w="1028" w:type="pct"/>
            <w:tcBorders>
              <w:top w:val="single" w:sz="4" w:space="0" w:color="auto"/>
              <w:left w:val="nil"/>
              <w:bottom w:val="single" w:sz="4" w:space="0" w:color="auto"/>
              <w:right w:val="nil"/>
            </w:tcBorders>
            <w:shd w:val="clear" w:color="auto" w:fill="002395"/>
          </w:tcPr>
          <w:p w:rsidR="00EA45F9" w:rsidRPr="009B5734" w:rsidRDefault="00EA45F9" w:rsidP="00981615">
            <w:pPr>
              <w:pStyle w:val="TableHeadingWhite"/>
              <w:spacing w:line="276" w:lineRule="auto"/>
              <w:rPr>
                <w:noProof/>
                <w:sz w:val="18"/>
                <w:szCs w:val="20"/>
              </w:rPr>
            </w:pPr>
          </w:p>
        </w:tc>
        <w:tc>
          <w:tcPr>
            <w:tcW w:w="2637" w:type="pct"/>
            <w:tcBorders>
              <w:top w:val="single" w:sz="4" w:space="0" w:color="auto"/>
              <w:left w:val="nil"/>
              <w:bottom w:val="single" w:sz="4" w:space="0" w:color="auto"/>
              <w:right w:val="nil"/>
            </w:tcBorders>
            <w:shd w:val="clear" w:color="auto" w:fill="002395"/>
            <w:hideMark/>
          </w:tcPr>
          <w:p w:rsidR="00EA45F9" w:rsidRPr="009B5734" w:rsidRDefault="00EA45F9" w:rsidP="00981615">
            <w:pPr>
              <w:pStyle w:val="TableHeadingWhite"/>
              <w:spacing w:line="276" w:lineRule="auto"/>
              <w:jc w:val="center"/>
              <w:rPr>
                <w:noProof/>
                <w:sz w:val="18"/>
                <w:szCs w:val="20"/>
              </w:rPr>
            </w:pPr>
            <w:r w:rsidRPr="009B5734">
              <w:rPr>
                <w:noProof/>
                <w:sz w:val="18"/>
                <w:szCs w:val="20"/>
              </w:rPr>
              <w:t>Assumption</w:t>
            </w:r>
          </w:p>
        </w:tc>
        <w:tc>
          <w:tcPr>
            <w:tcW w:w="1335" w:type="pct"/>
            <w:tcBorders>
              <w:top w:val="single" w:sz="4" w:space="0" w:color="auto"/>
              <w:left w:val="nil"/>
              <w:bottom w:val="single" w:sz="4" w:space="0" w:color="auto"/>
              <w:right w:val="nil"/>
            </w:tcBorders>
            <w:shd w:val="clear" w:color="auto" w:fill="002395"/>
            <w:hideMark/>
          </w:tcPr>
          <w:p w:rsidR="00EA45F9" w:rsidRPr="009B5734" w:rsidRDefault="00EA45F9" w:rsidP="00981615">
            <w:pPr>
              <w:pStyle w:val="TableHeadingWhite"/>
              <w:spacing w:line="276" w:lineRule="auto"/>
              <w:jc w:val="center"/>
              <w:rPr>
                <w:noProof/>
                <w:sz w:val="18"/>
                <w:szCs w:val="20"/>
              </w:rPr>
            </w:pPr>
            <w:r w:rsidRPr="009B5734">
              <w:rPr>
                <w:noProof/>
                <w:sz w:val="18"/>
                <w:szCs w:val="20"/>
              </w:rPr>
              <w:t>Source</w:t>
            </w:r>
          </w:p>
        </w:tc>
      </w:tr>
      <w:tr w:rsidR="00EA45F9" w:rsidRPr="009B5734" w:rsidTr="00C84A99">
        <w:trPr>
          <w:trHeight w:val="391"/>
        </w:trPr>
        <w:tc>
          <w:tcPr>
            <w:tcW w:w="5000" w:type="pct"/>
            <w:gridSpan w:val="3"/>
            <w:tcBorders>
              <w:top w:val="single" w:sz="4" w:space="0" w:color="auto"/>
              <w:left w:val="nil"/>
              <w:bottom w:val="single" w:sz="4" w:space="0" w:color="auto"/>
              <w:right w:val="nil"/>
            </w:tcBorders>
            <w:shd w:val="clear" w:color="auto" w:fill="DBE5F1" w:themeFill="accent1" w:themeFillTint="33"/>
            <w:hideMark/>
          </w:tcPr>
          <w:p w:rsidR="00EA45F9" w:rsidRPr="009B5734" w:rsidRDefault="00EA45F9" w:rsidP="00981615">
            <w:pPr>
              <w:pStyle w:val="TableHeadingWhite"/>
              <w:spacing w:line="276" w:lineRule="auto"/>
              <w:rPr>
                <w:noProof/>
                <w:sz w:val="18"/>
                <w:szCs w:val="20"/>
              </w:rPr>
            </w:pPr>
            <w:r w:rsidRPr="009B5734">
              <w:rPr>
                <w:noProof/>
                <w:sz w:val="18"/>
                <w:szCs w:val="20"/>
              </w:rPr>
              <w:t xml:space="preserve">Labels/Logo managers </w:t>
            </w:r>
          </w:p>
        </w:tc>
      </w:tr>
      <w:tr w:rsidR="00EA45F9" w:rsidRPr="009B5734" w:rsidTr="00C84A99">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Familiarization with the measure</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noProof/>
                <w:color w:val="000000" w:themeColor="text1"/>
                <w:sz w:val="18"/>
                <w:szCs w:val="20"/>
              </w:rPr>
            </w:pPr>
            <w:r w:rsidRPr="009B5734">
              <w:rPr>
                <w:noProof/>
                <w:sz w:val="18"/>
                <w:szCs w:val="20"/>
              </w:rPr>
              <w:t>As for administrative burden (we split these costs between the two categories)</w:t>
            </w:r>
          </w:p>
        </w:tc>
        <w:tc>
          <w:tcPr>
            <w:tcW w:w="1335" w:type="pct"/>
            <w:tcBorders>
              <w:top w:val="single" w:sz="4" w:space="0" w:color="auto"/>
              <w:left w:val="nil"/>
              <w:bottom w:val="single" w:sz="4" w:space="0" w:color="auto"/>
              <w:right w:val="nil"/>
            </w:tcBorders>
            <w:shd w:val="clear" w:color="auto" w:fill="auto"/>
          </w:tcPr>
          <w:p w:rsidR="00EA45F9" w:rsidRPr="009B5734" w:rsidRDefault="00EA45F9" w:rsidP="00981615">
            <w:pPr>
              <w:pStyle w:val="TableTextNoSpace"/>
              <w:spacing w:line="276" w:lineRule="auto"/>
              <w:ind w:left="357"/>
              <w:rPr>
                <w:noProof/>
                <w:sz w:val="18"/>
                <w:szCs w:val="20"/>
              </w:rPr>
            </w:pPr>
          </w:p>
        </w:tc>
      </w:tr>
      <w:tr w:rsidR="00EA45F9" w:rsidRPr="009B5734" w:rsidTr="00C84A99">
        <w:trPr>
          <w:trHeight w:val="530"/>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Training</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noProof/>
                <w:color w:val="000000" w:themeColor="text1"/>
                <w:sz w:val="18"/>
                <w:szCs w:val="20"/>
              </w:rPr>
            </w:pPr>
            <w:r w:rsidRPr="009B5734">
              <w:rPr>
                <w:noProof/>
                <w:sz w:val="18"/>
                <w:szCs w:val="20"/>
              </w:rPr>
              <w:t>As for administrative burden (we split these costs between the two categories)</w:t>
            </w:r>
          </w:p>
        </w:tc>
        <w:tc>
          <w:tcPr>
            <w:tcW w:w="1335" w:type="pct"/>
            <w:tcBorders>
              <w:top w:val="single" w:sz="4" w:space="0" w:color="auto"/>
              <w:left w:val="nil"/>
              <w:bottom w:val="single" w:sz="4" w:space="0" w:color="auto"/>
              <w:right w:val="nil"/>
            </w:tcBorders>
            <w:shd w:val="clear" w:color="auto" w:fill="auto"/>
          </w:tcPr>
          <w:p w:rsidR="00EA45F9" w:rsidRPr="009B5734" w:rsidRDefault="00EA45F9" w:rsidP="00981615">
            <w:pPr>
              <w:pStyle w:val="TableTextNoSpace"/>
              <w:spacing w:line="276" w:lineRule="auto"/>
              <w:ind w:left="357"/>
              <w:rPr>
                <w:noProof/>
                <w:sz w:val="18"/>
                <w:szCs w:val="20"/>
              </w:rPr>
            </w:pPr>
          </w:p>
        </w:tc>
      </w:tr>
      <w:tr w:rsidR="00EA45F9" w:rsidRPr="009B5734" w:rsidTr="00C84A99">
        <w:trPr>
          <w:trHeight w:val="558"/>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Retrieving relevant information from existing data and adjusting existing data (including adapting system to retrieve information)</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noProof/>
                <w:color w:val="000000" w:themeColor="text1"/>
                <w:sz w:val="36"/>
                <w:szCs w:val="40"/>
              </w:rPr>
            </w:pPr>
            <w:r w:rsidRPr="009B5734">
              <w:rPr>
                <w:noProof/>
                <w:sz w:val="18"/>
                <w:szCs w:val="20"/>
              </w:rPr>
              <w:t>As for administrative burden (we split these costs between the two categories)</w:t>
            </w:r>
          </w:p>
        </w:tc>
        <w:tc>
          <w:tcPr>
            <w:tcW w:w="1335" w:type="pct"/>
            <w:tcBorders>
              <w:top w:val="single" w:sz="4" w:space="0" w:color="auto"/>
              <w:left w:val="nil"/>
              <w:bottom w:val="single" w:sz="4" w:space="0" w:color="auto"/>
              <w:right w:val="nil"/>
            </w:tcBorders>
            <w:shd w:val="clear" w:color="auto" w:fill="auto"/>
          </w:tcPr>
          <w:p w:rsidR="00EA45F9" w:rsidRPr="009B5734" w:rsidRDefault="00EA45F9" w:rsidP="00981615">
            <w:pPr>
              <w:pStyle w:val="TableTextNoSpace"/>
              <w:spacing w:line="276" w:lineRule="auto"/>
              <w:ind w:left="357"/>
              <w:rPr>
                <w:i/>
                <w:iCs/>
                <w:noProof/>
                <w:sz w:val="18"/>
                <w:szCs w:val="20"/>
              </w:rPr>
            </w:pP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 xml:space="preserve">Producing new data </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 per model)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jc w:val="center"/>
              <w:rPr>
                <w:i/>
                <w:iCs/>
                <w:noProof/>
                <w:color w:val="000000" w:themeColor="text1"/>
                <w:sz w:val="18"/>
                <w:szCs w:val="20"/>
              </w:rPr>
            </w:pPr>
            <w:r w:rsidRPr="009B5734">
              <w:rPr>
                <w:i/>
                <w:iCs/>
                <w:noProof/>
                <w:sz w:val="18"/>
                <w:szCs w:val="20"/>
              </w:rPr>
              <w:t>These costs are passed on to the companies applying to the label/logo, so they are accounted accordingly (see below)</w:t>
            </w: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357"/>
              <w:jc w:val="center"/>
              <w:rPr>
                <w:i/>
                <w:iCs/>
                <w:noProof/>
                <w:sz w:val="18"/>
                <w:szCs w:val="20"/>
              </w:rPr>
            </w:pP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Fee to get approval from EU body (only for measure 2.3.4</w:t>
            </w:r>
          </w:p>
        </w:tc>
        <w:tc>
          <w:tcPr>
            <w:tcW w:w="2637" w:type="pct"/>
            <w:tcBorders>
              <w:top w:val="single" w:sz="4" w:space="0" w:color="auto"/>
              <w:left w:val="nil"/>
              <w:bottom w:val="single" w:sz="4" w:space="0" w:color="auto"/>
              <w:right w:val="nil"/>
            </w:tcBorders>
            <w:shd w:val="clear" w:color="auto" w:fill="auto"/>
            <w:vAlign w:val="center"/>
            <w:hideMark/>
          </w:tcPr>
          <w:p w:rsidR="00EA45F9" w:rsidRPr="009B5734" w:rsidRDefault="00EA45F9" w:rsidP="00981615">
            <w:pPr>
              <w:pStyle w:val="TableTextNoSpace"/>
              <w:spacing w:line="276" w:lineRule="auto"/>
              <w:ind w:left="357"/>
              <w:jc w:val="center"/>
              <w:rPr>
                <w:noProof/>
                <w:color w:val="000000" w:themeColor="text1"/>
                <w:sz w:val="18"/>
                <w:szCs w:val="20"/>
              </w:rPr>
            </w:pPr>
            <w:r w:rsidRPr="009B5734">
              <w:rPr>
                <w:noProof/>
                <w:sz w:val="18"/>
                <w:szCs w:val="20"/>
              </w:rPr>
              <w:t xml:space="preserve">EUR [1 000, 2 000] every two years </w:t>
            </w:r>
          </w:p>
        </w:tc>
        <w:tc>
          <w:tcPr>
            <w:tcW w:w="1335" w:type="pct"/>
            <w:tcBorders>
              <w:top w:val="single" w:sz="4" w:space="0" w:color="auto"/>
              <w:left w:val="nil"/>
              <w:bottom w:val="single" w:sz="4" w:space="0" w:color="auto"/>
              <w:right w:val="nil"/>
            </w:tcBorders>
            <w:shd w:val="clear" w:color="auto" w:fill="auto"/>
            <w:vAlign w:val="center"/>
            <w:hideMark/>
          </w:tcPr>
          <w:p w:rsidR="00EA45F9" w:rsidRPr="009B5734" w:rsidRDefault="00EA45F9" w:rsidP="00981615">
            <w:pPr>
              <w:pStyle w:val="TableTextNoSpace"/>
              <w:spacing w:line="276" w:lineRule="auto"/>
              <w:ind w:left="357"/>
              <w:jc w:val="center"/>
              <w:rPr>
                <w:noProof/>
                <w:sz w:val="18"/>
                <w:szCs w:val="20"/>
              </w:rPr>
            </w:pPr>
            <w:r w:rsidRPr="009B5734">
              <w:rPr>
                <w:noProof/>
                <w:sz w:val="18"/>
                <w:szCs w:val="20"/>
              </w:rPr>
              <w:t>Based on data for EU Ecolabel</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Designing and placing information material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jc w:val="center"/>
              <w:rPr>
                <w:noProof/>
                <w:color w:val="000000" w:themeColor="text1"/>
                <w:sz w:val="18"/>
                <w:szCs w:val="18"/>
              </w:rPr>
            </w:pPr>
            <w:r w:rsidRPr="009B5734">
              <w:rPr>
                <w:noProof/>
                <w:sz w:val="36"/>
                <w:szCs w:val="36"/>
              </w:rPr>
              <w:t>-</w:t>
            </w: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357"/>
              <w:jc w:val="center"/>
              <w:rPr>
                <w:noProof/>
                <w:sz w:val="18"/>
                <w:szCs w:val="20"/>
              </w:rPr>
            </w:pP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Adjust forms and tables (one-off)</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jc w:val="center"/>
              <w:rPr>
                <w:noProof/>
                <w:color w:val="000000" w:themeColor="text1"/>
                <w:sz w:val="18"/>
                <w:szCs w:val="18"/>
              </w:rPr>
            </w:pPr>
            <w:r w:rsidRPr="009B5734">
              <w:rPr>
                <w:noProof/>
                <w:sz w:val="36"/>
                <w:szCs w:val="36"/>
              </w:rPr>
              <w:t>-</w:t>
            </w: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357"/>
              <w:jc w:val="center"/>
              <w:rPr>
                <w:noProof/>
                <w:sz w:val="18"/>
                <w:szCs w:val="20"/>
              </w:rPr>
            </w:pP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Inspections (internal and external)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i/>
                <w:iCs/>
                <w:noProof/>
                <w:color w:val="000000" w:themeColor="text1"/>
                <w:sz w:val="18"/>
                <w:szCs w:val="20"/>
              </w:rPr>
            </w:pPr>
            <w:r w:rsidRPr="009B5734">
              <w:rPr>
                <w:noProof/>
                <w:sz w:val="18"/>
                <w:szCs w:val="20"/>
              </w:rPr>
              <w:t>As for administrative burden (we split these costs between the two categories)</w:t>
            </w:r>
          </w:p>
        </w:tc>
        <w:tc>
          <w:tcPr>
            <w:tcW w:w="1335" w:type="pct"/>
            <w:tcBorders>
              <w:top w:val="single" w:sz="4" w:space="0" w:color="auto"/>
              <w:left w:val="nil"/>
              <w:bottom w:val="single" w:sz="4" w:space="0" w:color="auto"/>
              <w:right w:val="nil"/>
            </w:tcBorders>
            <w:shd w:val="clear" w:color="auto" w:fill="auto"/>
            <w:vAlign w:val="center"/>
          </w:tcPr>
          <w:p w:rsidR="00EA45F9" w:rsidRPr="009B5734" w:rsidRDefault="00EA45F9" w:rsidP="00981615">
            <w:pPr>
              <w:pStyle w:val="TableTextNoSpace"/>
              <w:spacing w:line="276" w:lineRule="auto"/>
              <w:ind w:left="357"/>
              <w:jc w:val="center"/>
              <w:rPr>
                <w:noProof/>
                <w:sz w:val="18"/>
                <w:szCs w:val="20"/>
              </w:rPr>
            </w:pPr>
          </w:p>
        </w:tc>
      </w:tr>
      <w:tr w:rsidR="00EA45F9" w:rsidRPr="009B5734" w:rsidTr="00C84A99">
        <w:trPr>
          <w:trHeight w:val="391"/>
        </w:trPr>
        <w:tc>
          <w:tcPr>
            <w:tcW w:w="5000" w:type="pct"/>
            <w:gridSpan w:val="3"/>
            <w:tcBorders>
              <w:top w:val="single" w:sz="4" w:space="0" w:color="auto"/>
              <w:left w:val="nil"/>
              <w:bottom w:val="single" w:sz="4" w:space="0" w:color="auto"/>
              <w:right w:val="nil"/>
            </w:tcBorders>
            <w:shd w:val="clear" w:color="auto" w:fill="DBE5F1" w:themeFill="accent1" w:themeFillTint="33"/>
            <w:hideMark/>
          </w:tcPr>
          <w:p w:rsidR="00EA45F9" w:rsidRPr="009B5734" w:rsidRDefault="00EA45F9" w:rsidP="00981615">
            <w:pPr>
              <w:pStyle w:val="TableHeadingWhite"/>
              <w:spacing w:line="276" w:lineRule="auto"/>
              <w:ind w:left="142" w:firstLine="0"/>
              <w:rPr>
                <w:noProof/>
                <w:sz w:val="18"/>
                <w:szCs w:val="20"/>
              </w:rPr>
            </w:pPr>
            <w:r w:rsidRPr="009B5734">
              <w:rPr>
                <w:noProof/>
                <w:sz w:val="18"/>
                <w:szCs w:val="20"/>
              </w:rPr>
              <w:t xml:space="preserve">Manufacturers and Service Providers </w:t>
            </w:r>
          </w:p>
        </w:tc>
      </w:tr>
      <w:tr w:rsidR="00EA45F9" w:rsidRPr="009B5734" w:rsidTr="00C84A99">
        <w:trPr>
          <w:trHeight w:val="506"/>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 xml:space="preserve">Producing new data </w:t>
            </w:r>
          </w:p>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(one-off per model)</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i/>
                <w:iCs/>
                <w:noProof/>
                <w:color w:val="000000" w:themeColor="text1"/>
                <w:sz w:val="18"/>
                <w:szCs w:val="20"/>
              </w:rPr>
            </w:pPr>
            <w:r w:rsidRPr="009B5734">
              <w:rPr>
                <w:i/>
                <w:iCs/>
                <w:noProof/>
                <w:sz w:val="18"/>
                <w:szCs w:val="20"/>
              </w:rPr>
              <w:t>This includes the costs of having to carry out a third-party verification in the case of labels/logos that currently do not do it and that are passed on to companies applying for the label/logo</w:t>
            </w:r>
          </w:p>
          <w:p w:rsidR="00EA45F9" w:rsidRPr="009B5734" w:rsidRDefault="00EA45F9" w:rsidP="00981615">
            <w:pPr>
              <w:pStyle w:val="TableTextNoSpace"/>
              <w:spacing w:line="276" w:lineRule="auto"/>
              <w:ind w:left="357"/>
              <w:rPr>
                <w:noProof/>
                <w:sz w:val="18"/>
                <w:szCs w:val="20"/>
              </w:rPr>
            </w:pPr>
            <w:r w:rsidRPr="009B5734">
              <w:rPr>
                <w:noProof/>
                <w:sz w:val="18"/>
                <w:szCs w:val="20"/>
              </w:rPr>
              <w:t>Share of logos/labels that do not require third-party verification in the baseline: 46%</w:t>
            </w:r>
          </w:p>
          <w:p w:rsidR="00EA45F9" w:rsidRPr="009B5734" w:rsidRDefault="00EA45F9" w:rsidP="00981615">
            <w:pPr>
              <w:pStyle w:val="TableTextNoSpace"/>
              <w:spacing w:line="276" w:lineRule="auto"/>
              <w:ind w:left="357"/>
              <w:rPr>
                <w:noProof/>
                <w:sz w:val="18"/>
                <w:szCs w:val="20"/>
              </w:rPr>
            </w:pPr>
            <w:r w:rsidRPr="009B5734">
              <w:rPr>
                <w:noProof/>
                <w:sz w:val="18"/>
                <w:szCs w:val="20"/>
              </w:rPr>
              <w:t>Number of products awarded with a given label/logo (in the baseline, average): 25 666</w:t>
            </w:r>
          </w:p>
          <w:p w:rsidR="00EA45F9" w:rsidRPr="009B5734" w:rsidRDefault="00EA45F9" w:rsidP="00981615">
            <w:pPr>
              <w:pStyle w:val="TableTextNoSpace"/>
              <w:spacing w:line="276" w:lineRule="auto"/>
              <w:ind w:left="357"/>
              <w:rPr>
                <w:noProof/>
                <w:sz w:val="18"/>
                <w:szCs w:val="20"/>
              </w:rPr>
            </w:pPr>
            <w:r w:rsidRPr="009B5734">
              <w:rPr>
                <w:noProof/>
                <w:sz w:val="18"/>
                <w:szCs w:val="20"/>
              </w:rPr>
              <w:t>Incremental cost of a third-party verification: EUR 388/per year</w:t>
            </w:r>
          </w:p>
        </w:tc>
        <w:tc>
          <w:tcPr>
            <w:tcW w:w="1335" w:type="pct"/>
            <w:tcBorders>
              <w:top w:val="single" w:sz="4" w:space="0" w:color="auto"/>
              <w:left w:val="nil"/>
              <w:bottom w:val="single" w:sz="4" w:space="0" w:color="auto"/>
              <w:right w:val="nil"/>
            </w:tcBorders>
            <w:shd w:val="clear" w:color="auto" w:fill="auto"/>
            <w:vAlign w:val="center"/>
            <w:hideMark/>
          </w:tcPr>
          <w:p w:rsidR="00EA45F9" w:rsidRPr="009B5734" w:rsidRDefault="00EA45F9" w:rsidP="00981615">
            <w:pPr>
              <w:pStyle w:val="TableTextNoSpace"/>
              <w:spacing w:line="276" w:lineRule="auto"/>
              <w:ind w:left="357"/>
              <w:jc w:val="center"/>
              <w:rPr>
                <w:iCs/>
                <w:noProof/>
                <w:sz w:val="18"/>
                <w:szCs w:val="20"/>
              </w:rPr>
            </w:pPr>
            <w:r w:rsidRPr="009B5734">
              <w:rPr>
                <w:noProof/>
                <w:sz w:val="18"/>
                <w:szCs w:val="20"/>
              </w:rPr>
              <w:t>Interviews with two organisations running labels/logos</w:t>
            </w:r>
          </w:p>
          <w:p w:rsidR="00EA45F9" w:rsidRPr="009B5734" w:rsidRDefault="00EA45F9" w:rsidP="00981615">
            <w:pPr>
              <w:pStyle w:val="TableTextNoSpace"/>
              <w:spacing w:line="276" w:lineRule="auto"/>
              <w:ind w:left="357"/>
              <w:jc w:val="center"/>
              <w:rPr>
                <w:iCs/>
                <w:noProof/>
                <w:sz w:val="18"/>
                <w:szCs w:val="20"/>
              </w:rPr>
            </w:pPr>
            <w:r w:rsidRPr="009B5734">
              <w:rPr>
                <w:iCs/>
                <w:noProof/>
                <w:sz w:val="18"/>
                <w:szCs w:val="20"/>
              </w:rPr>
              <w:t>Ecolabelindex.com</w:t>
            </w:r>
          </w:p>
          <w:p w:rsidR="00EA45F9" w:rsidRPr="009B5734" w:rsidRDefault="00EA45F9" w:rsidP="00981615">
            <w:pPr>
              <w:pStyle w:val="TableTextNoSpace"/>
              <w:spacing w:line="276" w:lineRule="auto"/>
              <w:ind w:left="357"/>
              <w:jc w:val="center"/>
              <w:rPr>
                <w:iCs/>
                <w:noProof/>
                <w:sz w:val="18"/>
                <w:szCs w:val="20"/>
              </w:rPr>
            </w:pPr>
            <w:r w:rsidRPr="009B5734">
              <w:rPr>
                <w:iCs/>
                <w:noProof/>
                <w:sz w:val="18"/>
                <w:szCs w:val="20"/>
              </w:rPr>
              <w:t>Data on the number of products with EU ecolabel, Fair trade, Nordic Swan</w:t>
            </w:r>
          </w:p>
        </w:tc>
      </w:tr>
    </w:tbl>
    <w:p w:rsidR="00EA45F9" w:rsidRPr="009B5734" w:rsidRDefault="00EA45F9" w:rsidP="00EA45F9">
      <w:pPr>
        <w:pStyle w:val="Titlecost"/>
        <w:rPr>
          <w:noProof/>
        </w:rPr>
      </w:pPr>
    </w:p>
    <w:p w:rsidR="00EA45F9" w:rsidRPr="009B5734" w:rsidRDefault="00EA45F9" w:rsidP="00EA45F9">
      <w:pPr>
        <w:pStyle w:val="Titlecost"/>
        <w:rPr>
          <w:rFonts w:ascii="Times New Roman" w:hAnsi="Times New Roman" w:cs="Times New Roman"/>
          <w:noProof/>
          <w:sz w:val="24"/>
          <w:szCs w:val="24"/>
        </w:rPr>
      </w:pPr>
      <w:r w:rsidRPr="009B5734">
        <w:rPr>
          <w:rFonts w:ascii="Times New Roman" w:hAnsi="Times New Roman" w:cs="Times New Roman"/>
          <w:noProof/>
          <w:sz w:val="24"/>
          <w:szCs w:val="24"/>
        </w:rPr>
        <w:t>Enforcement costs</w:t>
      </w:r>
    </w:p>
    <w:p w:rsidR="00EA45F9" w:rsidRPr="009B5734" w:rsidRDefault="00EA45F9" w:rsidP="00EA45F9">
      <w:pPr>
        <w:pStyle w:val="BodyText"/>
        <w:ind w:left="0" w:firstLine="0"/>
        <w:rPr>
          <w:rFonts w:ascii="Times New Roman" w:hAnsi="Times New Roman"/>
          <w:noProof/>
          <w:sz w:val="24"/>
        </w:rPr>
      </w:pPr>
      <w:bookmarkStart w:id="622" w:name="_Hlk59695868"/>
      <w:r w:rsidRPr="009B5734">
        <w:rPr>
          <w:rFonts w:ascii="Times New Roman" w:hAnsi="Times New Roman"/>
          <w:noProof/>
          <w:sz w:val="24"/>
        </w:rPr>
        <w:t>It is assumed that the measure would not require significant additional resources on top of the existing ones to enforce UCPD. In fact, some of the interviewed CPC authorities even indicated that the measure might lead to savings as it will help them tackle the issue of lack of transparency and reliability of labels/logos more easily (less resources are needed to substantiate their assessment). For these Member States we considered that the measure does not bring incremental costs. For the others, we assume that one Full Time equivalent will work to monitor (50%), carry out inspections (40%) and handle complaints (10%).</w:t>
      </w:r>
    </w:p>
    <w:bookmarkEnd w:id="622"/>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For all Member States, we assumed 35h for two people getting familiarized with the measure and adjust the internal procedures to start enforcing the measure. 16 employees will receive a 7h training.</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costs of an ADR body adjudication and of a court adjudication were obtained from the Impact Assessment of CPC authorities and supporting study</w:t>
      </w:r>
      <w:r w:rsidRPr="009B5734">
        <w:rPr>
          <w:rStyle w:val="FootnoteReference"/>
          <w:rFonts w:ascii="Times New Roman" w:hAnsi="Times New Roman" w:cs="Times New Roman"/>
          <w:noProof/>
          <w:sz w:val="24"/>
          <w:szCs w:val="24"/>
        </w:rPr>
        <w:footnoteReference w:id="176"/>
      </w:r>
      <w:r w:rsidRPr="009B5734">
        <w:rPr>
          <w:rFonts w:ascii="Times New Roman" w:hAnsi="Times New Roman" w:cs="Times New Roman"/>
          <w:noProof/>
          <w:sz w:val="24"/>
          <w:szCs w:val="24"/>
        </w:rPr>
        <w:t>.</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In the case of measure 2.3.</w:t>
      </w:r>
      <w:r w:rsidR="008D2B10" w:rsidRPr="009B5734">
        <w:rPr>
          <w:rFonts w:ascii="Times New Roman" w:hAnsi="Times New Roman" w:cs="Times New Roman"/>
          <w:noProof/>
          <w:sz w:val="24"/>
          <w:szCs w:val="24"/>
        </w:rPr>
        <w:t>C</w:t>
      </w:r>
      <w:r w:rsidRPr="009B5734">
        <w:rPr>
          <w:rFonts w:ascii="Times New Roman" w:hAnsi="Times New Roman" w:cs="Times New Roman"/>
          <w:noProof/>
          <w:sz w:val="24"/>
          <w:szCs w:val="24"/>
        </w:rPr>
        <w:t>, all labels/logos will need to be pre-approved by an EU body. The costs of setting up and running the EU body were considered to be around EUR 4.02 million</w:t>
      </w:r>
      <w:r w:rsidRPr="009B5734">
        <w:rPr>
          <w:rStyle w:val="FootnoteReference"/>
          <w:rFonts w:ascii="Times New Roman" w:hAnsi="Times New Roman" w:cs="Times New Roman"/>
          <w:noProof/>
          <w:sz w:val="24"/>
          <w:szCs w:val="24"/>
        </w:rPr>
        <w:footnoteReference w:id="177"/>
      </w:r>
      <w:r w:rsidRPr="009B5734">
        <w:rPr>
          <w:rFonts w:ascii="Times New Roman" w:hAnsi="Times New Roman" w:cs="Times New Roman"/>
          <w:noProof/>
          <w:sz w:val="24"/>
          <w:szCs w:val="24"/>
        </w:rPr>
        <w:t xml:space="preserve"> per year.</w:t>
      </w:r>
    </w:p>
    <w:p w:rsidR="00EA45F9" w:rsidRPr="009B5734" w:rsidRDefault="00EA45F9" w:rsidP="00EA45F9">
      <w:pPr>
        <w:pStyle w:val="Titlecost"/>
        <w:rPr>
          <w:rFonts w:ascii="Times New Roman" w:hAnsi="Times New Roman" w:cs="Times New Roman"/>
          <w:noProof/>
          <w:sz w:val="24"/>
          <w:szCs w:val="24"/>
        </w:rPr>
      </w:pPr>
      <w:r w:rsidRPr="009B5734">
        <w:rPr>
          <w:rFonts w:ascii="Times New Roman" w:hAnsi="Times New Roman" w:cs="Times New Roman"/>
          <w:noProof/>
          <w:sz w:val="24"/>
          <w:szCs w:val="24"/>
        </w:rPr>
        <w:t>Impact on monetisable consumer welfare</w:t>
      </w:r>
    </w:p>
    <w:p w:rsidR="00EA45F9" w:rsidRPr="004931D3" w:rsidRDefault="00EA45F9">
      <w:pPr>
        <w:pStyle w:val="BTBullet1Last"/>
        <w:tabs>
          <w:tab w:val="clear" w:pos="1191"/>
          <w:tab w:val="left" w:pos="720"/>
        </w:tabs>
        <w:ind w:left="0" w:firstLine="0"/>
        <w:rPr>
          <w:rFonts w:ascii="Times New Roman" w:hAnsi="Times New Roman"/>
          <w:noProof/>
          <w:sz w:val="24"/>
        </w:rPr>
      </w:pPr>
      <w:r w:rsidRPr="6B053803">
        <w:rPr>
          <w:rFonts w:ascii="Times New Roman" w:hAnsi="Times New Roman"/>
          <w:noProof/>
          <w:sz w:val="24"/>
        </w:rPr>
        <w:t>The approach to quantification of the impact of the measure on the monetisable consumer welfare was the following:</w:t>
      </w:r>
    </w:p>
    <w:p w:rsidR="00EA45F9" w:rsidRPr="009B5734" w:rsidRDefault="00EA45F9" w:rsidP="00EA45F9">
      <w:pPr>
        <w:pStyle w:val="BTBullet1Last"/>
        <w:numPr>
          <w:ilvl w:val="0"/>
          <w:numId w:val="197"/>
        </w:numPr>
        <w:tabs>
          <w:tab w:val="left" w:pos="720"/>
        </w:tabs>
        <w:spacing w:before="120" w:line="240" w:lineRule="auto"/>
        <w:ind w:left="0" w:firstLine="0"/>
        <w:jc w:val="left"/>
        <w:rPr>
          <w:rFonts w:ascii="Times New Roman" w:hAnsi="Times New Roman"/>
          <w:noProof/>
          <w:sz w:val="24"/>
        </w:rPr>
      </w:pPr>
      <w:r w:rsidRPr="009B5734">
        <w:rPr>
          <w:rFonts w:ascii="Times New Roman" w:hAnsi="Times New Roman"/>
          <w:noProof/>
          <w:sz w:val="24"/>
        </w:rPr>
        <w:t>Step 1. Estimate the percentage of products carrying labels/logos that will become more transparent and reliable if the measure is implemented.</w:t>
      </w:r>
      <w:r w:rsidRPr="009B5734">
        <w:rPr>
          <w:rStyle w:val="FootnoteReference"/>
          <w:rFonts w:ascii="Times New Roman" w:hAnsi="Times New Roman"/>
          <w:noProof/>
          <w:sz w:val="24"/>
        </w:rPr>
        <w:footnoteReference w:id="178"/>
      </w:r>
    </w:p>
    <w:p w:rsidR="00EA45F9" w:rsidRPr="009B5734" w:rsidRDefault="00EA45F9" w:rsidP="00EA45F9">
      <w:pPr>
        <w:pStyle w:val="BTBullet1Last"/>
        <w:numPr>
          <w:ilvl w:val="0"/>
          <w:numId w:val="197"/>
        </w:numPr>
        <w:tabs>
          <w:tab w:val="left" w:pos="720"/>
        </w:tabs>
        <w:spacing w:before="120" w:line="240" w:lineRule="auto"/>
        <w:ind w:left="0" w:firstLine="0"/>
        <w:jc w:val="left"/>
        <w:rPr>
          <w:rFonts w:ascii="Times New Roman" w:hAnsi="Times New Roman"/>
          <w:noProof/>
          <w:sz w:val="24"/>
        </w:rPr>
      </w:pPr>
      <w:r w:rsidRPr="009B5734">
        <w:rPr>
          <w:rFonts w:ascii="Times New Roman" w:hAnsi="Times New Roman"/>
          <w:noProof/>
          <w:sz w:val="24"/>
        </w:rPr>
        <w:t>Step 2. Estimate the share of consumers that were purchasing those products (in the baseline) and that are willing to pay to be sure that the information is trustworthy.</w:t>
      </w:r>
    </w:p>
    <w:p w:rsidR="00EA45F9" w:rsidRPr="009B5734" w:rsidRDefault="00EA45F9" w:rsidP="00EA45F9">
      <w:pPr>
        <w:pStyle w:val="BTBullet1Last"/>
        <w:numPr>
          <w:ilvl w:val="0"/>
          <w:numId w:val="197"/>
        </w:numPr>
        <w:tabs>
          <w:tab w:val="left" w:pos="720"/>
        </w:tabs>
        <w:spacing w:before="120" w:line="240" w:lineRule="auto"/>
        <w:ind w:left="0" w:firstLine="0"/>
        <w:jc w:val="left"/>
        <w:rPr>
          <w:rFonts w:ascii="Times New Roman" w:hAnsi="Times New Roman"/>
          <w:noProof/>
          <w:sz w:val="24"/>
        </w:rPr>
      </w:pPr>
      <w:r w:rsidRPr="009B5734">
        <w:rPr>
          <w:rFonts w:ascii="Times New Roman" w:hAnsi="Times New Roman"/>
          <w:noProof/>
          <w:sz w:val="24"/>
        </w:rPr>
        <w:t>Step 3. Estimate how much these consumers are willing to pay for more trustworthy information for those sales covered by the measure.</w:t>
      </w:r>
      <w:r w:rsidRPr="009B5734">
        <w:rPr>
          <w:rStyle w:val="FootnoteReference"/>
          <w:rFonts w:ascii="Times New Roman" w:hAnsi="Times New Roman"/>
          <w:noProof/>
          <w:sz w:val="24"/>
        </w:rPr>
        <w:footnoteReference w:id="179"/>
      </w:r>
    </w:p>
    <w:p w:rsidR="00EA45F9" w:rsidRPr="009B5734" w:rsidRDefault="00EA45F9" w:rsidP="00EA45F9">
      <w:pPr>
        <w:pStyle w:val="BTBullet1Last"/>
        <w:numPr>
          <w:ilvl w:val="0"/>
          <w:numId w:val="197"/>
        </w:numPr>
        <w:tabs>
          <w:tab w:val="left" w:pos="720"/>
        </w:tabs>
        <w:spacing w:before="120" w:line="240" w:lineRule="auto"/>
        <w:ind w:left="0" w:firstLine="0"/>
        <w:jc w:val="left"/>
        <w:rPr>
          <w:rFonts w:ascii="Times New Roman" w:hAnsi="Times New Roman"/>
          <w:noProof/>
          <w:sz w:val="24"/>
        </w:rPr>
      </w:pPr>
      <w:r w:rsidRPr="009B5734">
        <w:rPr>
          <w:rFonts w:ascii="Times New Roman" w:hAnsi="Times New Roman"/>
          <w:noProof/>
          <w:sz w:val="24"/>
        </w:rPr>
        <w:t>In the scenario where we assume that the measure will increase the level of trust of consumers on labels/logos, and that for that reason more consumers (than in the baseline) will purchase products that are more sustainable, then the monetisation of the benefits of the new demand was done by:</w:t>
      </w:r>
    </w:p>
    <w:p w:rsidR="00EA45F9" w:rsidRPr="009B5734" w:rsidRDefault="00EA45F9" w:rsidP="00EA45F9">
      <w:pPr>
        <w:pStyle w:val="BTBullet1Last"/>
        <w:numPr>
          <w:ilvl w:val="0"/>
          <w:numId w:val="197"/>
        </w:numPr>
        <w:tabs>
          <w:tab w:val="left" w:pos="720"/>
        </w:tabs>
        <w:spacing w:before="120" w:line="240" w:lineRule="auto"/>
        <w:ind w:left="0" w:firstLine="0"/>
        <w:jc w:val="left"/>
        <w:rPr>
          <w:rFonts w:ascii="Times New Roman" w:hAnsi="Times New Roman"/>
          <w:noProof/>
          <w:sz w:val="24"/>
        </w:rPr>
      </w:pPr>
      <w:r w:rsidRPr="009B5734">
        <w:rPr>
          <w:rFonts w:ascii="Times New Roman" w:hAnsi="Times New Roman"/>
          <w:noProof/>
          <w:sz w:val="24"/>
        </w:rPr>
        <w:t>Step 4. Estimate the share of consumers that were not purchasing those “more sustainable” products (in the baseline) and that would start doing it as a result of the measure.</w:t>
      </w:r>
    </w:p>
    <w:p w:rsidR="00EA45F9" w:rsidRPr="004931D3" w:rsidRDefault="00EA45F9" w:rsidP="004931D3">
      <w:pPr>
        <w:pStyle w:val="BTBullet1Last"/>
        <w:numPr>
          <w:ilvl w:val="0"/>
          <w:numId w:val="197"/>
        </w:numPr>
        <w:tabs>
          <w:tab w:val="left" w:pos="720"/>
        </w:tabs>
        <w:spacing w:before="120" w:line="240" w:lineRule="auto"/>
        <w:ind w:left="0" w:firstLine="0"/>
        <w:jc w:val="left"/>
        <w:rPr>
          <w:rFonts w:ascii="Times New Roman" w:hAnsi="Times New Roman"/>
          <w:noProof/>
          <w:sz w:val="24"/>
        </w:rPr>
      </w:pPr>
      <w:r w:rsidRPr="6B053803">
        <w:rPr>
          <w:rFonts w:ascii="Times New Roman" w:hAnsi="Times New Roman"/>
          <w:noProof/>
          <w:sz w:val="24"/>
        </w:rPr>
        <w:t>Step 5. Estimate the surplus of these new consumers based on their stated willingness to pay to have products with trustworthy labels/logos.</w:t>
      </w:r>
    </w:p>
    <w:tbl>
      <w:tblPr>
        <w:tblW w:w="4916" w:type="pct"/>
        <w:tblBorders>
          <w:top w:val="single" w:sz="4" w:space="0" w:color="auto"/>
          <w:bottom w:val="single" w:sz="4" w:space="0" w:color="auto"/>
          <w:insideH w:val="single" w:sz="4" w:space="0" w:color="auto"/>
        </w:tblBorders>
        <w:shd w:val="solid" w:color="F2F2F2" w:fill="F2F2F2"/>
        <w:tblCellMar>
          <w:left w:w="0" w:type="dxa"/>
          <w:right w:w="0" w:type="dxa"/>
        </w:tblCellMar>
        <w:tblLook w:val="04A0" w:firstRow="1" w:lastRow="0" w:firstColumn="1" w:lastColumn="0" w:noHBand="0" w:noVBand="1"/>
      </w:tblPr>
      <w:tblGrid>
        <w:gridCol w:w="1742"/>
        <w:gridCol w:w="4468"/>
        <w:gridCol w:w="2262"/>
      </w:tblGrid>
      <w:tr w:rsidR="00EA45F9" w:rsidRPr="009B5734" w:rsidTr="00981615">
        <w:trPr>
          <w:trHeight w:val="727"/>
        </w:trPr>
        <w:tc>
          <w:tcPr>
            <w:tcW w:w="1028" w:type="pct"/>
            <w:tcBorders>
              <w:top w:val="single" w:sz="4" w:space="0" w:color="auto"/>
              <w:left w:val="nil"/>
              <w:bottom w:val="single" w:sz="4" w:space="0" w:color="auto"/>
              <w:right w:val="nil"/>
            </w:tcBorders>
            <w:shd w:val="solid" w:color="002395" w:fill="002395"/>
          </w:tcPr>
          <w:p w:rsidR="00EA45F9" w:rsidRPr="009B5734" w:rsidRDefault="00EA45F9" w:rsidP="00981615">
            <w:pPr>
              <w:pStyle w:val="TableHeadingWhite"/>
              <w:spacing w:line="276" w:lineRule="auto"/>
              <w:rPr>
                <w:noProof/>
                <w:sz w:val="18"/>
                <w:szCs w:val="20"/>
              </w:rPr>
            </w:pPr>
          </w:p>
        </w:tc>
        <w:tc>
          <w:tcPr>
            <w:tcW w:w="2637" w:type="pct"/>
            <w:tcBorders>
              <w:top w:val="single" w:sz="4" w:space="0" w:color="auto"/>
              <w:left w:val="nil"/>
              <w:bottom w:val="single" w:sz="4" w:space="0" w:color="auto"/>
              <w:right w:val="nil"/>
            </w:tcBorders>
            <w:shd w:val="solid" w:color="002395" w:fill="002395"/>
            <w:hideMark/>
          </w:tcPr>
          <w:p w:rsidR="00EA45F9" w:rsidRPr="009B5734" w:rsidRDefault="00EA45F9" w:rsidP="00981615">
            <w:pPr>
              <w:pStyle w:val="TableHeadingWhite"/>
              <w:spacing w:line="276" w:lineRule="auto"/>
              <w:jc w:val="center"/>
              <w:rPr>
                <w:noProof/>
                <w:sz w:val="18"/>
                <w:szCs w:val="20"/>
              </w:rPr>
            </w:pPr>
            <w:r w:rsidRPr="009B5734">
              <w:rPr>
                <w:noProof/>
                <w:sz w:val="18"/>
                <w:szCs w:val="20"/>
              </w:rPr>
              <w:t>Assumption</w:t>
            </w:r>
          </w:p>
        </w:tc>
        <w:tc>
          <w:tcPr>
            <w:tcW w:w="1335" w:type="pct"/>
            <w:tcBorders>
              <w:top w:val="single" w:sz="4" w:space="0" w:color="auto"/>
              <w:left w:val="nil"/>
              <w:bottom w:val="single" w:sz="4" w:space="0" w:color="auto"/>
              <w:right w:val="nil"/>
            </w:tcBorders>
            <w:shd w:val="solid" w:color="002395" w:fill="002395"/>
            <w:hideMark/>
          </w:tcPr>
          <w:p w:rsidR="00EA45F9" w:rsidRPr="009B5734" w:rsidRDefault="00EA45F9" w:rsidP="00981615">
            <w:pPr>
              <w:pStyle w:val="TableHeadingWhite"/>
              <w:spacing w:line="276" w:lineRule="auto"/>
              <w:jc w:val="center"/>
              <w:rPr>
                <w:noProof/>
                <w:sz w:val="18"/>
                <w:szCs w:val="20"/>
              </w:rPr>
            </w:pPr>
            <w:r w:rsidRPr="009B5734">
              <w:rPr>
                <w:noProof/>
                <w:sz w:val="18"/>
                <w:szCs w:val="20"/>
              </w:rPr>
              <w:t>Source</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Consumers that always buy more environmentally friendly products (when available)</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jc w:val="center"/>
              <w:rPr>
                <w:noProof/>
                <w:color w:val="000000" w:themeColor="text1"/>
                <w:sz w:val="18"/>
                <w:szCs w:val="20"/>
              </w:rPr>
            </w:pPr>
            <w:r w:rsidRPr="009B5734">
              <w:rPr>
                <w:noProof/>
                <w:sz w:val="18"/>
                <w:szCs w:val="20"/>
              </w:rPr>
              <w:t>15%</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noProof/>
                <w:sz w:val="18"/>
                <w:szCs w:val="20"/>
              </w:rPr>
            </w:pPr>
            <w:r w:rsidRPr="009B5734">
              <w:rPr>
                <w:noProof/>
                <w:sz w:val="18"/>
                <w:szCs w:val="20"/>
              </w:rPr>
              <w:t xml:space="preserve">Consumer survey </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Consumers that will start trusting the information and buying sustainable products more often</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jc w:val="center"/>
              <w:rPr>
                <w:noProof/>
                <w:color w:val="000000" w:themeColor="text1"/>
                <w:sz w:val="18"/>
                <w:szCs w:val="20"/>
              </w:rPr>
            </w:pPr>
            <w:r w:rsidRPr="009B5734">
              <w:rPr>
                <w:noProof/>
                <w:sz w:val="18"/>
                <w:szCs w:val="20"/>
              </w:rPr>
              <w:t>Three scenarios were developed in line with what was described for measure 2.2.1</w:t>
            </w:r>
          </w:p>
        </w:tc>
        <w:tc>
          <w:tcPr>
            <w:tcW w:w="1335" w:type="pct"/>
            <w:tcBorders>
              <w:top w:val="single" w:sz="4" w:space="0" w:color="auto"/>
              <w:left w:val="nil"/>
              <w:bottom w:val="single" w:sz="4" w:space="0" w:color="auto"/>
              <w:right w:val="nil"/>
            </w:tcBorders>
            <w:shd w:val="clear" w:color="auto" w:fill="auto"/>
          </w:tcPr>
          <w:p w:rsidR="00EA45F9" w:rsidRPr="009B5734" w:rsidRDefault="00EA45F9" w:rsidP="00981615">
            <w:pPr>
              <w:pStyle w:val="TableTextNoSpace"/>
              <w:spacing w:line="276" w:lineRule="auto"/>
              <w:ind w:left="357"/>
              <w:rPr>
                <w:noProof/>
                <w:sz w:val="18"/>
                <w:szCs w:val="20"/>
              </w:rPr>
            </w:pP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20"/>
              </w:rPr>
            </w:pPr>
            <w:r w:rsidRPr="009B5734">
              <w:rPr>
                <w:b/>
                <w:bCs/>
                <w:noProof/>
                <w:sz w:val="18"/>
                <w:szCs w:val="20"/>
              </w:rPr>
              <w:t>Willingness to pay for having trustworthy environmental information</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numPr>
                <w:ilvl w:val="0"/>
                <w:numId w:val="196"/>
              </w:numPr>
              <w:spacing w:before="120" w:line="276" w:lineRule="auto"/>
              <w:ind w:left="357" w:right="0"/>
              <w:jc w:val="left"/>
              <w:rPr>
                <w:noProof/>
                <w:color w:val="000000" w:themeColor="text1"/>
                <w:sz w:val="18"/>
                <w:szCs w:val="20"/>
              </w:rPr>
            </w:pPr>
            <w:r w:rsidRPr="009B5734">
              <w:rPr>
                <w:noProof/>
                <w:sz w:val="18"/>
                <w:szCs w:val="20"/>
              </w:rPr>
              <w:t>Existing demand: 0.18% (average, depends on the product)</w:t>
            </w:r>
          </w:p>
          <w:p w:rsidR="00EA45F9" w:rsidRPr="009B5734" w:rsidRDefault="00EA45F9" w:rsidP="00981615">
            <w:pPr>
              <w:pStyle w:val="TableTextNoSpace"/>
              <w:numPr>
                <w:ilvl w:val="0"/>
                <w:numId w:val="196"/>
              </w:numPr>
              <w:spacing w:before="120" w:line="276" w:lineRule="auto"/>
              <w:ind w:left="357" w:right="0"/>
              <w:jc w:val="left"/>
              <w:rPr>
                <w:noProof/>
                <w:sz w:val="18"/>
                <w:szCs w:val="20"/>
              </w:rPr>
            </w:pPr>
            <w:r w:rsidRPr="009B5734">
              <w:rPr>
                <w:noProof/>
                <w:sz w:val="18"/>
                <w:szCs w:val="20"/>
              </w:rPr>
              <w:t>New demand: 4.91% (average, depends on the product)</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noProof/>
                <w:sz w:val="18"/>
                <w:szCs w:val="20"/>
              </w:rPr>
            </w:pPr>
            <w:r w:rsidRPr="009B5734">
              <w:rPr>
                <w:noProof/>
                <w:sz w:val="18"/>
                <w:szCs w:val="20"/>
              </w:rPr>
              <w:t xml:space="preserve">Consumer survey </w:t>
            </w:r>
          </w:p>
        </w:tc>
      </w:tr>
      <w:tr w:rsidR="00EA45F9" w:rsidRPr="009B5734" w:rsidTr="00981615">
        <w:trPr>
          <w:trHeight w:val="759"/>
        </w:trPr>
        <w:tc>
          <w:tcPr>
            <w:tcW w:w="1028"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142" w:firstLine="0"/>
              <w:rPr>
                <w:b/>
                <w:bCs/>
                <w:noProof/>
                <w:sz w:val="18"/>
                <w:szCs w:val="18"/>
              </w:rPr>
            </w:pPr>
            <w:r w:rsidRPr="009B5734">
              <w:rPr>
                <w:b/>
                <w:bCs/>
                <w:noProof/>
                <w:sz w:val="18"/>
                <w:szCs w:val="18"/>
              </w:rPr>
              <w:t>Sales within scope</w:t>
            </w:r>
          </w:p>
        </w:tc>
        <w:tc>
          <w:tcPr>
            <w:tcW w:w="2637" w:type="pct"/>
            <w:tcBorders>
              <w:top w:val="single" w:sz="4" w:space="0" w:color="auto"/>
              <w:left w:val="nil"/>
              <w:bottom w:val="single" w:sz="4" w:space="0" w:color="auto"/>
              <w:right w:val="nil"/>
            </w:tcBorders>
            <w:shd w:val="clear" w:color="auto" w:fill="auto"/>
            <w:hideMark/>
          </w:tcPr>
          <w:p w:rsidR="00EA45F9" w:rsidRPr="009B5734" w:rsidRDefault="00EA45F9" w:rsidP="00981615">
            <w:pPr>
              <w:spacing w:line="276" w:lineRule="auto"/>
              <w:rPr>
                <w:noProof/>
                <w:color w:val="000000" w:themeColor="text1"/>
                <w:sz w:val="18"/>
                <w:szCs w:val="18"/>
              </w:rPr>
            </w:pPr>
            <w:r w:rsidRPr="009B5734">
              <w:rPr>
                <w:noProof/>
                <w:sz w:val="18"/>
                <w:szCs w:val="18"/>
              </w:rPr>
              <w:t xml:space="preserve">Products with labels/logos: 10% (average) </w:t>
            </w:r>
          </w:p>
          <w:p w:rsidR="00EA45F9" w:rsidRPr="009B5734" w:rsidRDefault="00EA45F9" w:rsidP="00981615">
            <w:pPr>
              <w:spacing w:line="276" w:lineRule="auto"/>
              <w:rPr>
                <w:noProof/>
                <w:sz w:val="18"/>
                <w:szCs w:val="18"/>
              </w:rPr>
            </w:pPr>
            <w:r w:rsidRPr="009B5734">
              <w:rPr>
                <w:noProof/>
                <w:sz w:val="18"/>
                <w:szCs w:val="18"/>
              </w:rPr>
              <w:t>Share of labels/logos not fully complying: 94%</w:t>
            </w:r>
          </w:p>
          <w:p w:rsidR="00EA45F9" w:rsidRPr="009B5734" w:rsidRDefault="00EA45F9" w:rsidP="00981615">
            <w:pPr>
              <w:spacing w:line="276" w:lineRule="auto"/>
              <w:rPr>
                <w:noProof/>
                <w:sz w:val="18"/>
                <w:szCs w:val="18"/>
              </w:rPr>
            </w:pPr>
            <w:r w:rsidRPr="009B5734">
              <w:rPr>
                <w:noProof/>
                <w:sz w:val="18"/>
                <w:szCs w:val="18"/>
              </w:rPr>
              <w:t>Sales within scope: 10% X 94%</w:t>
            </w:r>
          </w:p>
        </w:tc>
        <w:tc>
          <w:tcPr>
            <w:tcW w:w="1335" w:type="pct"/>
            <w:tcBorders>
              <w:top w:val="single" w:sz="4" w:space="0" w:color="auto"/>
              <w:left w:val="nil"/>
              <w:bottom w:val="single" w:sz="4" w:space="0" w:color="auto"/>
              <w:right w:val="nil"/>
            </w:tcBorders>
            <w:shd w:val="clear" w:color="auto" w:fill="auto"/>
            <w:hideMark/>
          </w:tcPr>
          <w:p w:rsidR="00EA45F9" w:rsidRPr="009B5734" w:rsidRDefault="00EA45F9" w:rsidP="00981615">
            <w:pPr>
              <w:pStyle w:val="TableTextNoSpace"/>
              <w:spacing w:line="276" w:lineRule="auto"/>
              <w:ind w:left="357"/>
              <w:rPr>
                <w:noProof/>
                <w:sz w:val="18"/>
                <w:szCs w:val="18"/>
              </w:rPr>
            </w:pPr>
            <w:r w:rsidRPr="009B5734">
              <w:rPr>
                <w:noProof/>
                <w:sz w:val="18"/>
                <w:szCs w:val="18"/>
              </w:rPr>
              <w:t>Study on “Environmental claims in the EU: Inventory and reliability assessment”.</w:t>
            </w:r>
            <w:r w:rsidRPr="009B5734">
              <w:rPr>
                <w:rStyle w:val="FootnoteReference"/>
                <w:noProof/>
                <w:sz w:val="18"/>
                <w:szCs w:val="18"/>
              </w:rPr>
              <w:footnoteReference w:id="180"/>
            </w:r>
          </w:p>
          <w:p w:rsidR="00EA45F9" w:rsidRPr="009B5734" w:rsidRDefault="00EA45F9" w:rsidP="00981615">
            <w:pPr>
              <w:pStyle w:val="TableTextNoSpace"/>
              <w:spacing w:line="276" w:lineRule="auto"/>
              <w:ind w:left="357"/>
              <w:rPr>
                <w:noProof/>
                <w:sz w:val="18"/>
                <w:szCs w:val="18"/>
              </w:rPr>
            </w:pPr>
            <w:r w:rsidRPr="009B5734">
              <w:rPr>
                <w:noProof/>
                <w:sz w:val="18"/>
                <w:szCs w:val="18"/>
              </w:rPr>
              <w:t>Mystery shopping carried out in the context of the present study</w:t>
            </w:r>
          </w:p>
          <w:p w:rsidR="00EA45F9" w:rsidRPr="009B5734" w:rsidRDefault="00EA45F9" w:rsidP="00981615">
            <w:pPr>
              <w:pStyle w:val="TableTextNoSpace"/>
              <w:spacing w:line="276" w:lineRule="auto"/>
              <w:ind w:left="357"/>
              <w:rPr>
                <w:noProof/>
                <w:sz w:val="18"/>
                <w:szCs w:val="18"/>
              </w:rPr>
            </w:pPr>
            <w:r w:rsidRPr="009B5734">
              <w:rPr>
                <w:noProof/>
                <w:sz w:val="18"/>
                <w:szCs w:val="18"/>
              </w:rPr>
              <w:t>Ecolabelindex.com</w:t>
            </w:r>
          </w:p>
        </w:tc>
      </w:tr>
    </w:tbl>
    <w:p w:rsidR="00EA45F9" w:rsidRPr="009B5734" w:rsidRDefault="00EA45F9" w:rsidP="00EA45F9">
      <w:pPr>
        <w:rPr>
          <w:rFonts w:ascii="Verdana" w:hAnsi="Verdana"/>
          <w:noProof/>
          <w:color w:val="000000" w:themeColor="text1"/>
          <w:sz w:val="20"/>
        </w:rPr>
      </w:pPr>
    </w:p>
    <w:p w:rsidR="00EA45F9" w:rsidRPr="009B5734" w:rsidRDefault="00EA45F9" w:rsidP="00EA45F9">
      <w:pPr>
        <w:rPr>
          <w:rFonts w:ascii="Verdana" w:hAnsi="Verdana"/>
          <w:noProof/>
          <w:color w:val="000000" w:themeColor="text1"/>
          <w:sz w:val="20"/>
        </w:rPr>
      </w:pPr>
    </w:p>
    <w:p w:rsidR="00EA45F9" w:rsidRPr="009B5734" w:rsidRDefault="00EA45F9" w:rsidP="00EA45F9">
      <w:pPr>
        <w:rPr>
          <w:rFonts w:ascii="Verdana" w:hAnsi="Verdana"/>
          <w:noProof/>
          <w:color w:val="000000" w:themeColor="text1"/>
          <w:sz w:val="20"/>
        </w:rPr>
      </w:pPr>
    </w:p>
    <w:p w:rsidR="00EA45F9" w:rsidRPr="009B5734" w:rsidRDefault="00EA45F9" w:rsidP="00EA45F9">
      <w:pPr>
        <w:rPr>
          <w:noProof/>
        </w:rPr>
        <w:sectPr w:rsidR="00EA45F9" w:rsidRPr="009B5734" w:rsidSect="00251D59">
          <w:headerReference w:type="even" r:id="rId80"/>
          <w:headerReference w:type="default" r:id="rId81"/>
          <w:footerReference w:type="even" r:id="rId82"/>
          <w:footerReference w:type="default" r:id="rId83"/>
          <w:headerReference w:type="first" r:id="rId84"/>
          <w:footerReference w:type="first" r:id="rId85"/>
          <w:pgSz w:w="11906" w:h="16838"/>
          <w:pgMar w:top="1021" w:right="1701" w:bottom="1021" w:left="1588" w:header="601" w:footer="1077" w:gutter="0"/>
          <w:cols w:space="720"/>
          <w:titlePg/>
          <w:docGrid w:linePitch="299"/>
        </w:sectPr>
      </w:pPr>
    </w:p>
    <w:p w:rsidR="00EA45F9" w:rsidRPr="009B5734" w:rsidRDefault="00EA45F9" w:rsidP="00EA45F9">
      <w:pPr>
        <w:pStyle w:val="Heading1"/>
        <w:jc w:val="center"/>
        <w:rPr>
          <w:noProof/>
        </w:rPr>
      </w:pPr>
      <w:bookmarkStart w:id="623" w:name="_Annex_5:_Additional"/>
      <w:bookmarkStart w:id="624" w:name="_Toc75440997"/>
      <w:bookmarkStart w:id="625" w:name="_Toc75446996"/>
      <w:bookmarkStart w:id="626" w:name="_Toc75448869"/>
      <w:bookmarkStart w:id="627" w:name="_Toc77844261"/>
      <w:bookmarkStart w:id="628" w:name="_Toc86391764"/>
      <w:bookmarkEnd w:id="623"/>
      <w:r w:rsidRPr="009B5734">
        <w:rPr>
          <w:noProof/>
        </w:rPr>
        <w:t>Annex 5: Additional data and explanation of estimates of consumers and environmental impacts</w:t>
      </w:r>
      <w:bookmarkEnd w:id="624"/>
      <w:bookmarkEnd w:id="625"/>
      <w:bookmarkEnd w:id="626"/>
      <w:bookmarkEnd w:id="627"/>
      <w:bookmarkEnd w:id="628"/>
    </w:p>
    <w:p w:rsidR="00EA45F9" w:rsidRPr="009B5734" w:rsidRDefault="00EA45F9" w:rsidP="00EA45F9">
      <w:pPr>
        <w:spacing w:after="160" w:line="259" w:lineRule="auto"/>
        <w:ind w:left="0" w:firstLine="0"/>
        <w:jc w:val="left"/>
        <w:rPr>
          <w:rFonts w:ascii="Times New Roman" w:eastAsia="Calibri" w:hAnsi="Times New Roman" w:cs="Times New Roman"/>
          <w:noProof/>
          <w:sz w:val="24"/>
          <w:szCs w:val="24"/>
        </w:rPr>
      </w:pPr>
      <w:bookmarkStart w:id="629" w:name="_Toc58149113"/>
      <w:bookmarkStart w:id="630" w:name="_Toc58604148"/>
      <w:bookmarkStart w:id="631" w:name="_Ref59610551"/>
      <w:bookmarkStart w:id="632" w:name="_Ref59610558"/>
      <w:bookmarkStart w:id="633" w:name="_Ref59610560"/>
      <w:r w:rsidRPr="009B5734">
        <w:rPr>
          <w:rFonts w:ascii="Times New Roman" w:eastAsia="Calibri" w:hAnsi="Times New Roman" w:cs="Times New Roman"/>
          <w:noProof/>
          <w:sz w:val="24"/>
          <w:szCs w:val="24"/>
        </w:rPr>
        <w:t xml:space="preserve">This annex presents in more details data and estimates of the impacts of the problems identified in </w:t>
      </w:r>
      <w:hyperlink w:anchor="_Problem_definition" w:history="1">
        <w:r w:rsidRPr="009B5734">
          <w:rPr>
            <w:rStyle w:val="Hyperlink"/>
            <w:rFonts w:ascii="Times New Roman" w:eastAsia="Calibri" w:hAnsi="Times New Roman" w:cs="Times New Roman"/>
            <w:noProof/>
            <w:sz w:val="24"/>
            <w:szCs w:val="24"/>
          </w:rPr>
          <w:t>Section 2</w:t>
        </w:r>
      </w:hyperlink>
      <w:r w:rsidRPr="009B5734">
        <w:rPr>
          <w:rFonts w:ascii="Times New Roman" w:eastAsia="Calibri" w:hAnsi="Times New Roman" w:cs="Times New Roman"/>
          <w:noProof/>
          <w:sz w:val="24"/>
          <w:szCs w:val="24"/>
        </w:rPr>
        <w:t xml:space="preserve"> above on consumers and the environment. </w:t>
      </w:r>
    </w:p>
    <w:p w:rsidR="00EA45F9" w:rsidRPr="009B5734" w:rsidRDefault="00EA45F9" w:rsidP="00EA45F9">
      <w:pPr>
        <w:spacing w:after="160" w:line="259" w:lineRule="auto"/>
        <w:ind w:left="0" w:firstLine="0"/>
        <w:jc w:val="left"/>
        <w:rPr>
          <w:rFonts w:ascii="Times New Roman" w:eastAsia="Calibri" w:hAnsi="Times New Roman" w:cs="Times New Roman"/>
          <w:noProof/>
          <w:sz w:val="24"/>
          <w:szCs w:val="24"/>
        </w:rPr>
      </w:pPr>
    </w:p>
    <w:p w:rsidR="00EA45F9" w:rsidRPr="009B5734" w:rsidRDefault="00A00208" w:rsidP="00A00208">
      <w:pPr>
        <w:pStyle w:val="Heading2"/>
        <w:rPr>
          <w:noProof/>
        </w:rPr>
      </w:pPr>
      <w:bookmarkStart w:id="634" w:name="_Toc77844262"/>
      <w:bookmarkStart w:id="635" w:name="_Toc86391765"/>
      <w:r w:rsidRPr="00A00208">
        <w:t>1.</w:t>
      </w:r>
      <w:r w:rsidRPr="00A00208">
        <w:tab/>
      </w:r>
      <w:r w:rsidR="00EA45F9" w:rsidRPr="009B5734">
        <w:rPr>
          <w:noProof/>
        </w:rPr>
        <w:t xml:space="preserve">Problem 1: </w:t>
      </w:r>
      <w:r w:rsidR="00B73C39" w:rsidRPr="00B73C39">
        <w:rPr>
          <w:noProof/>
        </w:rPr>
        <w:t>Consumer</w:t>
      </w:r>
      <w:r w:rsidR="00B73C39">
        <w:rPr>
          <w:noProof/>
        </w:rPr>
        <w:t>s</w:t>
      </w:r>
      <w:r w:rsidR="00EA45F9" w:rsidRPr="009B5734">
        <w:rPr>
          <w:noProof/>
        </w:rPr>
        <w:t xml:space="preserve"> lack </w:t>
      </w:r>
      <w:r w:rsidR="00D60C0B" w:rsidRPr="009B5734">
        <w:rPr>
          <w:noProof/>
        </w:rPr>
        <w:t xml:space="preserve">reliable </w:t>
      </w:r>
      <w:r w:rsidR="00EA45F9" w:rsidRPr="009B5734">
        <w:rPr>
          <w:noProof/>
        </w:rPr>
        <w:t xml:space="preserve">information </w:t>
      </w:r>
      <w:r w:rsidR="00B73C39" w:rsidRPr="00B73C39">
        <w:rPr>
          <w:noProof/>
        </w:rPr>
        <w:t>at the point of sale to make environmentally</w:t>
      </w:r>
      <w:r w:rsidR="00EA45F9" w:rsidRPr="009B5734">
        <w:rPr>
          <w:noProof/>
        </w:rPr>
        <w:t xml:space="preserve"> sustainable </w:t>
      </w:r>
      <w:r w:rsidR="0080633B">
        <w:rPr>
          <w:noProof/>
        </w:rPr>
        <w:t>consumption choices</w:t>
      </w:r>
      <w:bookmarkEnd w:id="634"/>
      <w:bookmarkEnd w:id="635"/>
    </w:p>
    <w:p w:rsidR="00EA45F9" w:rsidRPr="004931D3" w:rsidRDefault="00EA45F9">
      <w:pPr>
        <w:pStyle w:val="Heading5"/>
        <w:rPr>
          <w:rFonts w:ascii="Times New Roman" w:hAnsi="Times New Roman" w:cs="Times New Roman"/>
          <w:b w:val="0"/>
          <w:i w:val="0"/>
          <w:noProof/>
          <w:sz w:val="24"/>
        </w:rPr>
      </w:pPr>
      <w:r w:rsidRPr="6B053803">
        <w:rPr>
          <w:rFonts w:ascii="Times New Roman" w:hAnsi="Times New Roman" w:cs="Times New Roman"/>
          <w:b w:val="0"/>
          <w:i w:val="0"/>
          <w:noProof/>
          <w:sz w:val="24"/>
        </w:rPr>
        <w:t>Table 1: Estimated loss of consumer welfare</w:t>
      </w:r>
      <w:r w:rsidRPr="6B053803">
        <w:rPr>
          <w:rStyle w:val="FootnoteReference"/>
          <w:rFonts w:ascii="Times New Roman" w:hAnsi="Times New Roman" w:cs="Times New Roman"/>
          <w:b w:val="0"/>
          <w:i w:val="0"/>
          <w:noProof/>
          <w:sz w:val="24"/>
        </w:rPr>
        <w:footnoteReference w:id="181"/>
      </w:r>
      <w:r w:rsidRPr="6B053803">
        <w:rPr>
          <w:rFonts w:ascii="Times New Roman" w:hAnsi="Times New Roman" w:cs="Times New Roman"/>
          <w:b w:val="0"/>
          <w:i w:val="0"/>
          <w:noProof/>
          <w:sz w:val="24"/>
        </w:rPr>
        <w:t xml:space="preserve"> due to suboptimal choices for </w:t>
      </w:r>
      <w:r w:rsidR="00D60C0B" w:rsidRPr="6B053803">
        <w:rPr>
          <w:rFonts w:ascii="Times New Roman" w:hAnsi="Times New Roman" w:cs="Times New Roman"/>
          <w:b w:val="0"/>
          <w:i w:val="0"/>
          <w:noProof/>
          <w:sz w:val="24"/>
        </w:rPr>
        <w:t>lack of reliable information</w:t>
      </w:r>
      <w:r w:rsidRPr="6B053803">
        <w:rPr>
          <w:rFonts w:ascii="Times New Roman" w:hAnsi="Times New Roman" w:cs="Times New Roman"/>
          <w:b w:val="0"/>
          <w:i w:val="0"/>
          <w:noProof/>
          <w:sz w:val="24"/>
        </w:rPr>
        <w:t xml:space="preserve"> on the environmental sustainability of products</w:t>
      </w:r>
    </w:p>
    <w:tbl>
      <w:tblPr>
        <w:tblStyle w:val="GridTable4-Accent1"/>
        <w:tblW w:w="0" w:type="auto"/>
        <w:tblLook w:val="04A0" w:firstRow="1" w:lastRow="0" w:firstColumn="1" w:lastColumn="0" w:noHBand="0" w:noVBand="1"/>
      </w:tblPr>
      <w:tblGrid>
        <w:gridCol w:w="4252"/>
        <w:gridCol w:w="4252"/>
      </w:tblGrid>
      <w:tr w:rsidR="00EA45F9" w:rsidRPr="009B5734" w:rsidTr="00C84A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2" w:type="dxa"/>
          </w:tcPr>
          <w:p w:rsidR="00EA45F9" w:rsidRPr="009B5734" w:rsidRDefault="00EA45F9" w:rsidP="00981615">
            <w:pPr>
              <w:pStyle w:val="Default"/>
              <w:spacing w:before="120" w:after="120"/>
              <w:ind w:left="0" w:firstLine="0"/>
              <w:rPr>
                <w:noProof/>
                <w:lang w:val="en-GB"/>
              </w:rPr>
            </w:pPr>
            <w:r w:rsidRPr="009B5734">
              <w:rPr>
                <w:noProof/>
                <w:lang w:val="en-GB"/>
              </w:rPr>
              <w:t>Sub-problems</w:t>
            </w:r>
          </w:p>
        </w:tc>
        <w:tc>
          <w:tcPr>
            <w:tcW w:w="4252" w:type="dxa"/>
          </w:tcPr>
          <w:p w:rsidR="00EA45F9" w:rsidRPr="009B5734" w:rsidRDefault="00EA45F9" w:rsidP="00981615">
            <w:pPr>
              <w:pStyle w:val="Default"/>
              <w:spacing w:before="120" w:after="120"/>
              <w:ind w:left="0" w:firstLine="0"/>
              <w:cnfStyle w:val="100000000000" w:firstRow="1" w:lastRow="0" w:firstColumn="0" w:lastColumn="0" w:oddVBand="0" w:evenVBand="0" w:oddHBand="0" w:evenHBand="0" w:firstRowFirstColumn="0" w:firstRowLastColumn="0" w:lastRowFirstColumn="0" w:lastRowLastColumn="0"/>
              <w:rPr>
                <w:noProof/>
                <w:lang w:val="en-GB"/>
              </w:rPr>
            </w:pPr>
            <w:r w:rsidRPr="009B5734">
              <w:rPr>
                <w:noProof/>
                <w:lang w:val="en-GB"/>
              </w:rPr>
              <w:t>Loss of consumer welfare</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4252" w:type="dxa"/>
          </w:tcPr>
          <w:p w:rsidR="00EA45F9" w:rsidRPr="009B5734" w:rsidRDefault="00EA45F9" w:rsidP="00981615">
            <w:pPr>
              <w:pStyle w:val="Default"/>
              <w:spacing w:before="120" w:after="120"/>
              <w:ind w:left="0" w:firstLine="0"/>
              <w:jc w:val="left"/>
              <w:rPr>
                <w:b w:val="0"/>
                <w:noProof/>
                <w:lang w:val="en-GB"/>
              </w:rPr>
            </w:pPr>
            <w:r w:rsidRPr="009B5734">
              <w:rPr>
                <w:noProof/>
                <w:lang w:val="en-GB"/>
              </w:rPr>
              <w:t xml:space="preserve">S-P 1: Lack of </w:t>
            </w:r>
            <w:r w:rsidR="00D60C0B" w:rsidRPr="009B5734">
              <w:rPr>
                <w:noProof/>
                <w:lang w:val="en-GB"/>
              </w:rPr>
              <w:t xml:space="preserve">reliable </w:t>
            </w:r>
            <w:r w:rsidRPr="009B5734">
              <w:rPr>
                <w:noProof/>
                <w:lang w:val="en-GB"/>
              </w:rPr>
              <w:t>environmental information</w:t>
            </w:r>
          </w:p>
        </w:tc>
        <w:tc>
          <w:tcPr>
            <w:tcW w:w="4252" w:type="dxa"/>
          </w:tcPr>
          <w:p w:rsidR="00EA45F9" w:rsidRPr="009B5734" w:rsidRDefault="00EA45F9" w:rsidP="00981615">
            <w:pPr>
              <w:pStyle w:val="Default"/>
              <w:spacing w:before="120" w:after="120"/>
              <w:ind w:left="0" w:firstLine="0"/>
              <w:cnfStyle w:val="000000100000" w:firstRow="0" w:lastRow="0" w:firstColumn="0" w:lastColumn="0" w:oddVBand="0" w:evenVBand="0" w:oddHBand="1" w:evenHBand="0" w:firstRowFirstColumn="0" w:firstRowLastColumn="0" w:lastRowFirstColumn="0" w:lastRowLastColumn="0"/>
              <w:rPr>
                <w:noProof/>
                <w:lang w:val="en-GB"/>
              </w:rPr>
            </w:pPr>
            <w:r w:rsidRPr="009B5734">
              <w:rPr>
                <w:noProof/>
                <w:lang w:val="en-GB"/>
              </w:rPr>
              <w:t>Between EUR 900 million</w:t>
            </w:r>
            <w:r w:rsidRPr="009B5734">
              <w:rPr>
                <w:rStyle w:val="FootnoteReference"/>
                <w:noProof/>
                <w:lang w:val="en-GB"/>
              </w:rPr>
              <w:footnoteReference w:id="182"/>
            </w:r>
            <w:r w:rsidRPr="009B5734">
              <w:rPr>
                <w:noProof/>
                <w:lang w:val="en-GB"/>
              </w:rPr>
              <w:t xml:space="preserve"> and 2 100  million per year</w:t>
            </w:r>
            <w:r w:rsidRPr="009B5734">
              <w:rPr>
                <w:rStyle w:val="FootnoteReference"/>
                <w:noProof/>
                <w:lang w:val="en-GB"/>
              </w:rPr>
              <w:footnoteReference w:id="183"/>
            </w:r>
          </w:p>
        </w:tc>
      </w:tr>
      <w:tr w:rsidR="00EA45F9" w:rsidRPr="009B5734" w:rsidTr="00C84A99">
        <w:trPr>
          <w:trHeight w:val="202"/>
        </w:trPr>
        <w:tc>
          <w:tcPr>
            <w:cnfStyle w:val="001000000000" w:firstRow="0" w:lastRow="0" w:firstColumn="1" w:lastColumn="0" w:oddVBand="0" w:evenVBand="0" w:oddHBand="0" w:evenHBand="0" w:firstRowFirstColumn="0" w:firstRowLastColumn="0" w:lastRowFirstColumn="0" w:lastRowLastColumn="0"/>
            <w:tcW w:w="4252" w:type="dxa"/>
          </w:tcPr>
          <w:p w:rsidR="00EA45F9" w:rsidRPr="009B5734" w:rsidRDefault="00EA45F9" w:rsidP="00981615">
            <w:pPr>
              <w:pStyle w:val="Default"/>
              <w:spacing w:before="120" w:after="120"/>
              <w:ind w:left="0" w:firstLine="0"/>
              <w:jc w:val="left"/>
              <w:rPr>
                <w:b w:val="0"/>
                <w:noProof/>
                <w:lang w:val="en-GB"/>
              </w:rPr>
            </w:pPr>
            <w:r w:rsidRPr="009B5734">
              <w:rPr>
                <w:noProof/>
                <w:lang w:val="en-GB"/>
              </w:rPr>
              <w:t xml:space="preserve">S-P 2: </w:t>
            </w:r>
            <w:r w:rsidR="00D60C0B" w:rsidRPr="009B5734">
              <w:rPr>
                <w:noProof/>
                <w:lang w:val="en-GB"/>
              </w:rPr>
              <w:t>Lack of reliable information</w:t>
            </w:r>
            <w:r w:rsidRPr="009B5734">
              <w:rPr>
                <w:noProof/>
                <w:lang w:val="en-GB"/>
              </w:rPr>
              <w:t xml:space="preserve"> on lifespan</w:t>
            </w:r>
          </w:p>
        </w:tc>
        <w:tc>
          <w:tcPr>
            <w:tcW w:w="4252" w:type="dxa"/>
          </w:tcPr>
          <w:p w:rsidR="00EA45F9" w:rsidRPr="009B5734" w:rsidRDefault="00EA45F9" w:rsidP="00981615">
            <w:pPr>
              <w:pStyle w:val="Default"/>
              <w:spacing w:before="120" w:after="120"/>
              <w:ind w:left="0" w:firstLine="0"/>
              <w:cnfStyle w:val="000000000000" w:firstRow="0" w:lastRow="0" w:firstColumn="0" w:lastColumn="0" w:oddVBand="0" w:evenVBand="0" w:oddHBand="0" w:evenHBand="0" w:firstRowFirstColumn="0" w:firstRowLastColumn="0" w:lastRowFirstColumn="0" w:lastRowLastColumn="0"/>
              <w:rPr>
                <w:noProof/>
                <w:lang w:val="en-GB"/>
              </w:rPr>
            </w:pPr>
            <w:r w:rsidRPr="009B5734">
              <w:rPr>
                <w:noProof/>
                <w:lang w:val="en-GB"/>
              </w:rPr>
              <w:t>Between EUR 966 million</w:t>
            </w:r>
            <w:r w:rsidRPr="009B5734">
              <w:rPr>
                <w:rStyle w:val="FootnoteReference"/>
                <w:noProof/>
                <w:lang w:val="en-GB"/>
              </w:rPr>
              <w:footnoteReference w:id="184"/>
            </w:r>
            <w:r w:rsidRPr="009B5734">
              <w:rPr>
                <w:noProof/>
                <w:lang w:val="en-GB"/>
              </w:rPr>
              <w:t xml:space="preserve"> and 1 119 million per year</w:t>
            </w:r>
            <w:r w:rsidRPr="009B5734">
              <w:rPr>
                <w:rStyle w:val="FootnoteReference"/>
                <w:noProof/>
                <w:lang w:val="en-GB"/>
              </w:rPr>
              <w:footnoteReference w:id="185"/>
            </w:r>
            <w:r w:rsidRPr="009B5734">
              <w:rPr>
                <w:noProof/>
                <w:lang w:val="en-GB"/>
              </w:rPr>
              <w:t xml:space="preserve"> </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4252" w:type="dxa"/>
          </w:tcPr>
          <w:p w:rsidR="00EA45F9" w:rsidRPr="009B5734" w:rsidRDefault="00EA45F9" w:rsidP="00981615">
            <w:pPr>
              <w:pStyle w:val="Default"/>
              <w:spacing w:before="120" w:after="120"/>
              <w:ind w:left="0" w:firstLine="0"/>
              <w:jc w:val="left"/>
              <w:rPr>
                <w:b w:val="0"/>
                <w:noProof/>
                <w:lang w:val="en-GB"/>
              </w:rPr>
            </w:pPr>
            <w:r w:rsidRPr="009B5734">
              <w:rPr>
                <w:noProof/>
                <w:lang w:val="en-GB"/>
              </w:rPr>
              <w:t xml:space="preserve">S-P 3: </w:t>
            </w:r>
            <w:r w:rsidR="00D60C0B" w:rsidRPr="009B5734">
              <w:rPr>
                <w:noProof/>
                <w:lang w:val="en-GB"/>
              </w:rPr>
              <w:t>Lack of reliable information</w:t>
            </w:r>
            <w:r w:rsidRPr="009B5734">
              <w:rPr>
                <w:noProof/>
                <w:lang w:val="en-GB"/>
              </w:rPr>
              <w:t xml:space="preserve"> on reparability</w:t>
            </w:r>
          </w:p>
        </w:tc>
        <w:tc>
          <w:tcPr>
            <w:tcW w:w="4252" w:type="dxa"/>
          </w:tcPr>
          <w:p w:rsidR="00EA45F9" w:rsidRPr="009B5734" w:rsidRDefault="00EA45F9" w:rsidP="00981615">
            <w:pPr>
              <w:pStyle w:val="Default"/>
              <w:spacing w:before="120" w:after="120"/>
              <w:ind w:left="0" w:firstLine="0"/>
              <w:cnfStyle w:val="000000100000" w:firstRow="0" w:lastRow="0" w:firstColumn="0" w:lastColumn="0" w:oddVBand="0" w:evenVBand="0" w:oddHBand="1" w:evenHBand="0" w:firstRowFirstColumn="0" w:firstRowLastColumn="0" w:lastRowFirstColumn="0" w:lastRowLastColumn="0"/>
              <w:rPr>
                <w:noProof/>
                <w:lang w:val="en-GB"/>
              </w:rPr>
            </w:pPr>
            <w:r w:rsidRPr="009B5734">
              <w:rPr>
                <w:noProof/>
                <w:lang w:val="en-GB"/>
              </w:rPr>
              <w:t>Between EUR 900 million</w:t>
            </w:r>
            <w:r w:rsidRPr="009B5734">
              <w:rPr>
                <w:rStyle w:val="FootnoteReference"/>
                <w:noProof/>
                <w:lang w:val="en-GB"/>
              </w:rPr>
              <w:footnoteReference w:id="186"/>
            </w:r>
            <w:r w:rsidRPr="009B5734">
              <w:rPr>
                <w:noProof/>
                <w:lang w:val="en-GB"/>
              </w:rPr>
              <w:t xml:space="preserve"> per year and 1 300 million per year</w:t>
            </w:r>
            <w:r w:rsidRPr="009B5734">
              <w:rPr>
                <w:rStyle w:val="FootnoteReference"/>
                <w:noProof/>
                <w:lang w:val="en-GB"/>
              </w:rPr>
              <w:footnoteReference w:id="187"/>
            </w:r>
          </w:p>
        </w:tc>
      </w:tr>
    </w:tbl>
    <w:p w:rsidR="00EA45F9" w:rsidRPr="009B5734" w:rsidRDefault="00EA45F9" w:rsidP="00EA45F9">
      <w:pPr>
        <w:pStyle w:val="Default"/>
        <w:numPr>
          <w:ilvl w:val="0"/>
          <w:numId w:val="138"/>
        </w:numPr>
        <w:spacing w:before="120" w:after="120"/>
        <w:rPr>
          <w:i/>
          <w:noProof/>
          <w:sz w:val="20"/>
          <w:szCs w:val="20"/>
          <w:lang w:val="en-GB"/>
        </w:rPr>
      </w:pPr>
      <w:r w:rsidRPr="009B5734">
        <w:rPr>
          <w:i/>
          <w:noProof/>
          <w:sz w:val="20"/>
          <w:szCs w:val="20"/>
          <w:lang w:val="en-GB"/>
        </w:rPr>
        <w:t>ICF Estimates</w:t>
      </w:r>
    </w:p>
    <w:p w:rsidR="00EA45F9" w:rsidRPr="009B5734" w:rsidRDefault="00EA45F9" w:rsidP="00EA45F9">
      <w:pPr>
        <w:pStyle w:val="BodyTextEC"/>
        <w:rPr>
          <w:noProof/>
        </w:rPr>
      </w:pPr>
    </w:p>
    <w:p w:rsidR="00EA45F9" w:rsidRPr="009B5734" w:rsidRDefault="00A00208" w:rsidP="00A00208">
      <w:pPr>
        <w:pStyle w:val="Heading4"/>
        <w:rPr>
          <w:noProof/>
        </w:rPr>
      </w:pPr>
      <w:r w:rsidRPr="00A00208">
        <w:t>1.1.</w:t>
      </w:r>
      <w:r w:rsidRPr="00A00208">
        <w:tab/>
      </w:r>
      <w:r w:rsidR="00EA45F9" w:rsidRPr="009B5734">
        <w:rPr>
          <w:noProof/>
        </w:rPr>
        <w:t xml:space="preserve">Sub-Problem 1.1: </w:t>
      </w:r>
      <w:r w:rsidR="00D60C0B" w:rsidRPr="009B5734">
        <w:rPr>
          <w:noProof/>
        </w:rPr>
        <w:t>Lack of reliable information</w:t>
      </w:r>
      <w:r w:rsidR="00EA45F9" w:rsidRPr="009B5734">
        <w:rPr>
          <w:noProof/>
        </w:rPr>
        <w:t xml:space="preserve"> about products’ environmental characteristics </w:t>
      </w:r>
    </w:p>
    <w:p w:rsidR="00EA45F9" w:rsidRPr="009B5734" w:rsidRDefault="00EA45F9" w:rsidP="00EA45F9">
      <w:pPr>
        <w:spacing w:before="120" w:after="120"/>
        <w:ind w:left="0" w:firstLine="0"/>
        <w:jc w:val="left"/>
        <w:rPr>
          <w:rFonts w:ascii="Times New Roman" w:eastAsia="Calibri" w:hAnsi="Times New Roman" w:cs="Times New Roman"/>
          <w:i/>
          <w:iCs/>
          <w:noProof/>
          <w:sz w:val="24"/>
          <w:szCs w:val="24"/>
        </w:rPr>
      </w:pPr>
      <w:r w:rsidRPr="009B5734">
        <w:rPr>
          <w:rFonts w:ascii="Times New Roman" w:eastAsia="Calibri" w:hAnsi="Times New Roman" w:cs="Times New Roman"/>
          <w:i/>
          <w:iCs/>
          <w:noProof/>
          <w:sz w:val="24"/>
          <w:szCs w:val="24"/>
        </w:rPr>
        <w:t>Consequences on Consumers</w:t>
      </w:r>
    </w:p>
    <w:p w:rsidR="00EA45F9" w:rsidRPr="009B5734" w:rsidRDefault="00EA45F9" w:rsidP="00EA45F9">
      <w:pPr>
        <w:spacing w:before="120" w:after="120"/>
        <w:ind w:left="0" w:firstLine="0"/>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 xml:space="preserve">The main consequence of the </w:t>
      </w:r>
      <w:r w:rsidR="00D60C0B" w:rsidRPr="009B5734">
        <w:rPr>
          <w:rFonts w:ascii="Times New Roman" w:eastAsia="Calibri" w:hAnsi="Times New Roman" w:cs="Times New Roman"/>
          <w:noProof/>
          <w:color w:val="000000"/>
          <w:sz w:val="24"/>
          <w:szCs w:val="24"/>
        </w:rPr>
        <w:t>lack of reliable information</w:t>
      </w:r>
      <w:r w:rsidRPr="009B5734">
        <w:rPr>
          <w:rFonts w:ascii="Times New Roman" w:eastAsia="Calibri" w:hAnsi="Times New Roman" w:cs="Times New Roman"/>
          <w:noProof/>
          <w:color w:val="000000"/>
          <w:sz w:val="24"/>
          <w:szCs w:val="24"/>
        </w:rPr>
        <w:t xml:space="preserve"> for consumers is consumer detriment as a result of sub-optimal choices. This consumer detriment can be roughly estimated either by using the consumers’ willingness to pay for reliable information on the environmental impacts/characteristics for all products; or by estimating the nonrealised</w:t>
      </w:r>
      <w:r w:rsidRPr="009B5734">
        <w:rPr>
          <w:rFonts w:ascii="Times New Roman" w:eastAsia="Calibri" w:hAnsi="Times New Roman" w:cs="Times New Roman"/>
          <w:noProof/>
          <w:color w:val="000000"/>
          <w:sz w:val="24"/>
          <w:szCs w:val="24"/>
        </w:rPr>
        <w:noBreakHyphen/>
        <w:t xml:space="preserve"> consumer surplus because consumers are not able to select more environmentally friendly products</w:t>
      </w:r>
      <w:r w:rsidRPr="009B5734">
        <w:rPr>
          <w:rFonts w:ascii="Times New Roman" w:eastAsia="Calibri" w:hAnsi="Times New Roman" w:cs="Times New Roman"/>
          <w:noProof/>
          <w:color w:val="000000"/>
          <w:sz w:val="24"/>
          <w:szCs w:val="24"/>
          <w:vertAlign w:val="superscript"/>
        </w:rPr>
        <w:footnoteReference w:id="188"/>
      </w:r>
      <w:r w:rsidRPr="009B5734">
        <w:rPr>
          <w:rFonts w:ascii="Times New Roman" w:eastAsia="Calibri" w:hAnsi="Times New Roman" w:cs="Times New Roman"/>
          <w:noProof/>
          <w:color w:val="000000"/>
          <w:sz w:val="24"/>
          <w:szCs w:val="24"/>
        </w:rPr>
        <w:t>. Consequently, the opportunity cost of this sub-problem to consumers is roughly estimated to be between EUR 0.9</w:t>
      </w:r>
      <w:r w:rsidRPr="009B5734">
        <w:rPr>
          <w:rFonts w:ascii="Times New Roman" w:eastAsia="Calibri" w:hAnsi="Times New Roman" w:cs="Times New Roman"/>
          <w:noProof/>
          <w:color w:val="000000"/>
          <w:sz w:val="24"/>
          <w:szCs w:val="24"/>
          <w:vertAlign w:val="superscript"/>
        </w:rPr>
        <w:footnoteReference w:id="189"/>
      </w:r>
      <w:r w:rsidRPr="009B5734">
        <w:rPr>
          <w:rFonts w:ascii="Times New Roman" w:eastAsia="Calibri" w:hAnsi="Times New Roman" w:cs="Times New Roman"/>
          <w:noProof/>
          <w:color w:val="000000"/>
          <w:sz w:val="24"/>
          <w:szCs w:val="24"/>
        </w:rPr>
        <w:t xml:space="preserve"> and 2.</w:t>
      </w:r>
      <w:r w:rsidRPr="009B5734" w:rsidDel="00F351EA">
        <w:rPr>
          <w:rFonts w:ascii="Times New Roman" w:eastAsia="Calibri" w:hAnsi="Times New Roman" w:cs="Times New Roman"/>
          <w:noProof/>
          <w:color w:val="000000"/>
          <w:sz w:val="24"/>
          <w:szCs w:val="24"/>
        </w:rPr>
        <w:t>1</w:t>
      </w:r>
      <w:r w:rsidRPr="009B5734">
        <w:rPr>
          <w:rFonts w:ascii="Times New Roman" w:eastAsia="Calibri" w:hAnsi="Times New Roman" w:cs="Times New Roman"/>
          <w:noProof/>
          <w:color w:val="000000"/>
          <w:sz w:val="24"/>
          <w:szCs w:val="24"/>
        </w:rPr>
        <w:t xml:space="preserve"> billion</w:t>
      </w:r>
      <w:r w:rsidRPr="009B5734">
        <w:rPr>
          <w:rFonts w:ascii="Times New Roman" w:eastAsia="Calibri" w:hAnsi="Times New Roman" w:cs="Times New Roman"/>
          <w:noProof/>
          <w:color w:val="000000"/>
          <w:sz w:val="24"/>
          <w:szCs w:val="24"/>
          <w:vertAlign w:val="superscript"/>
        </w:rPr>
        <w:footnoteReference w:id="190"/>
      </w:r>
      <w:r w:rsidRPr="009B5734">
        <w:rPr>
          <w:rFonts w:ascii="Times New Roman" w:eastAsia="Calibri" w:hAnsi="Times New Roman" w:cs="Times New Roman"/>
          <w:noProof/>
          <w:color w:val="000000"/>
          <w:sz w:val="24"/>
          <w:szCs w:val="24"/>
        </w:rPr>
        <w:t xml:space="preserve"> per year (depending on the adopted approach).</w:t>
      </w:r>
      <w:r w:rsidRPr="009B5734">
        <w:rPr>
          <w:rFonts w:ascii="Times New Roman" w:eastAsia="Calibri" w:hAnsi="Times New Roman" w:cs="Times New Roman"/>
          <w:noProof/>
          <w:color w:val="000000"/>
          <w:sz w:val="24"/>
          <w:szCs w:val="24"/>
          <w:vertAlign w:val="superscript"/>
        </w:rPr>
        <w:footnoteReference w:id="191"/>
      </w:r>
      <w:r w:rsidRPr="009B5734">
        <w:rPr>
          <w:rFonts w:ascii="Times New Roman" w:eastAsia="Calibri" w:hAnsi="Times New Roman" w:cs="Times New Roman"/>
          <w:noProof/>
          <w:color w:val="000000"/>
          <w:sz w:val="24"/>
          <w:szCs w:val="24"/>
        </w:rPr>
        <w:t xml:space="preserve"> </w:t>
      </w:r>
    </w:p>
    <w:p w:rsidR="00EA45F9" w:rsidRPr="004931D3" w:rsidRDefault="00EA45F9">
      <w:pPr>
        <w:pStyle w:val="Heading5"/>
        <w:rPr>
          <w:rFonts w:ascii="Times New Roman" w:eastAsia="Times New Roman" w:hAnsi="Times New Roman" w:cs="Times New Roman"/>
          <w:b w:val="0"/>
          <w:i w:val="0"/>
          <w:noProof/>
          <w:sz w:val="24"/>
        </w:rPr>
      </w:pPr>
      <w:r w:rsidRPr="6B053803">
        <w:rPr>
          <w:rFonts w:ascii="Times New Roman" w:hAnsi="Times New Roman" w:cs="Times New Roman"/>
          <w:b w:val="0"/>
          <w:i w:val="0"/>
          <w:noProof/>
          <w:sz w:val="24"/>
        </w:rPr>
        <w:t xml:space="preserve">Table 2: </w:t>
      </w:r>
      <w:r w:rsidRPr="6B053803">
        <w:rPr>
          <w:rFonts w:ascii="Times New Roman" w:eastAsia="Times New Roman" w:hAnsi="Times New Roman" w:cs="Times New Roman"/>
          <w:b w:val="0"/>
          <w:i w:val="0"/>
          <w:noProof/>
          <w:sz w:val="24"/>
        </w:rPr>
        <w:t xml:space="preserve">Estimated loss of consumer monetisable welfare due to sub-optimal choices for </w:t>
      </w:r>
      <w:r w:rsidR="00D60C0B" w:rsidRPr="6B053803">
        <w:rPr>
          <w:rFonts w:ascii="Times New Roman" w:eastAsia="Times New Roman" w:hAnsi="Times New Roman" w:cs="Times New Roman"/>
          <w:b w:val="0"/>
          <w:i w:val="0"/>
          <w:noProof/>
          <w:sz w:val="24"/>
        </w:rPr>
        <w:t>lack of reliable information</w:t>
      </w:r>
      <w:r w:rsidRPr="6B053803">
        <w:rPr>
          <w:rFonts w:ascii="Times New Roman" w:eastAsia="Times New Roman" w:hAnsi="Times New Roman" w:cs="Times New Roman"/>
          <w:b w:val="0"/>
          <w:i w:val="0"/>
          <w:noProof/>
          <w:sz w:val="24"/>
        </w:rPr>
        <w:t xml:space="preserve"> on environmental characteristics of products (per year)</w:t>
      </w:r>
    </w:p>
    <w:tbl>
      <w:tblPr>
        <w:tblW w:w="0" w:type="dxa"/>
        <w:jc w:val="center"/>
        <w:tblBorders>
          <w:top w:val="single" w:sz="4" w:space="0" w:color="auto"/>
          <w:bottom w:val="single" w:sz="4" w:space="0" w:color="auto"/>
          <w:insideH w:val="single" w:sz="4" w:space="0" w:color="auto"/>
        </w:tblBorders>
        <w:shd w:val="solid" w:color="F2F2F2" w:fill="F2F2F2"/>
        <w:tblLayout w:type="fixed"/>
        <w:tblCellMar>
          <w:left w:w="0" w:type="dxa"/>
          <w:right w:w="0" w:type="dxa"/>
        </w:tblCellMar>
        <w:tblLook w:val="04A0" w:firstRow="1" w:lastRow="0" w:firstColumn="1" w:lastColumn="0" w:noHBand="0" w:noVBand="1"/>
      </w:tblPr>
      <w:tblGrid>
        <w:gridCol w:w="3559"/>
        <w:gridCol w:w="3641"/>
      </w:tblGrid>
      <w:tr w:rsidR="00EA45F9" w:rsidRPr="009B5734" w:rsidTr="00C84A99">
        <w:trPr>
          <w:trHeight w:val="870"/>
          <w:jc w:val="center"/>
        </w:trPr>
        <w:tc>
          <w:tcPr>
            <w:tcW w:w="3559" w:type="dxa"/>
            <w:tcBorders>
              <w:top w:val="single" w:sz="4" w:space="0" w:color="auto"/>
              <w:left w:val="nil"/>
              <w:bottom w:val="single" w:sz="4" w:space="0" w:color="auto"/>
              <w:right w:val="nil"/>
            </w:tcBorders>
            <w:shd w:val="clear" w:color="auto" w:fill="002395"/>
            <w:noWrap/>
            <w:tcMar>
              <w:top w:w="15" w:type="dxa"/>
              <w:left w:w="15" w:type="dxa"/>
              <w:bottom w:w="0" w:type="dxa"/>
              <w:right w:w="15" w:type="dxa"/>
            </w:tcMar>
            <w:vAlign w:val="bottom"/>
            <w:hideMark/>
          </w:tcPr>
          <w:p w:rsidR="00EA45F9" w:rsidRPr="009B5734" w:rsidRDefault="00EA45F9" w:rsidP="00981615">
            <w:pPr>
              <w:spacing w:before="120" w:after="120"/>
              <w:ind w:left="0" w:firstLine="0"/>
              <w:jc w:val="left"/>
              <w:rPr>
                <w:rFonts w:ascii="Times New Roman" w:eastAsia="Calibri" w:hAnsi="Times New Roman" w:cs="Times New Roman"/>
                <w:noProof/>
                <w:color w:val="000000"/>
                <w:sz w:val="24"/>
                <w:szCs w:val="24"/>
              </w:rPr>
            </w:pPr>
          </w:p>
        </w:tc>
        <w:tc>
          <w:tcPr>
            <w:tcW w:w="3641" w:type="dxa"/>
            <w:tcBorders>
              <w:top w:val="single" w:sz="4" w:space="0" w:color="auto"/>
              <w:left w:val="nil"/>
              <w:bottom w:val="single" w:sz="4" w:space="0" w:color="auto"/>
              <w:right w:val="nil"/>
            </w:tcBorders>
            <w:shd w:val="clear" w:color="auto" w:fill="002395"/>
            <w:tcMar>
              <w:top w:w="15" w:type="dxa"/>
              <w:left w:w="15" w:type="dxa"/>
              <w:bottom w:w="0" w:type="dxa"/>
              <w:right w:w="15" w:type="dxa"/>
            </w:tcMar>
            <w:vAlign w:val="center"/>
            <w:hideMark/>
          </w:tcPr>
          <w:p w:rsidR="00EA45F9" w:rsidRPr="009B5734" w:rsidRDefault="00EA45F9" w:rsidP="00981615">
            <w:pPr>
              <w:spacing w:line="276" w:lineRule="auto"/>
              <w:ind w:left="113" w:firstLine="0"/>
              <w:jc w:val="center"/>
              <w:rPr>
                <w:rFonts w:ascii="Times New Roman" w:eastAsia="Calibri" w:hAnsi="Times New Roman" w:cs="Times New Roman"/>
                <w:b/>
                <w:noProof/>
                <w:color w:val="FFFFFF"/>
                <w:sz w:val="24"/>
                <w:szCs w:val="24"/>
              </w:rPr>
            </w:pPr>
            <w:r w:rsidRPr="005D24D2">
              <w:rPr>
                <w:rFonts w:ascii="Times New Roman" w:eastAsia="Calibri" w:hAnsi="Times New Roman" w:cs="Times New Roman"/>
                <w:b/>
                <w:bCs/>
                <w:noProof/>
                <w:color w:val="FFFFFF"/>
                <w:sz w:val="24"/>
                <w:szCs w:val="24"/>
              </w:rPr>
              <w:t>Loss of consumer welfare</w:t>
            </w:r>
          </w:p>
          <w:p w:rsidR="00EA45F9" w:rsidRPr="009B5734" w:rsidRDefault="00EA45F9" w:rsidP="00981615">
            <w:pPr>
              <w:spacing w:line="276" w:lineRule="auto"/>
              <w:ind w:left="113" w:firstLine="0"/>
              <w:jc w:val="center"/>
              <w:rPr>
                <w:rFonts w:ascii="Times New Roman" w:eastAsia="Calibri" w:hAnsi="Times New Roman" w:cs="Times New Roman"/>
                <w:b/>
                <w:noProof/>
                <w:color w:val="FFFFFF"/>
                <w:sz w:val="24"/>
                <w:szCs w:val="24"/>
              </w:rPr>
            </w:pPr>
            <w:r w:rsidRPr="005D24D2">
              <w:rPr>
                <w:rFonts w:ascii="Times New Roman" w:eastAsia="Calibri" w:hAnsi="Times New Roman" w:cs="Times New Roman"/>
                <w:b/>
                <w:bCs/>
                <w:noProof/>
                <w:color w:val="FFFFFF"/>
                <w:sz w:val="24"/>
                <w:szCs w:val="24"/>
              </w:rPr>
              <w:t>(million euros, prices 2019)</w:t>
            </w:r>
          </w:p>
        </w:tc>
      </w:tr>
      <w:tr w:rsidR="00EA45F9" w:rsidRPr="009B5734" w:rsidTr="00C84A99">
        <w:trPr>
          <w:trHeight w:val="290"/>
          <w:jc w:val="center"/>
        </w:trPr>
        <w:tc>
          <w:tcPr>
            <w:tcW w:w="3559"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lef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Large Household Appliances</w:t>
            </w:r>
          </w:p>
        </w:tc>
        <w:tc>
          <w:tcPr>
            <w:tcW w:w="3641"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3</w:t>
            </w:r>
          </w:p>
        </w:tc>
      </w:tr>
      <w:tr w:rsidR="00EA45F9" w:rsidRPr="009B5734" w:rsidTr="00C84A99">
        <w:trPr>
          <w:trHeight w:val="290"/>
          <w:jc w:val="center"/>
        </w:trPr>
        <w:tc>
          <w:tcPr>
            <w:tcW w:w="3559"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lef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Small Household Appliances</w:t>
            </w:r>
          </w:p>
        </w:tc>
        <w:tc>
          <w:tcPr>
            <w:tcW w:w="3641"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4</w:t>
            </w:r>
          </w:p>
        </w:tc>
      </w:tr>
      <w:tr w:rsidR="00EA45F9" w:rsidRPr="009B5734" w:rsidTr="00C84A99">
        <w:trPr>
          <w:trHeight w:val="290"/>
          <w:jc w:val="center"/>
        </w:trPr>
        <w:tc>
          <w:tcPr>
            <w:tcW w:w="3559"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lef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Electronics and IT goods</w:t>
            </w:r>
          </w:p>
        </w:tc>
        <w:tc>
          <w:tcPr>
            <w:tcW w:w="3641"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26</w:t>
            </w:r>
          </w:p>
        </w:tc>
      </w:tr>
      <w:tr w:rsidR="00EA45F9" w:rsidRPr="009B5734" w:rsidTr="00C84A99">
        <w:trPr>
          <w:trHeight w:val="290"/>
          <w:jc w:val="center"/>
        </w:trPr>
        <w:tc>
          <w:tcPr>
            <w:tcW w:w="3559"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lef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Clothes &amp; Footwear</w:t>
            </w:r>
          </w:p>
        </w:tc>
        <w:tc>
          <w:tcPr>
            <w:tcW w:w="3641"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97</w:t>
            </w:r>
          </w:p>
        </w:tc>
      </w:tr>
      <w:tr w:rsidR="00EA45F9" w:rsidRPr="009B5734" w:rsidTr="00C84A99">
        <w:trPr>
          <w:trHeight w:val="290"/>
          <w:jc w:val="center"/>
        </w:trPr>
        <w:tc>
          <w:tcPr>
            <w:tcW w:w="3559"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lef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Furniture</w:t>
            </w:r>
          </w:p>
        </w:tc>
        <w:tc>
          <w:tcPr>
            <w:tcW w:w="3641"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38</w:t>
            </w:r>
          </w:p>
        </w:tc>
      </w:tr>
      <w:tr w:rsidR="00EA45F9" w:rsidRPr="009B5734" w:rsidTr="00C84A99">
        <w:trPr>
          <w:trHeight w:val="290"/>
          <w:jc w:val="center"/>
        </w:trPr>
        <w:tc>
          <w:tcPr>
            <w:tcW w:w="3559"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lef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Cars</w:t>
            </w:r>
          </w:p>
        </w:tc>
        <w:tc>
          <w:tcPr>
            <w:tcW w:w="3641"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1</w:t>
            </w:r>
          </w:p>
        </w:tc>
      </w:tr>
      <w:tr w:rsidR="00EA45F9" w:rsidRPr="009B5734" w:rsidTr="00C84A99">
        <w:trPr>
          <w:trHeight w:val="290"/>
          <w:jc w:val="center"/>
        </w:trPr>
        <w:tc>
          <w:tcPr>
            <w:tcW w:w="3559"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lef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Cosmetics and personal care</w:t>
            </w:r>
          </w:p>
        </w:tc>
        <w:tc>
          <w:tcPr>
            <w:tcW w:w="3641"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12</w:t>
            </w:r>
          </w:p>
        </w:tc>
      </w:tr>
      <w:tr w:rsidR="00EA45F9" w:rsidRPr="009B5734" w:rsidTr="00C84A99">
        <w:trPr>
          <w:trHeight w:val="290"/>
          <w:jc w:val="center"/>
        </w:trPr>
        <w:tc>
          <w:tcPr>
            <w:tcW w:w="3559"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lef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Cleaning products</w:t>
            </w:r>
          </w:p>
        </w:tc>
        <w:tc>
          <w:tcPr>
            <w:tcW w:w="3641"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4</w:t>
            </w:r>
          </w:p>
        </w:tc>
      </w:tr>
      <w:tr w:rsidR="00EA45F9" w:rsidRPr="009B5734" w:rsidTr="00C84A99">
        <w:trPr>
          <w:trHeight w:val="290"/>
          <w:jc w:val="center"/>
        </w:trPr>
        <w:tc>
          <w:tcPr>
            <w:tcW w:w="3559"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lef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Food &amp; Drinks</w:t>
            </w:r>
          </w:p>
        </w:tc>
        <w:tc>
          <w:tcPr>
            <w:tcW w:w="3641"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228</w:t>
            </w:r>
          </w:p>
        </w:tc>
      </w:tr>
      <w:tr w:rsidR="00EA45F9" w:rsidRPr="009B5734" w:rsidTr="00C84A99">
        <w:trPr>
          <w:trHeight w:val="290"/>
          <w:jc w:val="center"/>
        </w:trPr>
        <w:tc>
          <w:tcPr>
            <w:tcW w:w="3559"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lef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Hospitality and restaurants</w:t>
            </w:r>
          </w:p>
        </w:tc>
        <w:tc>
          <w:tcPr>
            <w:tcW w:w="3641"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152</w:t>
            </w:r>
          </w:p>
        </w:tc>
      </w:tr>
      <w:tr w:rsidR="00EA45F9" w:rsidRPr="009B5734" w:rsidTr="00C84A99">
        <w:trPr>
          <w:trHeight w:val="290"/>
          <w:jc w:val="center"/>
        </w:trPr>
        <w:tc>
          <w:tcPr>
            <w:tcW w:w="3559"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lef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Housing, energy, water, etc. provision</w:t>
            </w:r>
          </w:p>
        </w:tc>
        <w:tc>
          <w:tcPr>
            <w:tcW w:w="3641"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40</w:t>
            </w:r>
          </w:p>
        </w:tc>
      </w:tr>
      <w:tr w:rsidR="00EA45F9" w:rsidRPr="009B5734" w:rsidTr="00C84A99">
        <w:trPr>
          <w:trHeight w:val="290"/>
          <w:jc w:val="center"/>
        </w:trPr>
        <w:tc>
          <w:tcPr>
            <w:tcW w:w="3559"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lef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Transportation</w:t>
            </w:r>
          </w:p>
        </w:tc>
        <w:tc>
          <w:tcPr>
            <w:tcW w:w="3641"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170</w:t>
            </w:r>
          </w:p>
        </w:tc>
      </w:tr>
      <w:tr w:rsidR="00EA45F9" w:rsidRPr="009B5734" w:rsidTr="00C84A99">
        <w:trPr>
          <w:trHeight w:val="290"/>
          <w:jc w:val="center"/>
        </w:trPr>
        <w:tc>
          <w:tcPr>
            <w:tcW w:w="3559"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lef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Other</w:t>
            </w:r>
          </w:p>
        </w:tc>
        <w:tc>
          <w:tcPr>
            <w:tcW w:w="3641"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539</w:t>
            </w:r>
          </w:p>
        </w:tc>
      </w:tr>
      <w:tr w:rsidR="00EA45F9" w:rsidRPr="009B5734" w:rsidTr="00C84A99">
        <w:trPr>
          <w:trHeight w:val="290"/>
          <w:jc w:val="center"/>
        </w:trPr>
        <w:tc>
          <w:tcPr>
            <w:tcW w:w="3559"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left"/>
              <w:rPr>
                <w:rFonts w:ascii="Times New Roman" w:eastAsia="Calibri" w:hAnsi="Times New Roman" w:cs="Times New Roman"/>
                <w:b/>
                <w:bCs/>
                <w:noProof/>
                <w:color w:val="000000"/>
                <w:sz w:val="24"/>
                <w:szCs w:val="24"/>
              </w:rPr>
            </w:pPr>
            <w:r w:rsidRPr="009B5734">
              <w:rPr>
                <w:rFonts w:ascii="Times New Roman" w:eastAsia="Calibri" w:hAnsi="Times New Roman" w:cs="Times New Roman"/>
                <w:b/>
                <w:bCs/>
                <w:noProof/>
                <w:color w:val="000000"/>
                <w:sz w:val="24"/>
                <w:szCs w:val="24"/>
              </w:rPr>
              <w:t>Total</w:t>
            </w:r>
          </w:p>
        </w:tc>
        <w:tc>
          <w:tcPr>
            <w:tcW w:w="3641"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hideMark/>
          </w:tcPr>
          <w:p w:rsidR="00EA45F9" w:rsidRPr="009B5734" w:rsidRDefault="00EA45F9" w:rsidP="00981615">
            <w:pPr>
              <w:spacing w:line="276" w:lineRule="auto"/>
              <w:ind w:left="113" w:firstLine="0"/>
              <w:jc w:val="center"/>
              <w:rPr>
                <w:rFonts w:ascii="Times New Roman" w:eastAsia="Calibri" w:hAnsi="Times New Roman" w:cs="Times New Roman"/>
                <w:b/>
                <w:bCs/>
                <w:noProof/>
                <w:color w:val="000000"/>
                <w:sz w:val="24"/>
                <w:szCs w:val="24"/>
              </w:rPr>
            </w:pPr>
            <w:r w:rsidRPr="009B5734">
              <w:rPr>
                <w:rFonts w:ascii="Times New Roman" w:eastAsia="Calibri" w:hAnsi="Times New Roman" w:cs="Times New Roman"/>
                <w:b/>
                <w:bCs/>
                <w:noProof/>
                <w:color w:val="000000"/>
                <w:sz w:val="24"/>
                <w:szCs w:val="24"/>
              </w:rPr>
              <w:t xml:space="preserve"> 1,315</w:t>
            </w:r>
          </w:p>
        </w:tc>
      </w:tr>
    </w:tbl>
    <w:p w:rsidR="00EA45F9" w:rsidRPr="009B5734" w:rsidRDefault="00EA45F9" w:rsidP="00EA45F9">
      <w:pPr>
        <w:spacing w:after="240"/>
        <w:ind w:left="0"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Source: ICF calculations based on evidence from various sources</w:t>
      </w:r>
    </w:p>
    <w:p w:rsidR="00EA45F9" w:rsidRPr="009B5734" w:rsidRDefault="00EA45F9" w:rsidP="00EA45F9">
      <w:pPr>
        <w:spacing w:before="120" w:after="120"/>
        <w:ind w:left="0" w:firstLine="0"/>
        <w:jc w:val="left"/>
        <w:rPr>
          <w:rFonts w:ascii="Times New Roman" w:eastAsia="Calibri" w:hAnsi="Times New Roman" w:cs="Times New Roman"/>
          <w:i/>
          <w:noProof/>
          <w:sz w:val="24"/>
          <w:szCs w:val="24"/>
        </w:rPr>
      </w:pPr>
      <w:r w:rsidRPr="009B5734">
        <w:rPr>
          <w:rFonts w:ascii="Times New Roman" w:eastAsia="Calibri" w:hAnsi="Times New Roman" w:cs="Times New Roman"/>
          <w:i/>
          <w:noProof/>
          <w:sz w:val="24"/>
          <w:szCs w:val="24"/>
        </w:rPr>
        <w:t>Consequences for the Market</w:t>
      </w:r>
    </w:p>
    <w:p w:rsidR="00EA45F9" w:rsidRPr="009B5734" w:rsidRDefault="00EA45F9" w:rsidP="00EA45F9">
      <w:pPr>
        <w:spacing w:before="120" w:after="120"/>
        <w:ind w:left="0" w:firstLine="0"/>
        <w:jc w:val="lef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 xml:space="preserve">Market shares of more environmentally friendly products are lower than they would be if consumers would be aware of the environmental characteristics of their purchases (see ICF estimation in table below). </w:t>
      </w:r>
    </w:p>
    <w:p w:rsidR="00EA45F9" w:rsidRPr="009B5734" w:rsidRDefault="00EA45F9" w:rsidP="00EA45F9">
      <w:pPr>
        <w:spacing w:before="120" w:after="120"/>
        <w:ind w:left="0" w:firstLine="0"/>
        <w:jc w:val="lef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Indirectly, the fact that consumers cannot compare products based on their environmental characteristics leads to fewer incentives for companies to improve the environmental performance of their products.</w:t>
      </w:r>
      <w:r w:rsidRPr="009B5734">
        <w:rPr>
          <w:rFonts w:ascii="Times New Roman" w:eastAsia="Calibri" w:hAnsi="Times New Roman" w:cs="Times New Roman"/>
          <w:noProof/>
          <w:color w:val="000000"/>
          <w:sz w:val="24"/>
          <w:szCs w:val="24"/>
          <w:vertAlign w:val="superscript"/>
        </w:rPr>
        <w:footnoteReference w:id="192"/>
      </w:r>
    </w:p>
    <w:p w:rsidR="00EA45F9" w:rsidRPr="009B5734" w:rsidRDefault="00EA45F9" w:rsidP="00EA45F9">
      <w:pPr>
        <w:spacing w:after="160" w:line="259" w:lineRule="auto"/>
        <w:ind w:left="0" w:firstLine="0"/>
        <w:jc w:val="left"/>
        <w:rPr>
          <w:rFonts w:ascii="Times New Roman" w:eastAsia="Calibri" w:hAnsi="Times New Roman" w:cs="Times New Roman"/>
          <w:i/>
          <w:iCs/>
          <w:noProof/>
          <w:color w:val="5B9BD5"/>
          <w:sz w:val="24"/>
          <w:szCs w:val="24"/>
        </w:rPr>
      </w:pPr>
      <w:r w:rsidRPr="009B5734">
        <w:rPr>
          <w:rFonts w:ascii="Times New Roman" w:eastAsia="Calibri" w:hAnsi="Times New Roman" w:cs="Times New Roman"/>
          <w:i/>
          <w:iCs/>
          <w:noProof/>
          <w:color w:val="5B9BD5"/>
          <w:sz w:val="24"/>
          <w:szCs w:val="24"/>
        </w:rPr>
        <w:t>Consequences for the Environment</w:t>
      </w:r>
    </w:p>
    <w:p w:rsidR="00EA45F9" w:rsidRPr="009B5734" w:rsidRDefault="00EA45F9" w:rsidP="00EA45F9">
      <w:pPr>
        <w:spacing w:after="160" w:line="259" w:lineRule="auto"/>
        <w:ind w:left="0" w:firstLine="0"/>
        <w:rPr>
          <w:rFonts w:ascii="Times New Roman" w:eastAsia="Calibri" w:hAnsi="Times New Roman" w:cs="Times New Roman"/>
          <w:noProof/>
          <w:color w:val="000000"/>
          <w:sz w:val="24"/>
          <w:szCs w:val="24"/>
        </w:rPr>
      </w:pPr>
      <w:r w:rsidRPr="009B5734">
        <w:rPr>
          <w:rFonts w:ascii="Times New Roman" w:eastAsia="Calibri" w:hAnsi="Times New Roman" w:cs="Times New Roman"/>
          <w:noProof/>
          <w:sz w:val="24"/>
          <w:szCs w:val="24"/>
        </w:rPr>
        <w:t>The opportunity costs to the climate and environment today for not providing this information are equal to the gains to the environment resulting from consumers buying more environmentally friendly products if this information were to be available.</w:t>
      </w:r>
    </w:p>
    <w:p w:rsidR="00EA45F9" w:rsidRPr="009B5734" w:rsidRDefault="00EA45F9" w:rsidP="00EA45F9">
      <w:pPr>
        <w:spacing w:after="160" w:line="259" w:lineRule="auto"/>
        <w:ind w:left="0" w:firstLine="0"/>
        <w:rPr>
          <w:rFonts w:ascii="Times New Roman" w:eastAsia="Calibri" w:hAnsi="Times New Roman" w:cs="Times New Roman"/>
          <w:noProof/>
          <w:sz w:val="24"/>
          <w:szCs w:val="24"/>
        </w:rPr>
      </w:pPr>
      <w:r w:rsidRPr="009B5734">
        <w:rPr>
          <w:rFonts w:ascii="Times New Roman" w:eastAsia="Calibri" w:hAnsi="Times New Roman" w:cs="Times New Roman"/>
          <w:noProof/>
          <w:sz w:val="24"/>
          <w:szCs w:val="24"/>
        </w:rPr>
        <w:t>We assessed these costs for two scenarios</w:t>
      </w:r>
      <w:r w:rsidRPr="009B5734">
        <w:rPr>
          <w:rFonts w:ascii="Times New Roman" w:eastAsia="Calibri" w:hAnsi="Times New Roman" w:cs="Times New Roman"/>
          <w:noProof/>
          <w:sz w:val="24"/>
          <w:szCs w:val="24"/>
          <w:vertAlign w:val="superscript"/>
        </w:rPr>
        <w:footnoteReference w:id="193"/>
      </w:r>
      <w:r w:rsidRPr="009B5734">
        <w:rPr>
          <w:rFonts w:ascii="Times New Roman" w:eastAsia="Calibri" w:hAnsi="Times New Roman" w:cs="Times New Roman"/>
          <w:noProof/>
          <w:sz w:val="24"/>
          <w:szCs w:val="24"/>
        </w:rPr>
        <w:t xml:space="preserve"> regarding how much more “environmentally friendly” the purchased alternatives would be compared to the current situation 5% and 10% more “environmentally friendly”. Table 3. Shows the results of this calculation.</w:t>
      </w:r>
    </w:p>
    <w:p w:rsidR="00EA45F9" w:rsidRPr="004931D3" w:rsidRDefault="00EA45F9">
      <w:pPr>
        <w:pStyle w:val="Heading5"/>
        <w:rPr>
          <w:rFonts w:ascii="Times New Roman" w:eastAsia="Times New Roman" w:hAnsi="Times New Roman" w:cs="Times New Roman"/>
          <w:b w:val="0"/>
          <w:i w:val="0"/>
          <w:noProof/>
          <w:sz w:val="24"/>
        </w:rPr>
      </w:pPr>
      <w:r w:rsidRPr="6B053803">
        <w:rPr>
          <w:rFonts w:ascii="Times New Roman" w:eastAsia="Times New Roman" w:hAnsi="Times New Roman" w:cs="Times New Roman"/>
          <w:b w:val="0"/>
          <w:i w:val="0"/>
          <w:noProof/>
          <w:sz w:val="24"/>
        </w:rPr>
        <w:t>Table 3: Possible environmental impacts of shifting demand towards more environmentally friendly products</w:t>
      </w:r>
    </w:p>
    <w:tbl>
      <w:tblPr>
        <w:tblW w:w="5299" w:type="pct"/>
        <w:tblBorders>
          <w:top w:val="single" w:sz="4" w:space="0" w:color="auto"/>
          <w:bottom w:val="single" w:sz="4" w:space="0" w:color="auto"/>
          <w:insideH w:val="single" w:sz="4" w:space="0" w:color="auto"/>
        </w:tblBorders>
        <w:shd w:val="solid" w:color="F2F2F2" w:fill="F2F2F2"/>
        <w:tblCellMar>
          <w:left w:w="0" w:type="dxa"/>
          <w:right w:w="0" w:type="dxa"/>
        </w:tblCellMar>
        <w:tblLook w:val="04A0" w:firstRow="1" w:lastRow="0" w:firstColumn="1" w:lastColumn="0" w:noHBand="0" w:noVBand="1"/>
      </w:tblPr>
      <w:tblGrid>
        <w:gridCol w:w="3042"/>
        <w:gridCol w:w="3045"/>
        <w:gridCol w:w="3045"/>
      </w:tblGrid>
      <w:tr w:rsidR="00EA45F9" w:rsidRPr="009B5734" w:rsidTr="00C84A99">
        <w:trPr>
          <w:trHeight w:val="408"/>
        </w:trPr>
        <w:tc>
          <w:tcPr>
            <w:tcW w:w="1666" w:type="pct"/>
            <w:tcBorders>
              <w:top w:val="single" w:sz="4" w:space="0" w:color="auto"/>
              <w:left w:val="nil"/>
              <w:bottom w:val="single" w:sz="4" w:space="0" w:color="auto"/>
              <w:right w:val="nil"/>
            </w:tcBorders>
            <w:shd w:val="clear" w:color="auto" w:fill="002395"/>
          </w:tcPr>
          <w:p w:rsidR="00EA45F9" w:rsidRPr="009B5734" w:rsidRDefault="00EA45F9" w:rsidP="00981615">
            <w:pPr>
              <w:spacing w:before="120" w:line="276" w:lineRule="auto"/>
              <w:ind w:left="113" w:firstLine="0"/>
              <w:jc w:val="left"/>
              <w:rPr>
                <w:rFonts w:ascii="Times New Roman" w:eastAsia="Calibri" w:hAnsi="Times New Roman" w:cs="Times New Roman"/>
                <w:b/>
                <w:noProof/>
                <w:color w:val="FFFFFF"/>
                <w:sz w:val="24"/>
                <w:szCs w:val="24"/>
              </w:rPr>
            </w:pPr>
          </w:p>
        </w:tc>
        <w:tc>
          <w:tcPr>
            <w:tcW w:w="1667" w:type="pct"/>
            <w:tcBorders>
              <w:top w:val="single" w:sz="4" w:space="0" w:color="auto"/>
              <w:left w:val="nil"/>
              <w:bottom w:val="single" w:sz="4" w:space="0" w:color="auto"/>
              <w:right w:val="nil"/>
            </w:tcBorders>
            <w:shd w:val="clear" w:color="auto" w:fill="002395"/>
            <w:vAlign w:val="center"/>
            <w:hideMark/>
          </w:tcPr>
          <w:p w:rsidR="00EA45F9" w:rsidRPr="009B5734" w:rsidRDefault="00EA45F9" w:rsidP="00981615">
            <w:pPr>
              <w:spacing w:before="120" w:line="276" w:lineRule="auto"/>
              <w:ind w:left="113" w:firstLine="0"/>
              <w:jc w:val="center"/>
              <w:rPr>
                <w:rFonts w:ascii="Times New Roman" w:eastAsia="Calibri" w:hAnsi="Times New Roman" w:cs="Times New Roman"/>
                <w:b/>
                <w:noProof/>
                <w:color w:val="FFFFFF"/>
                <w:sz w:val="24"/>
                <w:szCs w:val="24"/>
              </w:rPr>
            </w:pPr>
            <w:r w:rsidRPr="005D24D2">
              <w:rPr>
                <w:rFonts w:ascii="Times New Roman" w:eastAsia="Calibri" w:hAnsi="Times New Roman" w:cs="Times New Roman"/>
                <w:b/>
                <w:bCs/>
                <w:noProof/>
                <w:color w:val="FFFFFF"/>
                <w:sz w:val="24"/>
                <w:szCs w:val="24"/>
              </w:rPr>
              <w:t>5% scenario</w:t>
            </w:r>
          </w:p>
        </w:tc>
        <w:tc>
          <w:tcPr>
            <w:tcW w:w="1667" w:type="pct"/>
            <w:tcBorders>
              <w:top w:val="single" w:sz="4" w:space="0" w:color="auto"/>
              <w:left w:val="nil"/>
              <w:bottom w:val="single" w:sz="4" w:space="0" w:color="auto"/>
              <w:right w:val="nil"/>
            </w:tcBorders>
            <w:shd w:val="clear" w:color="auto" w:fill="002395"/>
            <w:vAlign w:val="center"/>
            <w:hideMark/>
          </w:tcPr>
          <w:p w:rsidR="00EA45F9" w:rsidRPr="009B5734" w:rsidRDefault="00EA45F9" w:rsidP="00981615">
            <w:pPr>
              <w:spacing w:before="120" w:line="276" w:lineRule="auto"/>
              <w:ind w:left="113" w:firstLine="0"/>
              <w:jc w:val="center"/>
              <w:rPr>
                <w:rFonts w:ascii="Times New Roman" w:eastAsia="Calibri" w:hAnsi="Times New Roman" w:cs="Times New Roman"/>
                <w:b/>
                <w:noProof/>
                <w:color w:val="FFFFFF"/>
                <w:sz w:val="24"/>
                <w:szCs w:val="24"/>
              </w:rPr>
            </w:pPr>
            <w:r w:rsidRPr="005D24D2">
              <w:rPr>
                <w:rFonts w:ascii="Times New Roman" w:eastAsia="Calibri" w:hAnsi="Times New Roman" w:cs="Times New Roman"/>
                <w:b/>
                <w:bCs/>
                <w:noProof/>
                <w:color w:val="FFFFFF"/>
                <w:sz w:val="24"/>
                <w:szCs w:val="24"/>
              </w:rPr>
              <w:t>10% scenario</w:t>
            </w:r>
          </w:p>
        </w:tc>
      </w:tr>
      <w:tr w:rsidR="00EA45F9" w:rsidRPr="009B5734" w:rsidTr="00C84A99">
        <w:trPr>
          <w:trHeight w:val="2035"/>
        </w:trPr>
        <w:tc>
          <w:tcPr>
            <w:tcW w:w="1666" w:type="pct"/>
            <w:tcBorders>
              <w:top w:val="single" w:sz="4" w:space="0" w:color="auto"/>
              <w:left w:val="nil"/>
              <w:bottom w:val="single" w:sz="4" w:space="0" w:color="auto"/>
              <w:right w:val="nil"/>
            </w:tcBorders>
            <w:shd w:val="clear" w:color="auto" w:fill="F2F2F2" w:themeFill="background1" w:themeFillShade="F2"/>
            <w:hideMark/>
          </w:tcPr>
          <w:p w:rsidR="00EA45F9" w:rsidRPr="009B5734" w:rsidRDefault="00EA45F9" w:rsidP="00981615">
            <w:pPr>
              <w:spacing w:before="120" w:line="276" w:lineRule="auto"/>
              <w:ind w:left="113" w:firstLine="0"/>
              <w:jc w:val="left"/>
              <w:rPr>
                <w:rFonts w:ascii="Times New Roman" w:hAnsi="Times New Roman"/>
                <w:noProof/>
                <w:color w:val="000000"/>
                <w:sz w:val="24"/>
              </w:rPr>
            </w:pPr>
            <w:r w:rsidRPr="009B5734">
              <w:rPr>
                <w:rFonts w:ascii="Times New Roman" w:hAnsi="Times New Roman"/>
                <w:noProof/>
                <w:color w:val="000000"/>
                <w:sz w:val="24"/>
              </w:rPr>
              <w:t>Climate Change (per year)</w:t>
            </w:r>
          </w:p>
          <w:p w:rsidR="00EA45F9" w:rsidRPr="009B5734" w:rsidRDefault="00EA45F9" w:rsidP="00981615">
            <w:pPr>
              <w:spacing w:before="120" w:line="276" w:lineRule="auto"/>
              <w:ind w:left="113" w:firstLine="0"/>
              <w:jc w:val="left"/>
              <w:rPr>
                <w:rFonts w:ascii="Times New Roman" w:hAnsi="Times New Roman"/>
                <w:noProof/>
                <w:color w:val="000000"/>
                <w:sz w:val="24"/>
              </w:rPr>
            </w:pPr>
            <w:r w:rsidRPr="00C97149">
              <w:rPr>
                <w:rFonts w:ascii="Times New Roman" w:hAnsi="Times New Roman"/>
                <w:noProof/>
                <w:color w:val="000000"/>
                <w:sz w:val="24"/>
                <w:szCs w:val="24"/>
              </w:rPr>
              <w:t>(MtCO2e p</w:t>
            </w:r>
            <w:r w:rsidRPr="004B3141">
              <w:rPr>
                <w:rFonts w:ascii="Times New Roman" w:hAnsi="Times New Roman"/>
                <w:noProof/>
                <w:color w:val="000000"/>
                <w:sz w:val="24"/>
                <w:szCs w:val="24"/>
              </w:rPr>
              <w:t>er year; EUROS EUR 34 - 68</w:t>
            </w:r>
            <w:r w:rsidRPr="009B5734">
              <w:rPr>
                <w:rFonts w:ascii="Times New Roman" w:eastAsia="Calibri" w:hAnsi="Times New Roman" w:cs="Times New Roman"/>
                <w:noProof/>
                <w:color w:val="000000"/>
                <w:sz w:val="24"/>
                <w:szCs w:val="24"/>
                <w:vertAlign w:val="superscript"/>
              </w:rPr>
              <w:footnoteReference w:id="194"/>
            </w:r>
            <w:r w:rsidRPr="00C97149">
              <w:rPr>
                <w:rFonts w:ascii="Times New Roman" w:hAnsi="Times New Roman"/>
                <w:noProof/>
                <w:color w:val="000000"/>
                <w:sz w:val="24"/>
                <w:szCs w:val="24"/>
              </w:rPr>
              <w:t xml:space="preserve"> per tonne CO2e)</w:t>
            </w:r>
          </w:p>
        </w:tc>
        <w:tc>
          <w:tcPr>
            <w:tcW w:w="1667" w:type="pct"/>
            <w:tcBorders>
              <w:top w:val="single" w:sz="4" w:space="0" w:color="auto"/>
              <w:left w:val="nil"/>
              <w:bottom w:val="single" w:sz="4" w:space="0" w:color="auto"/>
              <w:right w:val="nil"/>
            </w:tcBorders>
            <w:shd w:val="clear" w:color="auto" w:fill="F2F2F2" w:themeFill="background1" w:themeFillShade="F2"/>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1.1 MtCO2e</w:t>
            </w:r>
          </w:p>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EUR 40 million</w:t>
            </w:r>
          </w:p>
        </w:tc>
        <w:tc>
          <w:tcPr>
            <w:tcW w:w="1667" w:type="pct"/>
            <w:tcBorders>
              <w:top w:val="single" w:sz="4" w:space="0" w:color="auto"/>
              <w:left w:val="nil"/>
              <w:bottom w:val="single" w:sz="4" w:space="0" w:color="auto"/>
              <w:right w:val="nil"/>
            </w:tcBorders>
            <w:shd w:val="clear" w:color="auto" w:fill="F2F2F2" w:themeFill="background1" w:themeFillShade="F2"/>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2.2 MtCO2e</w:t>
            </w:r>
          </w:p>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EUR 80 million</w:t>
            </w:r>
          </w:p>
        </w:tc>
      </w:tr>
      <w:tr w:rsidR="00EA45F9" w:rsidRPr="009B5734" w:rsidTr="00C84A99">
        <w:trPr>
          <w:trHeight w:val="1311"/>
        </w:trPr>
        <w:tc>
          <w:tcPr>
            <w:tcW w:w="1666" w:type="pct"/>
            <w:tcBorders>
              <w:top w:val="single" w:sz="4" w:space="0" w:color="auto"/>
              <w:left w:val="nil"/>
              <w:bottom w:val="single" w:sz="4" w:space="0" w:color="auto"/>
              <w:right w:val="nil"/>
            </w:tcBorders>
            <w:shd w:val="clear" w:color="auto" w:fill="F2F2F2" w:themeFill="background1" w:themeFillShade="F2"/>
            <w:hideMark/>
          </w:tcPr>
          <w:p w:rsidR="00EA45F9" w:rsidRPr="009B5734" w:rsidRDefault="00EA45F9" w:rsidP="00981615">
            <w:pPr>
              <w:spacing w:before="120" w:line="276" w:lineRule="auto"/>
              <w:ind w:left="113" w:firstLine="0"/>
              <w:jc w:val="lef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Particulate matter (deaths per year; VSL</w:t>
            </w:r>
            <w:r w:rsidRPr="009B5734">
              <w:rPr>
                <w:rFonts w:ascii="Times New Roman" w:eastAsia="Calibri" w:hAnsi="Times New Roman" w:cs="Times New Roman"/>
                <w:noProof/>
                <w:color w:val="000000"/>
                <w:sz w:val="24"/>
                <w:szCs w:val="24"/>
                <w:vertAlign w:val="superscript"/>
              </w:rPr>
              <w:footnoteReference w:id="195"/>
            </w:r>
            <w:r w:rsidRPr="009B5734">
              <w:rPr>
                <w:rFonts w:ascii="Times New Roman" w:eastAsia="Calibri" w:hAnsi="Times New Roman" w:cs="Times New Roman"/>
                <w:noProof/>
                <w:color w:val="000000"/>
                <w:sz w:val="24"/>
                <w:szCs w:val="24"/>
              </w:rPr>
              <w:t xml:space="preserve"> per year - euros)</w:t>
            </w:r>
          </w:p>
        </w:tc>
        <w:tc>
          <w:tcPr>
            <w:tcW w:w="1667" w:type="pct"/>
            <w:tcBorders>
              <w:top w:val="single" w:sz="4" w:space="0" w:color="auto"/>
              <w:left w:val="nil"/>
              <w:bottom w:val="single" w:sz="4" w:space="0" w:color="auto"/>
              <w:right w:val="nil"/>
            </w:tcBorders>
            <w:shd w:val="clear" w:color="auto" w:fill="F2F2F2" w:themeFill="background1" w:themeFillShade="F2"/>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 xml:space="preserve"> 80 death</w:t>
            </w:r>
          </w:p>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EUR 385 million</w:t>
            </w:r>
          </w:p>
        </w:tc>
        <w:tc>
          <w:tcPr>
            <w:tcW w:w="1667" w:type="pct"/>
            <w:tcBorders>
              <w:top w:val="single" w:sz="4" w:space="0" w:color="auto"/>
              <w:left w:val="nil"/>
              <w:bottom w:val="single" w:sz="4" w:space="0" w:color="auto"/>
              <w:right w:val="nil"/>
            </w:tcBorders>
            <w:shd w:val="clear" w:color="auto" w:fill="F2F2F2" w:themeFill="background1" w:themeFillShade="F2"/>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160 deaths</w:t>
            </w:r>
          </w:p>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EUR 770 million</w:t>
            </w:r>
          </w:p>
        </w:tc>
      </w:tr>
      <w:tr w:rsidR="00EA45F9" w:rsidRPr="009B5734" w:rsidTr="00C84A99">
        <w:trPr>
          <w:trHeight w:val="712"/>
        </w:trPr>
        <w:tc>
          <w:tcPr>
            <w:tcW w:w="1666" w:type="pct"/>
            <w:tcBorders>
              <w:top w:val="single" w:sz="4" w:space="0" w:color="auto"/>
              <w:left w:val="nil"/>
              <w:bottom w:val="single" w:sz="4" w:space="0" w:color="auto"/>
              <w:right w:val="nil"/>
            </w:tcBorders>
            <w:shd w:val="clear" w:color="auto" w:fill="F2F2F2" w:themeFill="background1" w:themeFillShade="F2"/>
            <w:hideMark/>
          </w:tcPr>
          <w:p w:rsidR="00EA45F9" w:rsidRPr="009B5734" w:rsidRDefault="00EA45F9" w:rsidP="00981615">
            <w:pPr>
              <w:spacing w:before="120" w:line="276" w:lineRule="auto"/>
              <w:ind w:left="113" w:firstLine="0"/>
              <w:jc w:val="lef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Acidification (109 mol H+ eq)</w:t>
            </w:r>
          </w:p>
        </w:tc>
        <w:tc>
          <w:tcPr>
            <w:tcW w:w="1667" w:type="pct"/>
            <w:tcBorders>
              <w:top w:val="single" w:sz="4" w:space="0" w:color="auto"/>
              <w:left w:val="nil"/>
              <w:bottom w:val="single" w:sz="4" w:space="0" w:color="auto"/>
              <w:right w:val="nil"/>
            </w:tcBorders>
            <w:shd w:val="clear" w:color="auto" w:fill="F2F2F2" w:themeFill="background1" w:themeFillShade="F2"/>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0.008</w:t>
            </w:r>
          </w:p>
        </w:tc>
        <w:tc>
          <w:tcPr>
            <w:tcW w:w="1667" w:type="pct"/>
            <w:tcBorders>
              <w:top w:val="single" w:sz="4" w:space="0" w:color="auto"/>
              <w:left w:val="nil"/>
              <w:bottom w:val="single" w:sz="4" w:space="0" w:color="auto"/>
              <w:right w:val="nil"/>
            </w:tcBorders>
            <w:shd w:val="clear" w:color="auto" w:fill="F2F2F2" w:themeFill="background1" w:themeFillShade="F2"/>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0.016</w:t>
            </w:r>
          </w:p>
        </w:tc>
      </w:tr>
      <w:tr w:rsidR="00EA45F9" w:rsidRPr="009B5734" w:rsidTr="00C84A99">
        <w:trPr>
          <w:trHeight w:val="712"/>
        </w:trPr>
        <w:tc>
          <w:tcPr>
            <w:tcW w:w="1666" w:type="pct"/>
            <w:tcBorders>
              <w:top w:val="single" w:sz="4" w:space="0" w:color="auto"/>
              <w:left w:val="nil"/>
              <w:bottom w:val="single" w:sz="4" w:space="0" w:color="auto"/>
              <w:right w:val="nil"/>
            </w:tcBorders>
            <w:shd w:val="clear" w:color="auto" w:fill="F2F2F2" w:themeFill="background1" w:themeFillShade="F2"/>
            <w:hideMark/>
          </w:tcPr>
          <w:p w:rsidR="00EA45F9" w:rsidRPr="009B5734" w:rsidRDefault="00EA45F9" w:rsidP="00981615">
            <w:pPr>
              <w:spacing w:before="120" w:line="276" w:lineRule="auto"/>
              <w:ind w:left="113" w:firstLine="0"/>
              <w:jc w:val="lef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Water use (billion m3 water eq)</w:t>
            </w:r>
          </w:p>
        </w:tc>
        <w:tc>
          <w:tcPr>
            <w:tcW w:w="1667" w:type="pct"/>
            <w:tcBorders>
              <w:top w:val="single" w:sz="4" w:space="0" w:color="auto"/>
              <w:left w:val="nil"/>
              <w:bottom w:val="single" w:sz="4" w:space="0" w:color="auto"/>
              <w:right w:val="nil"/>
            </w:tcBorders>
            <w:shd w:val="clear" w:color="auto" w:fill="F2F2F2" w:themeFill="background1" w:themeFillShade="F2"/>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1.5</w:t>
            </w:r>
          </w:p>
        </w:tc>
        <w:tc>
          <w:tcPr>
            <w:tcW w:w="1667" w:type="pct"/>
            <w:tcBorders>
              <w:top w:val="single" w:sz="4" w:space="0" w:color="auto"/>
              <w:left w:val="nil"/>
              <w:bottom w:val="single" w:sz="4" w:space="0" w:color="auto"/>
              <w:right w:val="nil"/>
            </w:tcBorders>
            <w:shd w:val="clear" w:color="auto" w:fill="F2F2F2" w:themeFill="background1" w:themeFillShade="F2"/>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3</w:t>
            </w:r>
          </w:p>
        </w:tc>
      </w:tr>
      <w:tr w:rsidR="00EA45F9" w:rsidRPr="009B5734" w:rsidTr="00C84A99">
        <w:trPr>
          <w:trHeight w:val="712"/>
        </w:trPr>
        <w:tc>
          <w:tcPr>
            <w:tcW w:w="1666" w:type="pct"/>
            <w:tcBorders>
              <w:top w:val="single" w:sz="4" w:space="0" w:color="auto"/>
              <w:left w:val="nil"/>
              <w:bottom w:val="single" w:sz="4" w:space="0" w:color="auto"/>
              <w:right w:val="nil"/>
            </w:tcBorders>
            <w:shd w:val="clear" w:color="auto" w:fill="F2F2F2" w:themeFill="background1" w:themeFillShade="F2"/>
            <w:hideMark/>
          </w:tcPr>
          <w:p w:rsidR="00EA45F9" w:rsidRPr="009B5734" w:rsidRDefault="00EA45F9" w:rsidP="00981615">
            <w:pPr>
              <w:spacing w:before="120" w:line="276" w:lineRule="auto"/>
              <w:ind w:left="113" w:firstLine="0"/>
              <w:jc w:val="lef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Resource use, fossils (EJ)</w:t>
            </w:r>
          </w:p>
        </w:tc>
        <w:tc>
          <w:tcPr>
            <w:tcW w:w="1667" w:type="pct"/>
            <w:tcBorders>
              <w:top w:val="single" w:sz="4" w:space="0" w:color="auto"/>
              <w:left w:val="nil"/>
              <w:bottom w:val="single" w:sz="4" w:space="0" w:color="auto"/>
              <w:right w:val="nil"/>
            </w:tcBorders>
            <w:shd w:val="clear" w:color="auto" w:fill="F2F2F2" w:themeFill="background1" w:themeFillShade="F2"/>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0.015</w:t>
            </w:r>
          </w:p>
        </w:tc>
        <w:tc>
          <w:tcPr>
            <w:tcW w:w="1667" w:type="pct"/>
            <w:tcBorders>
              <w:top w:val="single" w:sz="4" w:space="0" w:color="auto"/>
              <w:left w:val="nil"/>
              <w:bottom w:val="single" w:sz="4" w:space="0" w:color="auto"/>
              <w:right w:val="nil"/>
            </w:tcBorders>
            <w:shd w:val="clear" w:color="auto" w:fill="F2F2F2" w:themeFill="background1" w:themeFillShade="F2"/>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0.03</w:t>
            </w:r>
          </w:p>
        </w:tc>
      </w:tr>
      <w:tr w:rsidR="00EA45F9" w:rsidRPr="009B5734" w:rsidTr="00C84A99">
        <w:trPr>
          <w:trHeight w:val="1016"/>
        </w:trPr>
        <w:tc>
          <w:tcPr>
            <w:tcW w:w="1666" w:type="pct"/>
            <w:tcBorders>
              <w:top w:val="single" w:sz="4" w:space="0" w:color="auto"/>
              <w:left w:val="nil"/>
              <w:bottom w:val="single" w:sz="4" w:space="0" w:color="auto"/>
              <w:right w:val="nil"/>
            </w:tcBorders>
            <w:shd w:val="clear" w:color="auto" w:fill="F2F2F2" w:themeFill="background1" w:themeFillShade="F2"/>
            <w:hideMark/>
          </w:tcPr>
          <w:p w:rsidR="00EA45F9" w:rsidRPr="009B5734" w:rsidRDefault="00EA45F9" w:rsidP="00981615">
            <w:pPr>
              <w:spacing w:before="120" w:line="276" w:lineRule="auto"/>
              <w:ind w:left="113" w:firstLine="0"/>
              <w:jc w:val="lef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Resource use, minerals and metals (kt Sb eq)</w:t>
            </w:r>
          </w:p>
        </w:tc>
        <w:tc>
          <w:tcPr>
            <w:tcW w:w="1667" w:type="pct"/>
            <w:tcBorders>
              <w:top w:val="single" w:sz="4" w:space="0" w:color="auto"/>
              <w:left w:val="nil"/>
              <w:bottom w:val="single" w:sz="4" w:space="0" w:color="auto"/>
              <w:right w:val="nil"/>
            </w:tcBorders>
            <w:shd w:val="clear" w:color="auto" w:fill="F2F2F2" w:themeFill="background1" w:themeFillShade="F2"/>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0.005</w:t>
            </w:r>
          </w:p>
        </w:tc>
        <w:tc>
          <w:tcPr>
            <w:tcW w:w="1667" w:type="pct"/>
            <w:tcBorders>
              <w:top w:val="single" w:sz="4" w:space="0" w:color="auto"/>
              <w:left w:val="nil"/>
              <w:bottom w:val="single" w:sz="4" w:space="0" w:color="auto"/>
              <w:right w:val="nil"/>
            </w:tcBorders>
            <w:shd w:val="clear" w:color="auto" w:fill="F2F2F2" w:themeFill="background1" w:themeFillShade="F2"/>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0.01</w:t>
            </w:r>
          </w:p>
        </w:tc>
      </w:tr>
    </w:tbl>
    <w:p w:rsidR="00EA45F9" w:rsidRPr="009B5734" w:rsidRDefault="00EA45F9" w:rsidP="00EA45F9">
      <w:pPr>
        <w:spacing w:after="240"/>
        <w:ind w:left="0"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Source: ICF own calculations</w:t>
      </w:r>
    </w:p>
    <w:p w:rsidR="00EA45F9" w:rsidRPr="009B5734" w:rsidRDefault="00A00208" w:rsidP="00A00208">
      <w:pPr>
        <w:pStyle w:val="Heading4"/>
        <w:rPr>
          <w:noProof/>
        </w:rPr>
      </w:pPr>
      <w:r w:rsidRPr="00A00208">
        <w:t>1.2.</w:t>
      </w:r>
      <w:r w:rsidRPr="00A00208">
        <w:tab/>
      </w:r>
      <w:r w:rsidR="00EA45F9" w:rsidRPr="009B5734">
        <w:rPr>
          <w:noProof/>
        </w:rPr>
        <w:t xml:space="preserve">Sub-Problem 1.2: </w:t>
      </w:r>
      <w:r w:rsidR="00D60C0B" w:rsidRPr="009B5734">
        <w:rPr>
          <w:noProof/>
        </w:rPr>
        <w:t>Lack of reliable information</w:t>
      </w:r>
      <w:r w:rsidR="00EA45F9" w:rsidRPr="009B5734">
        <w:rPr>
          <w:noProof/>
        </w:rPr>
        <w:t xml:space="preserve"> about products’ lifespan </w:t>
      </w:r>
    </w:p>
    <w:p w:rsidR="00EA45F9" w:rsidRPr="009B5734" w:rsidRDefault="00EA45F9" w:rsidP="00EA45F9">
      <w:pPr>
        <w:spacing w:before="120" w:after="120"/>
        <w:ind w:left="0" w:firstLine="0"/>
        <w:jc w:val="left"/>
        <w:rPr>
          <w:rFonts w:ascii="Times New Roman" w:eastAsia="Calibri" w:hAnsi="Times New Roman" w:cs="Times New Roman"/>
          <w:i/>
          <w:iCs/>
          <w:noProof/>
          <w:sz w:val="24"/>
          <w:szCs w:val="24"/>
        </w:rPr>
      </w:pPr>
      <w:r w:rsidRPr="009B5734">
        <w:rPr>
          <w:rFonts w:ascii="Times New Roman" w:eastAsia="Calibri" w:hAnsi="Times New Roman" w:cs="Times New Roman"/>
          <w:i/>
          <w:iCs/>
          <w:noProof/>
          <w:sz w:val="24"/>
          <w:szCs w:val="24"/>
        </w:rPr>
        <w:t>Consequences on Consumers</w:t>
      </w:r>
    </w:p>
    <w:p w:rsidR="00EA45F9" w:rsidRPr="009B5734" w:rsidRDefault="00EA45F9" w:rsidP="00EA45F9">
      <w:pPr>
        <w:spacing w:after="160" w:line="259" w:lineRule="auto"/>
        <w:ind w:left="0" w:firstLine="0"/>
        <w:rPr>
          <w:rFonts w:ascii="Times New Roman" w:eastAsia="Calibri" w:hAnsi="Times New Roman" w:cs="Times New Roman"/>
          <w:noProof/>
          <w:color w:val="000000"/>
          <w:sz w:val="24"/>
          <w:szCs w:val="24"/>
        </w:rPr>
      </w:pPr>
      <w:r w:rsidRPr="009B5734">
        <w:rPr>
          <w:rFonts w:ascii="Times New Roman" w:eastAsia="Calibri" w:hAnsi="Times New Roman" w:cs="Times New Roman"/>
          <w:noProof/>
          <w:sz w:val="24"/>
          <w:szCs w:val="24"/>
        </w:rPr>
        <w:t xml:space="preserve">The main consequence of the </w:t>
      </w:r>
      <w:r w:rsidR="00D60C0B" w:rsidRPr="009B5734">
        <w:rPr>
          <w:rFonts w:ascii="Times New Roman" w:eastAsia="Calibri" w:hAnsi="Times New Roman" w:cs="Times New Roman"/>
          <w:noProof/>
          <w:sz w:val="24"/>
          <w:szCs w:val="24"/>
        </w:rPr>
        <w:t>lack of reliable information</w:t>
      </w:r>
      <w:r w:rsidRPr="009B5734">
        <w:rPr>
          <w:rFonts w:ascii="Times New Roman" w:eastAsia="Calibri" w:hAnsi="Times New Roman" w:cs="Times New Roman"/>
          <w:noProof/>
          <w:sz w:val="24"/>
          <w:szCs w:val="24"/>
        </w:rPr>
        <w:t xml:space="preserve"> for consumers is non-realised consumer surplus and potential consumer personal detriment as a result of sub-optimal choices. In fact, according to EC Study on “The durability of products”, goods that have longer lifespans generally have a lower TCC compared to the standard option, mostly due to postponing the purchase of the replacement appliance.</w:t>
      </w:r>
    </w:p>
    <w:p w:rsidR="00EA45F9" w:rsidRPr="009B5734" w:rsidRDefault="00EA45F9" w:rsidP="00EA45F9">
      <w:pPr>
        <w:spacing w:after="160" w:line="259" w:lineRule="auto"/>
        <w:ind w:left="0" w:firstLine="0"/>
        <w:rPr>
          <w:rFonts w:ascii="Times New Roman" w:eastAsia="Calibri" w:hAnsi="Times New Roman" w:cs="Times New Roman"/>
          <w:noProof/>
          <w:sz w:val="24"/>
          <w:szCs w:val="24"/>
        </w:rPr>
      </w:pPr>
      <w:r w:rsidRPr="009B5734">
        <w:rPr>
          <w:rFonts w:ascii="Times New Roman" w:eastAsia="Calibri" w:hAnsi="Times New Roman" w:cs="Times New Roman"/>
          <w:noProof/>
          <w:sz w:val="24"/>
          <w:szCs w:val="24"/>
        </w:rPr>
        <w:t>These losses can be roughly estimated either by using the consumers’ willingness to pay for reliable information on the lifespan for all products, or by estimating the non-realised consumer surplus because consumers are not able to select goods that last longer</w:t>
      </w:r>
      <w:r w:rsidRPr="009B5734">
        <w:rPr>
          <w:rFonts w:ascii="Times New Roman" w:eastAsia="Calibri" w:hAnsi="Times New Roman" w:cs="Times New Roman"/>
          <w:noProof/>
          <w:sz w:val="24"/>
          <w:szCs w:val="24"/>
          <w:vertAlign w:val="superscript"/>
        </w:rPr>
        <w:footnoteReference w:id="196"/>
      </w:r>
      <w:r w:rsidRPr="009B5734">
        <w:rPr>
          <w:rFonts w:ascii="Times New Roman" w:eastAsia="Calibri" w:hAnsi="Times New Roman" w:cs="Times New Roman"/>
          <w:noProof/>
          <w:sz w:val="24"/>
          <w:szCs w:val="24"/>
        </w:rPr>
        <w:t>. Consequently, the opportunity cost of this sub-problem to consumers is estimated to be around EUR 1 billion per year.</w:t>
      </w:r>
    </w:p>
    <w:p w:rsidR="00EA45F9" w:rsidRPr="004931D3" w:rsidRDefault="00EA45F9">
      <w:pPr>
        <w:pStyle w:val="Heading5"/>
        <w:rPr>
          <w:rFonts w:ascii="Times New Roman" w:eastAsia="Times New Roman" w:hAnsi="Times New Roman" w:cs="Times New Roman"/>
          <w:b w:val="0"/>
          <w:i w:val="0"/>
          <w:noProof/>
          <w:sz w:val="24"/>
        </w:rPr>
      </w:pPr>
      <w:r w:rsidRPr="6B053803">
        <w:rPr>
          <w:rFonts w:ascii="Times New Roman" w:eastAsia="Times New Roman" w:hAnsi="Times New Roman" w:cs="Times New Roman"/>
          <w:b w:val="0"/>
          <w:i w:val="0"/>
          <w:noProof/>
          <w:sz w:val="24"/>
        </w:rPr>
        <w:t xml:space="preserve">Table 4: Estimated consumer losses due to sub-optimal choices for </w:t>
      </w:r>
      <w:r w:rsidR="00D60C0B" w:rsidRPr="6B053803">
        <w:rPr>
          <w:rFonts w:ascii="Times New Roman" w:eastAsia="Times New Roman" w:hAnsi="Times New Roman" w:cs="Times New Roman"/>
          <w:b w:val="0"/>
          <w:i w:val="0"/>
          <w:noProof/>
          <w:sz w:val="24"/>
        </w:rPr>
        <w:t>lack of reliable information</w:t>
      </w:r>
      <w:r w:rsidRPr="6B053803">
        <w:rPr>
          <w:rFonts w:ascii="Times New Roman" w:eastAsia="Times New Roman" w:hAnsi="Times New Roman" w:cs="Times New Roman"/>
          <w:b w:val="0"/>
          <w:i w:val="0"/>
          <w:noProof/>
          <w:sz w:val="24"/>
        </w:rPr>
        <w:t xml:space="preserve"> on environmental characteristics of products (impact of one year of </w:t>
      </w:r>
      <w:r w:rsidR="00D60C0B" w:rsidRPr="6B053803">
        <w:rPr>
          <w:rFonts w:ascii="Times New Roman" w:eastAsia="Times New Roman" w:hAnsi="Times New Roman" w:cs="Times New Roman"/>
          <w:b w:val="0"/>
          <w:i w:val="0"/>
          <w:noProof/>
          <w:sz w:val="24"/>
        </w:rPr>
        <w:t>lack of reliable information</w:t>
      </w:r>
      <w:r w:rsidRPr="6B053803">
        <w:rPr>
          <w:rFonts w:ascii="Times New Roman" w:eastAsia="Times New Roman" w:hAnsi="Times New Roman" w:cs="Times New Roman"/>
          <w:b w:val="0"/>
          <w:i w:val="0"/>
          <w:noProof/>
          <w:sz w:val="24"/>
        </w:rPr>
        <w:t>)</w:t>
      </w:r>
    </w:p>
    <w:tbl>
      <w:tblPr>
        <w:tblW w:w="0" w:type="dxa"/>
        <w:tblBorders>
          <w:top w:val="single" w:sz="4" w:space="0" w:color="auto"/>
          <w:bottom w:val="single" w:sz="4" w:space="0" w:color="auto"/>
          <w:insideH w:val="single" w:sz="4" w:space="0" w:color="auto"/>
        </w:tblBorders>
        <w:shd w:val="solid" w:color="F2F2F2" w:fill="F2F2F2"/>
        <w:tblLayout w:type="fixed"/>
        <w:tblCellMar>
          <w:left w:w="0" w:type="dxa"/>
          <w:right w:w="0" w:type="dxa"/>
        </w:tblCellMar>
        <w:tblLook w:val="04A0" w:firstRow="1" w:lastRow="0" w:firstColumn="1" w:lastColumn="0" w:noHBand="0" w:noVBand="1"/>
      </w:tblPr>
      <w:tblGrid>
        <w:gridCol w:w="4126"/>
        <w:gridCol w:w="409"/>
        <w:gridCol w:w="2063"/>
        <w:gridCol w:w="80"/>
        <w:gridCol w:w="2393"/>
      </w:tblGrid>
      <w:tr w:rsidR="00EA45F9" w:rsidRPr="009B5734" w:rsidTr="00C84A99">
        <w:trPr>
          <w:trHeight w:val="290"/>
        </w:trPr>
        <w:tc>
          <w:tcPr>
            <w:tcW w:w="4126" w:type="dxa"/>
            <w:tcBorders>
              <w:top w:val="single" w:sz="4" w:space="0" w:color="auto"/>
              <w:left w:val="nil"/>
              <w:bottom w:val="single" w:sz="4" w:space="0" w:color="auto"/>
              <w:right w:val="nil"/>
            </w:tcBorders>
            <w:shd w:val="clear" w:color="auto" w:fill="002395"/>
            <w:noWrap/>
            <w:tcMar>
              <w:top w:w="15" w:type="dxa"/>
              <w:left w:w="15" w:type="dxa"/>
              <w:bottom w:w="0" w:type="dxa"/>
              <w:right w:w="15" w:type="dxa"/>
            </w:tcMar>
            <w:vAlign w:val="center"/>
            <w:hideMark/>
          </w:tcPr>
          <w:p w:rsidR="00EA45F9" w:rsidRPr="009B5734" w:rsidRDefault="00EA45F9" w:rsidP="00981615">
            <w:pPr>
              <w:spacing w:line="276" w:lineRule="auto"/>
              <w:ind w:left="113" w:firstLine="0"/>
              <w:jc w:val="left"/>
              <w:rPr>
                <w:rFonts w:ascii="Times New Roman" w:eastAsia="Calibri" w:hAnsi="Times New Roman" w:cs="Times New Roman"/>
                <w:b/>
                <w:noProof/>
                <w:color w:val="FFFFFF"/>
                <w:sz w:val="24"/>
                <w:szCs w:val="24"/>
              </w:rPr>
            </w:pPr>
            <w:r w:rsidRPr="005D24D2">
              <w:rPr>
                <w:rFonts w:ascii="Times New Roman" w:eastAsia="Calibri" w:hAnsi="Times New Roman" w:cs="Times New Roman"/>
                <w:b/>
                <w:bCs/>
                <w:noProof/>
                <w:color w:val="FFFFFF"/>
                <w:sz w:val="24"/>
                <w:szCs w:val="24"/>
              </w:rPr>
              <w:t>Product category</w:t>
            </w:r>
          </w:p>
        </w:tc>
        <w:tc>
          <w:tcPr>
            <w:tcW w:w="2472" w:type="dxa"/>
            <w:gridSpan w:val="2"/>
            <w:tcBorders>
              <w:top w:val="single" w:sz="4" w:space="0" w:color="auto"/>
              <w:left w:val="nil"/>
              <w:bottom w:val="single" w:sz="4" w:space="0" w:color="auto"/>
              <w:right w:val="nil"/>
            </w:tcBorders>
            <w:shd w:val="clear" w:color="auto" w:fill="002395"/>
            <w:noWrap/>
            <w:tcMar>
              <w:top w:w="15" w:type="dxa"/>
              <w:left w:w="15" w:type="dxa"/>
              <w:bottom w:w="0" w:type="dxa"/>
              <w:right w:w="15" w:type="dxa"/>
            </w:tcMar>
            <w:vAlign w:val="center"/>
            <w:hideMark/>
          </w:tcPr>
          <w:p w:rsidR="00EA45F9" w:rsidRPr="009B5734" w:rsidRDefault="00EA45F9" w:rsidP="00981615">
            <w:pPr>
              <w:spacing w:line="276" w:lineRule="auto"/>
              <w:ind w:left="113" w:firstLine="0"/>
              <w:jc w:val="center"/>
              <w:rPr>
                <w:rFonts w:ascii="Times New Roman" w:eastAsia="Calibri" w:hAnsi="Times New Roman" w:cs="Times New Roman"/>
                <w:b/>
                <w:noProof/>
                <w:color w:val="FFFFFF"/>
                <w:sz w:val="24"/>
                <w:szCs w:val="24"/>
              </w:rPr>
            </w:pPr>
            <w:r w:rsidRPr="005D24D2">
              <w:rPr>
                <w:rFonts w:ascii="Times New Roman" w:eastAsia="Calibri" w:hAnsi="Times New Roman" w:cs="Times New Roman"/>
                <w:b/>
                <w:bCs/>
                <w:noProof/>
                <w:color w:val="FFFFFF"/>
                <w:sz w:val="24"/>
                <w:szCs w:val="24"/>
              </w:rPr>
              <w:t>Share of products that could be replaced by an alternative that would last at least one additional year</w:t>
            </w:r>
          </w:p>
        </w:tc>
        <w:tc>
          <w:tcPr>
            <w:tcW w:w="2473" w:type="dxa"/>
            <w:gridSpan w:val="2"/>
            <w:tcBorders>
              <w:top w:val="single" w:sz="4" w:space="0" w:color="auto"/>
              <w:left w:val="nil"/>
              <w:bottom w:val="single" w:sz="4" w:space="0" w:color="auto"/>
              <w:right w:val="nil"/>
            </w:tcBorders>
            <w:shd w:val="clear" w:color="auto" w:fill="002395"/>
            <w:noWrap/>
            <w:tcMar>
              <w:top w:w="15" w:type="dxa"/>
              <w:left w:w="15" w:type="dxa"/>
              <w:bottom w:w="0" w:type="dxa"/>
              <w:right w:w="15" w:type="dxa"/>
            </w:tcMar>
            <w:vAlign w:val="center"/>
            <w:hideMark/>
          </w:tcPr>
          <w:p w:rsidR="00EA45F9" w:rsidRPr="009B5734" w:rsidRDefault="00EA45F9" w:rsidP="00981615">
            <w:pPr>
              <w:spacing w:line="276" w:lineRule="auto"/>
              <w:ind w:left="113" w:firstLine="0"/>
              <w:jc w:val="center"/>
              <w:rPr>
                <w:rFonts w:ascii="Times New Roman" w:eastAsia="Calibri" w:hAnsi="Times New Roman" w:cs="Times New Roman"/>
                <w:b/>
                <w:noProof/>
                <w:color w:val="FFFFFF"/>
                <w:sz w:val="24"/>
                <w:szCs w:val="24"/>
              </w:rPr>
            </w:pPr>
            <w:r w:rsidRPr="005D24D2">
              <w:rPr>
                <w:rFonts w:ascii="Times New Roman" w:eastAsia="Calibri" w:hAnsi="Times New Roman" w:cs="Times New Roman"/>
                <w:b/>
                <w:bCs/>
                <w:noProof/>
                <w:color w:val="FFFFFF"/>
                <w:sz w:val="24"/>
                <w:szCs w:val="24"/>
              </w:rPr>
              <w:t xml:space="preserve">Consumer  losses </w:t>
            </w:r>
          </w:p>
          <w:p w:rsidR="00EA45F9" w:rsidRPr="009B5734" w:rsidRDefault="00EA45F9" w:rsidP="00981615">
            <w:pPr>
              <w:spacing w:line="276" w:lineRule="auto"/>
              <w:ind w:left="113" w:firstLine="0"/>
              <w:jc w:val="center"/>
              <w:rPr>
                <w:rFonts w:ascii="Times New Roman" w:eastAsia="Calibri" w:hAnsi="Times New Roman" w:cs="Times New Roman"/>
                <w:b/>
                <w:noProof/>
                <w:color w:val="FFFFFF"/>
                <w:sz w:val="24"/>
                <w:szCs w:val="24"/>
              </w:rPr>
            </w:pPr>
            <w:r w:rsidRPr="005D24D2">
              <w:rPr>
                <w:rFonts w:ascii="Times New Roman" w:eastAsia="Calibri" w:hAnsi="Times New Roman" w:cs="Times New Roman"/>
                <w:b/>
                <w:bCs/>
                <w:noProof/>
                <w:color w:val="FFFFFF"/>
                <w:sz w:val="24"/>
                <w:szCs w:val="24"/>
              </w:rPr>
              <w:t>(million euros – prices 2019)</w:t>
            </w:r>
          </w:p>
        </w:tc>
      </w:tr>
      <w:tr w:rsidR="00EA45F9" w:rsidRPr="009B5734" w:rsidTr="00C84A99">
        <w:trPr>
          <w:trHeight w:val="290"/>
        </w:trPr>
        <w:tc>
          <w:tcPr>
            <w:tcW w:w="4126"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center"/>
            <w:hideMark/>
          </w:tcPr>
          <w:p w:rsidR="00EA45F9" w:rsidRPr="009B5734" w:rsidRDefault="00EA45F9" w:rsidP="00981615">
            <w:pPr>
              <w:spacing w:line="276" w:lineRule="auto"/>
              <w:ind w:left="113" w:firstLine="0"/>
              <w:jc w:val="left"/>
              <w:rPr>
                <w:rFonts w:ascii="Times New Roman" w:eastAsia="Calibri" w:hAnsi="Times New Roman" w:cs="Times New Roman"/>
                <w:b/>
                <w:bCs/>
                <w:noProof/>
                <w:color w:val="000000"/>
                <w:sz w:val="24"/>
                <w:szCs w:val="24"/>
              </w:rPr>
            </w:pPr>
            <w:r w:rsidRPr="009B5734">
              <w:rPr>
                <w:rFonts w:ascii="Times New Roman" w:eastAsia="Calibri" w:hAnsi="Times New Roman" w:cs="Times New Roman"/>
                <w:b/>
                <w:bCs/>
                <w:noProof/>
                <w:color w:val="000000"/>
                <w:sz w:val="24"/>
                <w:szCs w:val="24"/>
              </w:rPr>
              <w:t>Large Household Appliances</w:t>
            </w:r>
          </w:p>
        </w:tc>
        <w:tc>
          <w:tcPr>
            <w:tcW w:w="2472"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2.7%</w:t>
            </w:r>
          </w:p>
        </w:tc>
        <w:tc>
          <w:tcPr>
            <w:tcW w:w="2473"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right="823" w:firstLine="0"/>
              <w:jc w:val="right"/>
              <w:rPr>
                <w:rFonts w:ascii="Times New Roman" w:eastAsia="Calibri" w:hAnsi="Times New Roman" w:cs="Times New Roman"/>
                <w:b/>
                <w:bCs/>
                <w:noProof/>
                <w:color w:val="000000"/>
                <w:sz w:val="24"/>
                <w:szCs w:val="24"/>
              </w:rPr>
            </w:pPr>
            <w:r w:rsidRPr="009B5734">
              <w:rPr>
                <w:rFonts w:ascii="Times New Roman" w:eastAsia="Calibri" w:hAnsi="Times New Roman" w:cs="Times New Roman"/>
                <w:b/>
                <w:bCs/>
                <w:noProof/>
                <w:color w:val="000000"/>
                <w:sz w:val="24"/>
                <w:szCs w:val="24"/>
              </w:rPr>
              <w:t>87</w:t>
            </w:r>
          </w:p>
        </w:tc>
      </w:tr>
      <w:tr w:rsidR="00EA45F9" w:rsidRPr="009B5734" w:rsidTr="00C84A99">
        <w:trPr>
          <w:trHeight w:val="290"/>
        </w:trPr>
        <w:tc>
          <w:tcPr>
            <w:tcW w:w="4126" w:type="dxa"/>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center"/>
            <w:hideMark/>
          </w:tcPr>
          <w:p w:rsidR="00EA45F9" w:rsidRPr="009B5734" w:rsidRDefault="00EA45F9" w:rsidP="00981615">
            <w:pPr>
              <w:spacing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Cookers and Ovens</w:t>
            </w:r>
          </w:p>
        </w:tc>
        <w:tc>
          <w:tcPr>
            <w:tcW w:w="2472"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2.7%</w:t>
            </w:r>
          </w:p>
        </w:tc>
        <w:tc>
          <w:tcPr>
            <w:tcW w:w="2473"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right="823" w:firstLine="0"/>
              <w:jc w:val="righ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23</w:t>
            </w:r>
          </w:p>
        </w:tc>
      </w:tr>
      <w:tr w:rsidR="00EA45F9" w:rsidRPr="009B5734" w:rsidTr="00C84A99">
        <w:trPr>
          <w:trHeight w:val="290"/>
        </w:trPr>
        <w:tc>
          <w:tcPr>
            <w:tcW w:w="4126" w:type="dxa"/>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center"/>
            <w:hideMark/>
          </w:tcPr>
          <w:p w:rsidR="00EA45F9" w:rsidRPr="009B5734" w:rsidRDefault="00EA45F9" w:rsidP="00981615">
            <w:pPr>
              <w:spacing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Dishwasher</w:t>
            </w:r>
          </w:p>
        </w:tc>
        <w:tc>
          <w:tcPr>
            <w:tcW w:w="2472"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2.9%</w:t>
            </w:r>
          </w:p>
        </w:tc>
        <w:tc>
          <w:tcPr>
            <w:tcW w:w="2473"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right="823" w:firstLine="0"/>
              <w:jc w:val="righ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15</w:t>
            </w:r>
          </w:p>
        </w:tc>
      </w:tr>
      <w:tr w:rsidR="00EA45F9" w:rsidRPr="009B5734" w:rsidTr="00C84A99">
        <w:trPr>
          <w:trHeight w:val="290"/>
        </w:trPr>
        <w:tc>
          <w:tcPr>
            <w:tcW w:w="4126" w:type="dxa"/>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center"/>
            <w:hideMark/>
          </w:tcPr>
          <w:p w:rsidR="00EA45F9" w:rsidRPr="009B5734" w:rsidRDefault="00EA45F9" w:rsidP="00981615">
            <w:pPr>
              <w:spacing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Microwaves</w:t>
            </w:r>
          </w:p>
        </w:tc>
        <w:tc>
          <w:tcPr>
            <w:tcW w:w="2472"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2.7%</w:t>
            </w:r>
          </w:p>
        </w:tc>
        <w:tc>
          <w:tcPr>
            <w:tcW w:w="2473"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right="823" w:firstLine="0"/>
              <w:jc w:val="righ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4</w:t>
            </w:r>
          </w:p>
        </w:tc>
      </w:tr>
      <w:tr w:rsidR="00EA45F9" w:rsidRPr="009B5734" w:rsidTr="00C84A99">
        <w:trPr>
          <w:trHeight w:val="290"/>
        </w:trPr>
        <w:tc>
          <w:tcPr>
            <w:tcW w:w="4126" w:type="dxa"/>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center"/>
            <w:hideMark/>
          </w:tcPr>
          <w:p w:rsidR="00EA45F9" w:rsidRPr="009B5734" w:rsidRDefault="00EA45F9" w:rsidP="00981615">
            <w:pPr>
              <w:spacing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Refrigerator</w:t>
            </w:r>
          </w:p>
        </w:tc>
        <w:tc>
          <w:tcPr>
            <w:tcW w:w="2472"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2.4%</w:t>
            </w:r>
          </w:p>
        </w:tc>
        <w:tc>
          <w:tcPr>
            <w:tcW w:w="2473"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right="823" w:firstLine="0"/>
              <w:jc w:val="righ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21</w:t>
            </w:r>
          </w:p>
        </w:tc>
      </w:tr>
      <w:tr w:rsidR="00EA45F9" w:rsidRPr="009B5734" w:rsidTr="00C84A99">
        <w:trPr>
          <w:trHeight w:val="290"/>
        </w:trPr>
        <w:tc>
          <w:tcPr>
            <w:tcW w:w="4126" w:type="dxa"/>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center"/>
            <w:hideMark/>
          </w:tcPr>
          <w:p w:rsidR="00EA45F9" w:rsidRPr="009B5734" w:rsidRDefault="00EA45F9" w:rsidP="00981615">
            <w:pPr>
              <w:spacing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Washing Machines</w:t>
            </w:r>
          </w:p>
        </w:tc>
        <w:tc>
          <w:tcPr>
            <w:tcW w:w="2472"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3.1%</w:t>
            </w:r>
          </w:p>
        </w:tc>
        <w:tc>
          <w:tcPr>
            <w:tcW w:w="2473"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right="823" w:firstLine="0"/>
              <w:jc w:val="righ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5</w:t>
            </w:r>
          </w:p>
        </w:tc>
      </w:tr>
      <w:tr w:rsidR="00EA45F9" w:rsidRPr="009B5734" w:rsidTr="00C84A99">
        <w:trPr>
          <w:trHeight w:val="290"/>
        </w:trPr>
        <w:tc>
          <w:tcPr>
            <w:tcW w:w="4126"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center"/>
            <w:hideMark/>
          </w:tcPr>
          <w:p w:rsidR="00EA45F9" w:rsidRPr="009B5734" w:rsidRDefault="00EA45F9" w:rsidP="00981615">
            <w:pPr>
              <w:spacing w:line="276" w:lineRule="auto"/>
              <w:ind w:left="113" w:firstLine="0"/>
              <w:jc w:val="left"/>
              <w:rPr>
                <w:rFonts w:ascii="Times New Roman" w:eastAsia="Calibri" w:hAnsi="Times New Roman" w:cs="Times New Roman"/>
                <w:b/>
                <w:bCs/>
                <w:noProof/>
                <w:color w:val="000000"/>
                <w:sz w:val="24"/>
                <w:szCs w:val="24"/>
              </w:rPr>
            </w:pPr>
            <w:r w:rsidRPr="009B5734">
              <w:rPr>
                <w:rFonts w:ascii="Times New Roman" w:eastAsia="Calibri" w:hAnsi="Times New Roman" w:cs="Times New Roman"/>
                <w:b/>
                <w:bCs/>
                <w:noProof/>
                <w:color w:val="000000"/>
                <w:sz w:val="24"/>
                <w:szCs w:val="24"/>
              </w:rPr>
              <w:t>Small Household Appliances</w:t>
            </w:r>
          </w:p>
        </w:tc>
        <w:tc>
          <w:tcPr>
            <w:tcW w:w="2472"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2.9%</w:t>
            </w:r>
          </w:p>
        </w:tc>
        <w:tc>
          <w:tcPr>
            <w:tcW w:w="2473"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right="823" w:firstLine="0"/>
              <w:jc w:val="right"/>
              <w:rPr>
                <w:rFonts w:ascii="Times New Roman" w:eastAsia="Calibri" w:hAnsi="Times New Roman" w:cs="Times New Roman"/>
                <w:b/>
                <w:bCs/>
                <w:noProof/>
                <w:color w:val="000000"/>
                <w:sz w:val="24"/>
                <w:szCs w:val="24"/>
              </w:rPr>
            </w:pPr>
            <w:r w:rsidRPr="009B5734">
              <w:rPr>
                <w:rFonts w:ascii="Times New Roman" w:eastAsia="Calibri" w:hAnsi="Times New Roman" w:cs="Times New Roman"/>
                <w:b/>
                <w:bCs/>
                <w:noProof/>
                <w:color w:val="000000"/>
                <w:sz w:val="24"/>
                <w:szCs w:val="24"/>
              </w:rPr>
              <w:t>102</w:t>
            </w:r>
          </w:p>
        </w:tc>
      </w:tr>
      <w:tr w:rsidR="00EA45F9" w:rsidRPr="009B5734" w:rsidTr="00C84A99">
        <w:trPr>
          <w:trHeight w:val="290"/>
        </w:trPr>
        <w:tc>
          <w:tcPr>
            <w:tcW w:w="4126" w:type="dxa"/>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center"/>
            <w:hideMark/>
          </w:tcPr>
          <w:p w:rsidR="00EA45F9" w:rsidRPr="009B5734" w:rsidRDefault="00EA45F9" w:rsidP="00981615">
            <w:pPr>
              <w:spacing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Vacuum cleaners</w:t>
            </w:r>
          </w:p>
        </w:tc>
        <w:tc>
          <w:tcPr>
            <w:tcW w:w="2472"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2.9%</w:t>
            </w:r>
          </w:p>
        </w:tc>
        <w:tc>
          <w:tcPr>
            <w:tcW w:w="2473"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right="823" w:firstLine="0"/>
              <w:jc w:val="righ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16</w:t>
            </w:r>
          </w:p>
        </w:tc>
      </w:tr>
      <w:tr w:rsidR="00EA45F9" w:rsidRPr="009B5734" w:rsidTr="00C84A99">
        <w:trPr>
          <w:trHeight w:val="290"/>
        </w:trPr>
        <w:tc>
          <w:tcPr>
            <w:tcW w:w="4126" w:type="dxa"/>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center"/>
            <w:hideMark/>
          </w:tcPr>
          <w:p w:rsidR="00EA45F9" w:rsidRPr="009B5734" w:rsidRDefault="00EA45F9" w:rsidP="00981615">
            <w:pPr>
              <w:spacing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Small Kitchen appliances</w:t>
            </w:r>
          </w:p>
        </w:tc>
        <w:tc>
          <w:tcPr>
            <w:tcW w:w="2472"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3.1%</w:t>
            </w:r>
          </w:p>
        </w:tc>
        <w:tc>
          <w:tcPr>
            <w:tcW w:w="2473"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right="823" w:firstLine="0"/>
              <w:jc w:val="righ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47</w:t>
            </w:r>
          </w:p>
        </w:tc>
      </w:tr>
      <w:tr w:rsidR="00EA45F9" w:rsidRPr="009B5734" w:rsidTr="00C84A99">
        <w:trPr>
          <w:trHeight w:val="290"/>
        </w:trPr>
        <w:tc>
          <w:tcPr>
            <w:tcW w:w="4126" w:type="dxa"/>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center"/>
            <w:hideMark/>
          </w:tcPr>
          <w:p w:rsidR="00EA45F9" w:rsidRPr="009B5734" w:rsidRDefault="00EA45F9" w:rsidP="00981615">
            <w:pPr>
              <w:spacing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Irons</w:t>
            </w:r>
          </w:p>
        </w:tc>
        <w:tc>
          <w:tcPr>
            <w:tcW w:w="2472"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3.1%</w:t>
            </w:r>
          </w:p>
        </w:tc>
        <w:tc>
          <w:tcPr>
            <w:tcW w:w="2473"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right="823" w:firstLine="0"/>
              <w:jc w:val="righ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3</w:t>
            </w:r>
          </w:p>
        </w:tc>
      </w:tr>
      <w:tr w:rsidR="00EA45F9" w:rsidRPr="009B5734" w:rsidTr="00C84A99">
        <w:trPr>
          <w:trHeight w:val="290"/>
        </w:trPr>
        <w:tc>
          <w:tcPr>
            <w:tcW w:w="4126" w:type="dxa"/>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center"/>
            <w:hideMark/>
          </w:tcPr>
          <w:p w:rsidR="00EA45F9" w:rsidRPr="009B5734" w:rsidRDefault="00EA45F9" w:rsidP="00981615">
            <w:pPr>
              <w:spacing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Hair clippers</w:t>
            </w:r>
          </w:p>
        </w:tc>
        <w:tc>
          <w:tcPr>
            <w:tcW w:w="2472"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2.9%</w:t>
            </w:r>
          </w:p>
        </w:tc>
        <w:tc>
          <w:tcPr>
            <w:tcW w:w="2473"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right="823" w:firstLine="0"/>
              <w:jc w:val="righ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5</w:t>
            </w:r>
          </w:p>
        </w:tc>
      </w:tr>
      <w:tr w:rsidR="00EA45F9" w:rsidRPr="009B5734" w:rsidTr="00C84A99">
        <w:trPr>
          <w:trHeight w:val="290"/>
        </w:trPr>
        <w:tc>
          <w:tcPr>
            <w:tcW w:w="4126" w:type="dxa"/>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center"/>
            <w:hideMark/>
          </w:tcPr>
          <w:p w:rsidR="00EA45F9" w:rsidRPr="009B5734" w:rsidRDefault="00EA45F9" w:rsidP="00981615">
            <w:pPr>
              <w:spacing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Hair dryers</w:t>
            </w:r>
          </w:p>
        </w:tc>
        <w:tc>
          <w:tcPr>
            <w:tcW w:w="2472"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2.9%</w:t>
            </w:r>
          </w:p>
        </w:tc>
        <w:tc>
          <w:tcPr>
            <w:tcW w:w="2473"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right="823" w:firstLine="0"/>
              <w:jc w:val="righ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3</w:t>
            </w:r>
          </w:p>
        </w:tc>
      </w:tr>
      <w:tr w:rsidR="00EA45F9" w:rsidRPr="009B5734" w:rsidTr="00C84A99">
        <w:trPr>
          <w:trHeight w:val="290"/>
        </w:trPr>
        <w:tc>
          <w:tcPr>
            <w:tcW w:w="4126" w:type="dxa"/>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center"/>
            <w:hideMark/>
          </w:tcPr>
          <w:p w:rsidR="00EA45F9" w:rsidRPr="009B5734" w:rsidRDefault="00EA45F9" w:rsidP="00981615">
            <w:pPr>
              <w:spacing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Electric Kettles</w:t>
            </w:r>
          </w:p>
        </w:tc>
        <w:tc>
          <w:tcPr>
            <w:tcW w:w="2472"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2.9%</w:t>
            </w:r>
          </w:p>
        </w:tc>
        <w:tc>
          <w:tcPr>
            <w:tcW w:w="2473"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right="823" w:firstLine="0"/>
              <w:jc w:val="righ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2</w:t>
            </w:r>
          </w:p>
        </w:tc>
      </w:tr>
      <w:tr w:rsidR="00EA45F9" w:rsidRPr="009B5734" w:rsidTr="00C84A99">
        <w:trPr>
          <w:trHeight w:val="290"/>
        </w:trPr>
        <w:tc>
          <w:tcPr>
            <w:tcW w:w="4126" w:type="dxa"/>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center"/>
            <w:hideMark/>
          </w:tcPr>
          <w:p w:rsidR="00EA45F9" w:rsidRPr="009B5734" w:rsidRDefault="00EA45F9" w:rsidP="00981615">
            <w:pPr>
              <w:spacing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Coffee Machines</w:t>
            </w:r>
          </w:p>
        </w:tc>
        <w:tc>
          <w:tcPr>
            <w:tcW w:w="2472"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2.9%</w:t>
            </w:r>
          </w:p>
        </w:tc>
        <w:tc>
          <w:tcPr>
            <w:tcW w:w="2473"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right="823" w:firstLine="0"/>
              <w:jc w:val="righ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18</w:t>
            </w:r>
          </w:p>
        </w:tc>
      </w:tr>
      <w:tr w:rsidR="00EA45F9" w:rsidRPr="009B5734" w:rsidTr="00C84A99">
        <w:trPr>
          <w:trHeight w:val="290"/>
        </w:trPr>
        <w:tc>
          <w:tcPr>
            <w:tcW w:w="4126"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center"/>
            <w:hideMark/>
          </w:tcPr>
          <w:p w:rsidR="00EA45F9" w:rsidRPr="009B5734" w:rsidRDefault="00EA45F9" w:rsidP="00981615">
            <w:pPr>
              <w:spacing w:line="276" w:lineRule="auto"/>
              <w:ind w:left="113" w:firstLine="0"/>
              <w:jc w:val="left"/>
              <w:rPr>
                <w:rFonts w:ascii="Times New Roman" w:eastAsia="Calibri" w:hAnsi="Times New Roman" w:cs="Times New Roman"/>
                <w:b/>
                <w:bCs/>
                <w:noProof/>
                <w:color w:val="000000"/>
                <w:sz w:val="24"/>
                <w:szCs w:val="24"/>
              </w:rPr>
            </w:pPr>
            <w:r w:rsidRPr="009B5734">
              <w:rPr>
                <w:rFonts w:ascii="Times New Roman" w:eastAsia="Calibri" w:hAnsi="Times New Roman" w:cs="Times New Roman"/>
                <w:b/>
                <w:bCs/>
                <w:noProof/>
                <w:color w:val="000000"/>
                <w:sz w:val="24"/>
                <w:szCs w:val="24"/>
              </w:rPr>
              <w:t>Electronics and IT goods</w:t>
            </w:r>
          </w:p>
        </w:tc>
        <w:tc>
          <w:tcPr>
            <w:tcW w:w="2472"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2.9%</w:t>
            </w:r>
          </w:p>
        </w:tc>
        <w:tc>
          <w:tcPr>
            <w:tcW w:w="2473"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right="823" w:firstLine="0"/>
              <w:jc w:val="right"/>
              <w:rPr>
                <w:rFonts w:ascii="Times New Roman" w:eastAsia="Calibri" w:hAnsi="Times New Roman" w:cs="Times New Roman"/>
                <w:b/>
                <w:bCs/>
                <w:noProof/>
                <w:color w:val="000000"/>
                <w:sz w:val="24"/>
                <w:szCs w:val="24"/>
              </w:rPr>
            </w:pPr>
            <w:r w:rsidRPr="009B5734">
              <w:rPr>
                <w:rFonts w:ascii="Times New Roman" w:eastAsia="Calibri" w:hAnsi="Times New Roman" w:cs="Times New Roman"/>
                <w:b/>
                <w:bCs/>
                <w:noProof/>
                <w:color w:val="000000"/>
                <w:sz w:val="24"/>
                <w:szCs w:val="24"/>
              </w:rPr>
              <w:t>787</w:t>
            </w:r>
          </w:p>
        </w:tc>
      </w:tr>
      <w:tr w:rsidR="00EA45F9" w:rsidRPr="009B5734" w:rsidTr="00C84A99">
        <w:trPr>
          <w:trHeight w:val="290"/>
        </w:trPr>
        <w:tc>
          <w:tcPr>
            <w:tcW w:w="4126" w:type="dxa"/>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center"/>
            <w:hideMark/>
          </w:tcPr>
          <w:p w:rsidR="00EA45F9" w:rsidRPr="009B5734" w:rsidRDefault="00EA45F9" w:rsidP="00981615">
            <w:pPr>
              <w:spacing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Laptops and tablets</w:t>
            </w:r>
          </w:p>
        </w:tc>
        <w:tc>
          <w:tcPr>
            <w:tcW w:w="2472"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3.4%</w:t>
            </w:r>
          </w:p>
        </w:tc>
        <w:tc>
          <w:tcPr>
            <w:tcW w:w="2473"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right="823" w:firstLine="0"/>
              <w:jc w:val="righ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154</w:t>
            </w:r>
          </w:p>
        </w:tc>
      </w:tr>
      <w:tr w:rsidR="00EA45F9" w:rsidRPr="009B5734" w:rsidTr="00C84A99">
        <w:trPr>
          <w:trHeight w:val="290"/>
        </w:trPr>
        <w:tc>
          <w:tcPr>
            <w:tcW w:w="4126" w:type="dxa"/>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center"/>
            <w:hideMark/>
          </w:tcPr>
          <w:p w:rsidR="00EA45F9" w:rsidRPr="009B5734" w:rsidRDefault="00EA45F9" w:rsidP="00981615">
            <w:pPr>
              <w:spacing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TVs</w:t>
            </w:r>
          </w:p>
        </w:tc>
        <w:tc>
          <w:tcPr>
            <w:tcW w:w="2472"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2.7%</w:t>
            </w:r>
          </w:p>
        </w:tc>
        <w:tc>
          <w:tcPr>
            <w:tcW w:w="2473"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right="823" w:firstLine="0"/>
              <w:jc w:val="righ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76</w:t>
            </w:r>
          </w:p>
        </w:tc>
      </w:tr>
      <w:tr w:rsidR="00EA45F9" w:rsidRPr="009B5734" w:rsidTr="00C84A99">
        <w:trPr>
          <w:trHeight w:val="290"/>
        </w:trPr>
        <w:tc>
          <w:tcPr>
            <w:tcW w:w="4126" w:type="dxa"/>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center"/>
            <w:hideMark/>
          </w:tcPr>
          <w:p w:rsidR="00EA45F9" w:rsidRPr="009B5734" w:rsidRDefault="00EA45F9" w:rsidP="00981615">
            <w:pPr>
              <w:spacing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Mobile phones</w:t>
            </w:r>
          </w:p>
        </w:tc>
        <w:tc>
          <w:tcPr>
            <w:tcW w:w="2472"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2.5%</w:t>
            </w:r>
          </w:p>
        </w:tc>
        <w:tc>
          <w:tcPr>
            <w:tcW w:w="2473"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right="823" w:firstLine="0"/>
              <w:jc w:val="righ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411</w:t>
            </w:r>
          </w:p>
        </w:tc>
      </w:tr>
      <w:tr w:rsidR="00EA45F9" w:rsidRPr="009B5734" w:rsidTr="00C84A99">
        <w:trPr>
          <w:trHeight w:val="290"/>
        </w:trPr>
        <w:tc>
          <w:tcPr>
            <w:tcW w:w="4126" w:type="dxa"/>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center"/>
            <w:hideMark/>
          </w:tcPr>
          <w:p w:rsidR="00EA45F9" w:rsidRPr="009B5734" w:rsidRDefault="00EA45F9" w:rsidP="00981615">
            <w:pPr>
              <w:spacing w:line="276" w:lineRule="auto"/>
              <w:ind w:left="113" w:firstLine="0"/>
              <w:jc w:val="left"/>
              <w:rPr>
                <w:rFonts w:ascii="Times New Roman" w:eastAsia="Calibri" w:hAnsi="Times New Roman" w:cs="Times New Roman"/>
                <w:b/>
                <w:bCs/>
                <w:noProof/>
                <w:color w:val="000000"/>
                <w:sz w:val="24"/>
                <w:szCs w:val="24"/>
              </w:rPr>
            </w:pPr>
            <w:r w:rsidRPr="009B5734">
              <w:rPr>
                <w:rFonts w:ascii="Times New Roman" w:eastAsia="Calibri" w:hAnsi="Times New Roman" w:cs="Times New Roman"/>
                <w:b/>
                <w:bCs/>
                <w:noProof/>
                <w:color w:val="000000"/>
                <w:sz w:val="24"/>
                <w:szCs w:val="24"/>
              </w:rPr>
              <w:t>Furniture</w:t>
            </w:r>
          </w:p>
        </w:tc>
        <w:tc>
          <w:tcPr>
            <w:tcW w:w="2472"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p>
        </w:tc>
        <w:tc>
          <w:tcPr>
            <w:tcW w:w="2473"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right="823" w:firstLine="0"/>
              <w:jc w:val="right"/>
              <w:rPr>
                <w:rFonts w:ascii="Times New Roman" w:eastAsia="Calibri" w:hAnsi="Times New Roman" w:cs="Times New Roman"/>
                <w:b/>
                <w:bCs/>
                <w:noProof/>
                <w:color w:val="000000"/>
                <w:sz w:val="24"/>
                <w:szCs w:val="24"/>
              </w:rPr>
            </w:pPr>
            <w:r w:rsidRPr="009B5734">
              <w:rPr>
                <w:rFonts w:ascii="Times New Roman" w:eastAsia="Calibri" w:hAnsi="Times New Roman" w:cs="Times New Roman"/>
                <w:b/>
                <w:bCs/>
                <w:noProof/>
                <w:color w:val="000000"/>
                <w:sz w:val="24"/>
                <w:szCs w:val="24"/>
              </w:rPr>
              <w:t>-</w:t>
            </w:r>
          </w:p>
        </w:tc>
      </w:tr>
      <w:tr w:rsidR="00EA45F9" w:rsidRPr="009B5734" w:rsidTr="00C84A99">
        <w:trPr>
          <w:trHeight w:val="290"/>
        </w:trPr>
        <w:tc>
          <w:tcPr>
            <w:tcW w:w="4126" w:type="dxa"/>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center"/>
            <w:hideMark/>
          </w:tcPr>
          <w:p w:rsidR="00EA45F9" w:rsidRPr="009B5734" w:rsidRDefault="00EA45F9" w:rsidP="00981615">
            <w:pPr>
              <w:spacing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Sofas and Seats</w:t>
            </w:r>
          </w:p>
        </w:tc>
        <w:tc>
          <w:tcPr>
            <w:tcW w:w="2472"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3.4%</w:t>
            </w:r>
          </w:p>
        </w:tc>
        <w:tc>
          <w:tcPr>
            <w:tcW w:w="2473"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right="823" w:firstLine="0"/>
              <w:jc w:val="righ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90</w:t>
            </w:r>
          </w:p>
        </w:tc>
      </w:tr>
      <w:tr w:rsidR="00EA45F9" w:rsidRPr="009B5734" w:rsidTr="00C84A99">
        <w:trPr>
          <w:trHeight w:val="290"/>
        </w:trPr>
        <w:tc>
          <w:tcPr>
            <w:tcW w:w="4126" w:type="dxa"/>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center"/>
            <w:hideMark/>
          </w:tcPr>
          <w:p w:rsidR="00EA45F9" w:rsidRPr="009B5734" w:rsidRDefault="00EA45F9" w:rsidP="00981615">
            <w:pPr>
              <w:spacing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Mattresses</w:t>
            </w:r>
          </w:p>
        </w:tc>
        <w:tc>
          <w:tcPr>
            <w:tcW w:w="2472"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3.4%</w:t>
            </w:r>
          </w:p>
        </w:tc>
        <w:tc>
          <w:tcPr>
            <w:tcW w:w="2473"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line="276" w:lineRule="auto"/>
              <w:ind w:left="113" w:right="823" w:firstLine="0"/>
              <w:jc w:val="righ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54</w:t>
            </w:r>
          </w:p>
        </w:tc>
      </w:tr>
      <w:tr w:rsidR="00EA45F9" w:rsidRPr="009B5734" w:rsidTr="00C84A99">
        <w:trPr>
          <w:trHeight w:val="290"/>
        </w:trPr>
        <w:tc>
          <w:tcPr>
            <w:tcW w:w="4535"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center"/>
            <w:hideMark/>
          </w:tcPr>
          <w:p w:rsidR="00EA45F9" w:rsidRPr="009B5734" w:rsidRDefault="00EA45F9" w:rsidP="00981615">
            <w:pPr>
              <w:spacing w:before="120" w:line="276" w:lineRule="auto"/>
              <w:ind w:left="113" w:firstLine="0"/>
              <w:jc w:val="left"/>
              <w:rPr>
                <w:rFonts w:ascii="Times New Roman" w:eastAsia="Calibri" w:hAnsi="Times New Roman" w:cs="Times New Roman"/>
                <w:b/>
                <w:bCs/>
                <w:noProof/>
                <w:color w:val="000000"/>
                <w:sz w:val="24"/>
                <w:szCs w:val="24"/>
              </w:rPr>
            </w:pPr>
            <w:r w:rsidRPr="009B5734">
              <w:rPr>
                <w:rFonts w:ascii="Times New Roman" w:eastAsia="Calibri" w:hAnsi="Times New Roman" w:cs="Times New Roman"/>
                <w:b/>
                <w:bCs/>
                <w:noProof/>
                <w:color w:val="000000"/>
                <w:sz w:val="24"/>
                <w:szCs w:val="24"/>
              </w:rPr>
              <w:t>Total</w:t>
            </w:r>
          </w:p>
        </w:tc>
        <w:tc>
          <w:tcPr>
            <w:tcW w:w="2143" w:type="dxa"/>
            <w:gridSpan w:val="2"/>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center"/>
            <w:hideMark/>
          </w:tcPr>
          <w:p w:rsidR="00EA45F9" w:rsidRPr="009B5734" w:rsidRDefault="00EA45F9" w:rsidP="00981615">
            <w:pPr>
              <w:spacing w:after="160" w:line="259" w:lineRule="auto"/>
              <w:ind w:left="0" w:firstLine="0"/>
              <w:jc w:val="left"/>
              <w:rPr>
                <w:rFonts w:ascii="Times New Roman" w:eastAsia="Calibri" w:hAnsi="Times New Roman" w:cs="Times New Roman"/>
                <w:b/>
                <w:bCs/>
                <w:noProof/>
                <w:sz w:val="24"/>
                <w:szCs w:val="24"/>
              </w:rPr>
            </w:pPr>
          </w:p>
        </w:tc>
        <w:tc>
          <w:tcPr>
            <w:tcW w:w="2393" w:type="dxa"/>
            <w:tcBorders>
              <w:top w:val="single" w:sz="4" w:space="0" w:color="auto"/>
              <w:left w:val="nil"/>
              <w:bottom w:val="single" w:sz="4" w:space="0" w:color="auto"/>
              <w:right w:val="nil"/>
            </w:tcBorders>
            <w:shd w:val="clear" w:color="auto" w:fill="F2F2F2" w:themeFill="background1" w:themeFillShade="F2"/>
            <w:vAlign w:val="center"/>
            <w:hideMark/>
          </w:tcPr>
          <w:p w:rsidR="00EA45F9" w:rsidRPr="009B5734" w:rsidRDefault="00EA45F9" w:rsidP="00981615">
            <w:pPr>
              <w:spacing w:before="120" w:line="276" w:lineRule="auto"/>
              <w:ind w:left="113" w:right="823" w:firstLine="0"/>
              <w:jc w:val="right"/>
              <w:rPr>
                <w:rFonts w:ascii="Times New Roman" w:eastAsia="Calibri" w:hAnsi="Times New Roman" w:cs="Times New Roman"/>
                <w:b/>
                <w:bCs/>
                <w:noProof/>
                <w:color w:val="000000"/>
                <w:sz w:val="24"/>
                <w:szCs w:val="24"/>
              </w:rPr>
            </w:pPr>
            <w:r w:rsidRPr="009B5734">
              <w:rPr>
                <w:rFonts w:ascii="Times New Roman" w:eastAsia="Calibri" w:hAnsi="Times New Roman" w:cs="Times New Roman"/>
                <w:b/>
                <w:bCs/>
                <w:noProof/>
                <w:color w:val="000000"/>
                <w:sz w:val="24"/>
                <w:szCs w:val="24"/>
              </w:rPr>
              <w:t>1,119</w:t>
            </w:r>
          </w:p>
        </w:tc>
      </w:tr>
    </w:tbl>
    <w:p w:rsidR="00EA45F9" w:rsidRPr="009B5734" w:rsidRDefault="00EA45F9" w:rsidP="00EA45F9">
      <w:pPr>
        <w:spacing w:after="240"/>
        <w:ind w:left="0"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Source: ICF calculations based on evidence from various sources</w:t>
      </w:r>
    </w:p>
    <w:p w:rsidR="00EA45F9" w:rsidRPr="009B5734" w:rsidRDefault="00EA45F9" w:rsidP="00EA45F9">
      <w:pPr>
        <w:spacing w:after="160" w:line="259" w:lineRule="auto"/>
        <w:ind w:left="0" w:firstLine="0"/>
        <w:jc w:val="left"/>
        <w:rPr>
          <w:rFonts w:ascii="Times New Roman" w:eastAsia="Calibri" w:hAnsi="Times New Roman" w:cs="Times New Roman"/>
          <w:i/>
          <w:iCs/>
          <w:noProof/>
          <w:color w:val="5B9BD5"/>
          <w:sz w:val="24"/>
          <w:szCs w:val="24"/>
        </w:rPr>
      </w:pPr>
      <w:r w:rsidRPr="009B5734">
        <w:rPr>
          <w:rFonts w:ascii="Times New Roman" w:eastAsia="Calibri" w:hAnsi="Times New Roman" w:cs="Times New Roman"/>
          <w:i/>
          <w:iCs/>
          <w:noProof/>
          <w:color w:val="5B9BD5"/>
          <w:sz w:val="24"/>
          <w:szCs w:val="24"/>
        </w:rPr>
        <w:t>Consequences for the Environment</w:t>
      </w:r>
    </w:p>
    <w:p w:rsidR="00EA45F9" w:rsidRPr="009B5734" w:rsidRDefault="00EA45F9" w:rsidP="00EA45F9">
      <w:pPr>
        <w:spacing w:after="160" w:line="259" w:lineRule="auto"/>
        <w:ind w:left="0" w:firstLine="0"/>
        <w:rPr>
          <w:rFonts w:ascii="Times New Roman" w:eastAsia="Calibri" w:hAnsi="Times New Roman" w:cs="Times New Roman"/>
          <w:noProof/>
          <w:color w:val="000000"/>
          <w:sz w:val="24"/>
          <w:szCs w:val="24"/>
        </w:rPr>
      </w:pPr>
      <w:r w:rsidRPr="009B5734">
        <w:rPr>
          <w:rFonts w:ascii="Times New Roman" w:eastAsia="Calibri" w:hAnsi="Times New Roman" w:cs="Times New Roman"/>
          <w:noProof/>
          <w:sz w:val="24"/>
          <w:szCs w:val="24"/>
        </w:rPr>
        <w:t>While it is not expected that all goods are only replaced at the end of their lives (as for example, fashion and other factors also play a role in the decision to replace a good), there is evidence that a significant share of consumers will keep goods for a long time. For example, the results of the Eurobarometer 503 show that the main reasons that led respondents to replace their digital devices were that the device broke (38%), the performance of the device had significantly deteriorated (30%) and certain applications or software stopped working on the device (18%).</w:t>
      </w:r>
      <w:r w:rsidRPr="009B5734">
        <w:rPr>
          <w:rFonts w:ascii="Times New Roman" w:eastAsia="Calibri" w:hAnsi="Times New Roman" w:cs="Times New Roman"/>
          <w:noProof/>
          <w:sz w:val="24"/>
          <w:szCs w:val="24"/>
          <w:vertAlign w:val="superscript"/>
        </w:rPr>
        <w:footnoteReference w:id="197"/>
      </w:r>
    </w:p>
    <w:p w:rsidR="00EA45F9" w:rsidRPr="009B5734" w:rsidRDefault="00EA45F9" w:rsidP="00EA45F9">
      <w:pPr>
        <w:spacing w:after="160" w:line="259" w:lineRule="auto"/>
        <w:ind w:left="0" w:firstLine="0"/>
        <w:rPr>
          <w:rFonts w:ascii="Times New Roman" w:eastAsia="Calibri" w:hAnsi="Times New Roman" w:cs="Times New Roman"/>
          <w:noProof/>
          <w:sz w:val="24"/>
          <w:szCs w:val="24"/>
        </w:rPr>
      </w:pPr>
      <w:r w:rsidRPr="009B5734">
        <w:rPr>
          <w:rFonts w:ascii="Times New Roman" w:eastAsia="Calibri" w:hAnsi="Times New Roman" w:cs="Times New Roman"/>
          <w:noProof/>
          <w:sz w:val="24"/>
          <w:szCs w:val="24"/>
        </w:rPr>
        <w:t>Increasing the market share of products with a longer lifespan is generally</w:t>
      </w:r>
      <w:r w:rsidRPr="009B5734">
        <w:rPr>
          <w:rFonts w:ascii="Times New Roman" w:eastAsia="Calibri" w:hAnsi="Times New Roman" w:cs="Times New Roman"/>
          <w:noProof/>
          <w:sz w:val="24"/>
          <w:szCs w:val="24"/>
          <w:vertAlign w:val="superscript"/>
        </w:rPr>
        <w:footnoteReference w:id="198"/>
      </w:r>
      <w:r w:rsidRPr="009B5734">
        <w:rPr>
          <w:rFonts w:ascii="Times New Roman" w:eastAsia="Calibri" w:hAnsi="Times New Roman" w:cs="Times New Roman"/>
          <w:noProof/>
          <w:sz w:val="24"/>
          <w:szCs w:val="24"/>
          <w:vertAlign w:val="superscript"/>
        </w:rPr>
        <w:t>,</w:t>
      </w:r>
      <w:r w:rsidRPr="009B5734">
        <w:rPr>
          <w:rFonts w:ascii="Times New Roman" w:eastAsia="Calibri" w:hAnsi="Times New Roman" w:cs="Times New Roman"/>
          <w:noProof/>
          <w:sz w:val="24"/>
          <w:szCs w:val="24"/>
          <w:vertAlign w:val="superscript"/>
        </w:rPr>
        <w:footnoteReference w:id="199"/>
      </w:r>
      <w:r w:rsidRPr="009B5734">
        <w:rPr>
          <w:rFonts w:ascii="Times New Roman" w:eastAsia="Calibri" w:hAnsi="Times New Roman" w:cs="Times New Roman"/>
          <w:noProof/>
          <w:sz w:val="24"/>
          <w:szCs w:val="24"/>
        </w:rPr>
        <w:t xml:space="preserve"> expected to contribute to a reduction of resource depletion, waste, emissions and other environmental costs associated with the production, distribution and disposal life</w:t>
      </w:r>
      <w:r w:rsidRPr="009B5734">
        <w:rPr>
          <w:rFonts w:ascii="Times New Roman" w:eastAsia="Calibri" w:hAnsi="Times New Roman" w:cs="Times New Roman"/>
          <w:noProof/>
          <w:sz w:val="24"/>
          <w:szCs w:val="24"/>
        </w:rPr>
        <w:noBreakHyphen/>
        <w:t>cycle stages</w:t>
      </w:r>
      <w:r w:rsidRPr="009B5734">
        <w:rPr>
          <w:rFonts w:ascii="Times New Roman" w:eastAsia="Calibri" w:hAnsi="Times New Roman" w:cs="Times New Roman"/>
          <w:noProof/>
          <w:sz w:val="24"/>
          <w:szCs w:val="24"/>
          <w:vertAlign w:val="superscript"/>
        </w:rPr>
        <w:footnoteReference w:id="200"/>
      </w:r>
      <w:r w:rsidRPr="009B5734">
        <w:rPr>
          <w:rFonts w:ascii="Times New Roman" w:eastAsia="Calibri" w:hAnsi="Times New Roman" w:cs="Times New Roman"/>
          <w:noProof/>
          <w:sz w:val="24"/>
          <w:szCs w:val="24"/>
          <w:vertAlign w:val="superscript"/>
        </w:rPr>
        <w:t>,</w:t>
      </w:r>
      <w:r w:rsidRPr="009B5734">
        <w:rPr>
          <w:rFonts w:ascii="Times New Roman" w:eastAsia="Calibri" w:hAnsi="Times New Roman" w:cs="Times New Roman"/>
          <w:noProof/>
          <w:sz w:val="24"/>
          <w:szCs w:val="24"/>
          <w:vertAlign w:val="superscript"/>
        </w:rPr>
        <w:footnoteReference w:id="201"/>
      </w:r>
      <w:r w:rsidRPr="009B5734">
        <w:rPr>
          <w:rFonts w:ascii="Times New Roman" w:eastAsia="Calibri" w:hAnsi="Times New Roman" w:cs="Times New Roman"/>
          <w:noProof/>
          <w:sz w:val="24"/>
          <w:szCs w:val="24"/>
          <w:vertAlign w:val="superscript"/>
        </w:rPr>
        <w:t>,</w:t>
      </w:r>
      <w:r w:rsidRPr="009B5734">
        <w:rPr>
          <w:rFonts w:ascii="Times New Roman" w:eastAsia="Calibri" w:hAnsi="Times New Roman" w:cs="Times New Roman"/>
          <w:noProof/>
          <w:sz w:val="24"/>
          <w:szCs w:val="24"/>
          <w:vertAlign w:val="superscript"/>
        </w:rPr>
        <w:footnoteReference w:id="202"/>
      </w:r>
      <w:r w:rsidRPr="009B5734">
        <w:rPr>
          <w:rFonts w:ascii="Times New Roman" w:eastAsia="Calibri" w:hAnsi="Times New Roman" w:cs="Times New Roman"/>
          <w:noProof/>
          <w:sz w:val="24"/>
          <w:szCs w:val="24"/>
          <w:vertAlign w:val="superscript"/>
        </w:rPr>
        <w:t>,</w:t>
      </w:r>
      <w:r w:rsidRPr="009B5734">
        <w:rPr>
          <w:rFonts w:ascii="Times New Roman" w:eastAsia="Calibri" w:hAnsi="Times New Roman" w:cs="Times New Roman"/>
          <w:noProof/>
          <w:sz w:val="24"/>
          <w:szCs w:val="24"/>
          <w:vertAlign w:val="superscript"/>
        </w:rPr>
        <w:footnoteReference w:id="203"/>
      </w:r>
      <w:r w:rsidRPr="009B5734">
        <w:rPr>
          <w:rFonts w:ascii="Times New Roman" w:eastAsia="Calibri" w:hAnsi="Times New Roman" w:cs="Times New Roman"/>
          <w:noProof/>
          <w:sz w:val="24"/>
          <w:szCs w:val="24"/>
          <w:vertAlign w:val="superscript"/>
        </w:rPr>
        <w:t>,</w:t>
      </w:r>
      <w:r w:rsidRPr="009B5734">
        <w:rPr>
          <w:rFonts w:ascii="Times New Roman" w:eastAsia="Calibri" w:hAnsi="Times New Roman" w:cs="Times New Roman"/>
          <w:noProof/>
          <w:sz w:val="24"/>
          <w:szCs w:val="24"/>
          <w:vertAlign w:val="superscript"/>
        </w:rPr>
        <w:footnoteReference w:id="204"/>
      </w:r>
      <w:r w:rsidRPr="009B5734">
        <w:rPr>
          <w:rFonts w:ascii="Times New Roman" w:eastAsia="Calibri" w:hAnsi="Times New Roman" w:cs="Times New Roman"/>
          <w:noProof/>
          <w:sz w:val="24"/>
          <w:szCs w:val="24"/>
        </w:rPr>
        <w:t xml:space="preserve"> </w:t>
      </w:r>
    </w:p>
    <w:p w:rsidR="00EA45F9" w:rsidRPr="009B5734" w:rsidRDefault="00EA45F9" w:rsidP="00EA45F9">
      <w:pPr>
        <w:spacing w:after="160" w:line="259" w:lineRule="auto"/>
        <w:ind w:left="0" w:firstLine="0"/>
        <w:rPr>
          <w:rFonts w:ascii="Times New Roman" w:eastAsia="Calibri" w:hAnsi="Times New Roman" w:cs="Times New Roman"/>
          <w:noProof/>
          <w:sz w:val="24"/>
          <w:szCs w:val="24"/>
          <w:highlight w:val="yellow"/>
        </w:rPr>
      </w:pPr>
      <w:r w:rsidRPr="009B5734">
        <w:rPr>
          <w:rFonts w:ascii="Times New Roman" w:eastAsia="Calibri" w:hAnsi="Times New Roman" w:cs="Times New Roman"/>
          <w:noProof/>
          <w:sz w:val="24"/>
          <w:szCs w:val="24"/>
        </w:rPr>
        <w:t xml:space="preserve">The opportunity costs to the climate and environment today for not providing information on the lifespan are equal to the gains to the environment resulting from consumers buying products that would last longer if this information were to be available. </w:t>
      </w:r>
      <w:r w:rsidR="00164C6B">
        <w:rPr>
          <w:rFonts w:ascii="Times New Roman" w:eastAsia="Calibri" w:hAnsi="Times New Roman" w:cs="Times New Roman"/>
          <w:noProof/>
          <w:sz w:val="24"/>
          <w:szCs w:val="24"/>
        </w:rPr>
        <w:t>Table 5</w:t>
      </w:r>
      <w:r w:rsidRPr="009B5734">
        <w:rPr>
          <w:rFonts w:ascii="Times New Roman" w:eastAsia="Calibri" w:hAnsi="Times New Roman" w:cs="Times New Roman"/>
          <w:noProof/>
          <w:sz w:val="24"/>
          <w:szCs w:val="24"/>
        </w:rPr>
        <w:t xml:space="preserve"> shows the results of the assessed environmental impact per year following the approach described in the accompanying study.</w:t>
      </w:r>
    </w:p>
    <w:p w:rsidR="00EA45F9" w:rsidRPr="004931D3" w:rsidRDefault="00EA45F9">
      <w:pPr>
        <w:pStyle w:val="Heading5"/>
        <w:rPr>
          <w:rFonts w:ascii="Times New Roman" w:eastAsia="Times New Roman" w:hAnsi="Times New Roman" w:cs="Times New Roman"/>
          <w:b w:val="0"/>
          <w:i w:val="0"/>
          <w:noProof/>
          <w:sz w:val="24"/>
        </w:rPr>
      </w:pPr>
      <w:r w:rsidRPr="6B053803">
        <w:rPr>
          <w:rFonts w:ascii="Times New Roman" w:eastAsia="Times New Roman" w:hAnsi="Times New Roman" w:cs="Times New Roman"/>
          <w:b w:val="0"/>
          <w:i w:val="0"/>
          <w:noProof/>
          <w:sz w:val="24"/>
        </w:rPr>
        <w:t xml:space="preserve">Table 5: Possible environmental impacts of shifting demand towards products that would have a +1 year of lifespan (per year of </w:t>
      </w:r>
      <w:r w:rsidR="00D60C0B" w:rsidRPr="6B053803">
        <w:rPr>
          <w:rFonts w:ascii="Times New Roman" w:eastAsia="Times New Roman" w:hAnsi="Times New Roman" w:cs="Times New Roman"/>
          <w:b w:val="0"/>
          <w:i w:val="0"/>
          <w:noProof/>
          <w:sz w:val="24"/>
        </w:rPr>
        <w:t>lack of reliable information</w:t>
      </w:r>
      <w:r w:rsidRPr="6B053803">
        <w:rPr>
          <w:rFonts w:ascii="Times New Roman" w:eastAsia="Times New Roman" w:hAnsi="Times New Roman" w:cs="Times New Roman"/>
          <w:b w:val="0"/>
          <w:i w:val="0"/>
          <w:noProof/>
          <w:sz w:val="24"/>
        </w:rPr>
        <w:t>)</w:t>
      </w:r>
    </w:p>
    <w:tbl>
      <w:tblPr>
        <w:tblW w:w="5000" w:type="pct"/>
        <w:tblBorders>
          <w:top w:val="single" w:sz="4" w:space="0" w:color="auto"/>
          <w:bottom w:val="single" w:sz="4" w:space="0" w:color="auto"/>
          <w:insideH w:val="single" w:sz="4" w:space="0" w:color="auto"/>
        </w:tblBorders>
        <w:shd w:val="solid" w:color="F2F2F2" w:fill="F2F2F2"/>
        <w:tblCellMar>
          <w:left w:w="0" w:type="dxa"/>
          <w:right w:w="0" w:type="dxa"/>
        </w:tblCellMar>
        <w:tblLook w:val="04A0" w:firstRow="1" w:lastRow="0" w:firstColumn="1" w:lastColumn="0" w:noHBand="0" w:noVBand="1"/>
      </w:tblPr>
      <w:tblGrid>
        <w:gridCol w:w="3445"/>
        <w:gridCol w:w="5172"/>
      </w:tblGrid>
      <w:tr w:rsidR="00EA45F9" w:rsidRPr="009B5734" w:rsidTr="00C84A99">
        <w:tc>
          <w:tcPr>
            <w:tcW w:w="1999" w:type="pct"/>
            <w:tcBorders>
              <w:top w:val="single" w:sz="4" w:space="0" w:color="auto"/>
              <w:left w:val="nil"/>
              <w:bottom w:val="single" w:sz="4" w:space="0" w:color="auto"/>
              <w:right w:val="nil"/>
            </w:tcBorders>
            <w:shd w:val="clear" w:color="auto" w:fill="002395"/>
          </w:tcPr>
          <w:p w:rsidR="00EA45F9" w:rsidRPr="009B5734" w:rsidRDefault="00EA45F9" w:rsidP="00981615">
            <w:pPr>
              <w:spacing w:before="120" w:line="276" w:lineRule="auto"/>
              <w:ind w:left="113" w:firstLine="0"/>
              <w:jc w:val="left"/>
              <w:rPr>
                <w:rFonts w:ascii="Times New Roman" w:eastAsia="Calibri" w:hAnsi="Times New Roman" w:cs="Times New Roman"/>
                <w:b/>
                <w:noProof/>
                <w:color w:val="FFFFFF"/>
                <w:sz w:val="24"/>
                <w:szCs w:val="24"/>
              </w:rPr>
            </w:pPr>
          </w:p>
        </w:tc>
        <w:tc>
          <w:tcPr>
            <w:tcW w:w="3001" w:type="pct"/>
            <w:tcBorders>
              <w:top w:val="single" w:sz="4" w:space="0" w:color="auto"/>
              <w:left w:val="nil"/>
              <w:bottom w:val="single" w:sz="4" w:space="0" w:color="auto"/>
              <w:right w:val="nil"/>
            </w:tcBorders>
            <w:shd w:val="clear" w:color="auto" w:fill="002395"/>
            <w:vAlign w:val="center"/>
            <w:hideMark/>
          </w:tcPr>
          <w:p w:rsidR="00EA45F9" w:rsidRPr="009B5734" w:rsidRDefault="00EA45F9" w:rsidP="00981615">
            <w:pPr>
              <w:spacing w:before="120" w:line="276" w:lineRule="auto"/>
              <w:ind w:left="113" w:firstLine="0"/>
              <w:jc w:val="center"/>
              <w:rPr>
                <w:rFonts w:ascii="Times New Roman" w:eastAsia="Calibri" w:hAnsi="Times New Roman" w:cs="Times New Roman"/>
                <w:b/>
                <w:noProof/>
                <w:color w:val="FFFFFF"/>
                <w:sz w:val="24"/>
                <w:szCs w:val="24"/>
              </w:rPr>
            </w:pPr>
            <w:r w:rsidRPr="005D24D2">
              <w:rPr>
                <w:rFonts w:ascii="Times New Roman" w:eastAsia="Calibri" w:hAnsi="Times New Roman" w:cs="Times New Roman"/>
                <w:b/>
                <w:bCs/>
                <w:noProof/>
                <w:color w:val="FFFFFF"/>
                <w:sz w:val="24"/>
                <w:szCs w:val="24"/>
              </w:rPr>
              <w:t>Appliances, Electronics and ICT and other electronics, sofas and mattresses</w:t>
            </w:r>
          </w:p>
        </w:tc>
      </w:tr>
      <w:tr w:rsidR="00EA45F9" w:rsidRPr="009B5734" w:rsidTr="00C84A99">
        <w:tc>
          <w:tcPr>
            <w:tcW w:w="1999" w:type="pct"/>
            <w:tcBorders>
              <w:top w:val="single" w:sz="4" w:space="0" w:color="auto"/>
              <w:left w:val="nil"/>
              <w:bottom w:val="single" w:sz="4" w:space="0" w:color="auto"/>
              <w:right w:val="nil"/>
            </w:tcBorders>
            <w:shd w:val="clear" w:color="auto" w:fill="F2F2F2" w:themeFill="background1" w:themeFillShade="F2"/>
            <w:hideMark/>
          </w:tcPr>
          <w:p w:rsidR="00EA45F9" w:rsidRPr="009B5734" w:rsidRDefault="00EA45F9" w:rsidP="00981615">
            <w:pPr>
              <w:spacing w:before="120" w:line="276" w:lineRule="auto"/>
              <w:ind w:left="113" w:firstLine="0"/>
              <w:jc w:val="left"/>
              <w:rPr>
                <w:rFonts w:ascii="Times New Roman" w:hAnsi="Times New Roman"/>
                <w:noProof/>
                <w:color w:val="000000"/>
                <w:sz w:val="24"/>
              </w:rPr>
            </w:pPr>
            <w:r w:rsidRPr="009B5734">
              <w:rPr>
                <w:rFonts w:ascii="Times New Roman" w:hAnsi="Times New Roman"/>
                <w:noProof/>
                <w:color w:val="000000"/>
                <w:sz w:val="24"/>
              </w:rPr>
              <w:t>Climate Change (per year)</w:t>
            </w:r>
          </w:p>
          <w:p w:rsidR="00EA45F9" w:rsidRPr="009B5734" w:rsidRDefault="00EA45F9" w:rsidP="00981615">
            <w:pPr>
              <w:spacing w:before="120" w:line="276" w:lineRule="auto"/>
              <w:ind w:left="113" w:firstLine="0"/>
              <w:jc w:val="left"/>
              <w:rPr>
                <w:rFonts w:ascii="Times New Roman" w:hAnsi="Times New Roman"/>
                <w:noProof/>
                <w:color w:val="000000"/>
                <w:sz w:val="24"/>
              </w:rPr>
            </w:pPr>
            <w:r w:rsidRPr="00C97149">
              <w:rPr>
                <w:rFonts w:ascii="Times New Roman" w:hAnsi="Times New Roman"/>
                <w:noProof/>
                <w:color w:val="000000"/>
                <w:sz w:val="24"/>
                <w:szCs w:val="24"/>
              </w:rPr>
              <w:t>(MtCO2e per year; EUROS EUR 34 - 68</w:t>
            </w:r>
            <w:r w:rsidRPr="009B5734">
              <w:rPr>
                <w:rFonts w:ascii="Times New Roman" w:eastAsia="Calibri" w:hAnsi="Times New Roman" w:cs="Times New Roman"/>
                <w:noProof/>
                <w:color w:val="000000"/>
                <w:sz w:val="24"/>
                <w:szCs w:val="24"/>
                <w:vertAlign w:val="superscript"/>
              </w:rPr>
              <w:footnoteReference w:id="205"/>
            </w:r>
            <w:r w:rsidRPr="00C97149">
              <w:rPr>
                <w:rFonts w:ascii="Times New Roman" w:hAnsi="Times New Roman"/>
                <w:noProof/>
                <w:color w:val="000000"/>
                <w:sz w:val="24"/>
                <w:szCs w:val="24"/>
              </w:rPr>
              <w:t xml:space="preserve"> per tonne CO2e)</w:t>
            </w:r>
          </w:p>
        </w:tc>
        <w:tc>
          <w:tcPr>
            <w:tcW w:w="3001" w:type="pct"/>
            <w:tcBorders>
              <w:top w:val="single" w:sz="4" w:space="0" w:color="auto"/>
              <w:left w:val="nil"/>
              <w:bottom w:val="single" w:sz="4" w:space="0" w:color="auto"/>
              <w:right w:val="nil"/>
            </w:tcBorders>
            <w:shd w:val="clear" w:color="auto" w:fill="F2F2F2" w:themeFill="background1" w:themeFillShade="F2"/>
            <w:vAlign w:val="center"/>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1 MtCO2e</w:t>
            </w:r>
          </w:p>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EUR 34 million</w:t>
            </w:r>
          </w:p>
        </w:tc>
      </w:tr>
      <w:tr w:rsidR="00EA45F9" w:rsidRPr="009B5734" w:rsidTr="00C84A99">
        <w:tc>
          <w:tcPr>
            <w:tcW w:w="1999" w:type="pct"/>
            <w:tcBorders>
              <w:top w:val="single" w:sz="4" w:space="0" w:color="auto"/>
              <w:left w:val="nil"/>
              <w:bottom w:val="single" w:sz="4" w:space="0" w:color="auto"/>
              <w:right w:val="nil"/>
            </w:tcBorders>
            <w:shd w:val="clear" w:color="auto" w:fill="F2F2F2" w:themeFill="background1" w:themeFillShade="F2"/>
            <w:hideMark/>
          </w:tcPr>
          <w:p w:rsidR="00EA45F9" w:rsidRPr="009B5734" w:rsidRDefault="00EA45F9" w:rsidP="00981615">
            <w:pPr>
              <w:spacing w:before="120" w:line="276" w:lineRule="auto"/>
              <w:ind w:left="113" w:firstLine="0"/>
              <w:jc w:val="lef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Particulate matter (deaths per year; VSL per year - euros)</w:t>
            </w:r>
          </w:p>
        </w:tc>
        <w:tc>
          <w:tcPr>
            <w:tcW w:w="3001" w:type="pct"/>
            <w:tcBorders>
              <w:top w:val="single" w:sz="4" w:space="0" w:color="auto"/>
              <w:left w:val="nil"/>
              <w:bottom w:val="single" w:sz="4" w:space="0" w:color="auto"/>
              <w:right w:val="nil"/>
            </w:tcBorders>
            <w:shd w:val="clear" w:color="auto" w:fill="F2F2F2" w:themeFill="background1" w:themeFillShade="F2"/>
            <w:vAlign w:val="center"/>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27 deaths</w:t>
            </w:r>
          </w:p>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EUR 131 million</w:t>
            </w:r>
          </w:p>
        </w:tc>
      </w:tr>
      <w:tr w:rsidR="00EA45F9" w:rsidRPr="009B5734" w:rsidTr="00C84A99">
        <w:tc>
          <w:tcPr>
            <w:tcW w:w="1999" w:type="pct"/>
            <w:tcBorders>
              <w:top w:val="single" w:sz="4" w:space="0" w:color="auto"/>
              <w:left w:val="nil"/>
              <w:bottom w:val="single" w:sz="4" w:space="0" w:color="auto"/>
              <w:right w:val="nil"/>
            </w:tcBorders>
            <w:shd w:val="clear" w:color="auto" w:fill="F2F2F2" w:themeFill="background1" w:themeFillShade="F2"/>
            <w:hideMark/>
          </w:tcPr>
          <w:p w:rsidR="00EA45F9" w:rsidRPr="009B5734" w:rsidRDefault="00EA45F9" w:rsidP="00981615">
            <w:pPr>
              <w:spacing w:before="120" w:line="276" w:lineRule="auto"/>
              <w:ind w:left="113" w:firstLine="0"/>
              <w:jc w:val="lef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WEEE (tonnes)</w:t>
            </w:r>
          </w:p>
        </w:tc>
        <w:tc>
          <w:tcPr>
            <w:tcW w:w="3001" w:type="pct"/>
            <w:tcBorders>
              <w:top w:val="single" w:sz="4" w:space="0" w:color="auto"/>
              <w:left w:val="nil"/>
              <w:bottom w:val="single" w:sz="4" w:space="0" w:color="auto"/>
              <w:right w:val="nil"/>
            </w:tcBorders>
            <w:shd w:val="clear" w:color="auto" w:fill="F2F2F2" w:themeFill="background1" w:themeFillShade="F2"/>
            <w:vAlign w:val="center"/>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+/- 30,000</w:t>
            </w:r>
          </w:p>
        </w:tc>
      </w:tr>
    </w:tbl>
    <w:p w:rsidR="00EA45F9" w:rsidRPr="009B5734" w:rsidRDefault="00EA45F9" w:rsidP="00EA45F9">
      <w:pPr>
        <w:spacing w:after="160" w:line="259" w:lineRule="auto"/>
        <w:ind w:left="0" w:firstLine="0"/>
        <w:jc w:val="left"/>
        <w:rPr>
          <w:rFonts w:ascii="Times New Roman" w:eastAsia="Calibri" w:hAnsi="Times New Roman" w:cs="Times New Roman"/>
          <w:noProof/>
          <w:sz w:val="24"/>
          <w:szCs w:val="24"/>
        </w:rPr>
      </w:pPr>
    </w:p>
    <w:p w:rsidR="00EA45F9" w:rsidRPr="009B5734" w:rsidRDefault="00A00208" w:rsidP="00A00208">
      <w:pPr>
        <w:pStyle w:val="Heading4"/>
        <w:rPr>
          <w:noProof/>
        </w:rPr>
      </w:pPr>
      <w:r w:rsidRPr="00A00208">
        <w:t>1.3.</w:t>
      </w:r>
      <w:r w:rsidRPr="00A00208">
        <w:tab/>
      </w:r>
      <w:r w:rsidR="00EA45F9" w:rsidRPr="009B5734">
        <w:rPr>
          <w:noProof/>
        </w:rPr>
        <w:t xml:space="preserve">Sub-Problem 1.3: </w:t>
      </w:r>
      <w:r w:rsidR="00D60C0B" w:rsidRPr="009B5734">
        <w:rPr>
          <w:noProof/>
        </w:rPr>
        <w:t>Lack of reliable information</w:t>
      </w:r>
      <w:r w:rsidR="00EA45F9" w:rsidRPr="009B5734">
        <w:rPr>
          <w:noProof/>
        </w:rPr>
        <w:t xml:space="preserve"> about products’ reparability </w:t>
      </w:r>
    </w:p>
    <w:p w:rsidR="00EA45F9" w:rsidRPr="009B5734" w:rsidRDefault="00EA45F9" w:rsidP="00EA45F9">
      <w:pPr>
        <w:spacing w:before="120" w:after="120"/>
        <w:ind w:left="0" w:firstLine="0"/>
        <w:jc w:val="left"/>
        <w:rPr>
          <w:rFonts w:ascii="Times New Roman" w:eastAsia="Calibri" w:hAnsi="Times New Roman" w:cs="Times New Roman"/>
          <w:i/>
          <w:iCs/>
          <w:noProof/>
          <w:sz w:val="24"/>
          <w:szCs w:val="24"/>
        </w:rPr>
      </w:pPr>
      <w:r w:rsidRPr="009B5734">
        <w:rPr>
          <w:rFonts w:ascii="Times New Roman" w:eastAsia="Calibri" w:hAnsi="Times New Roman" w:cs="Times New Roman"/>
          <w:i/>
          <w:iCs/>
          <w:noProof/>
          <w:sz w:val="24"/>
          <w:szCs w:val="24"/>
        </w:rPr>
        <w:t>Consequences on Consumers</w:t>
      </w:r>
    </w:p>
    <w:p w:rsidR="00EA45F9" w:rsidRPr="009B5734" w:rsidRDefault="00EA45F9" w:rsidP="00EA45F9">
      <w:pPr>
        <w:spacing w:after="160" w:line="259" w:lineRule="auto"/>
        <w:ind w:left="0" w:firstLine="0"/>
        <w:rPr>
          <w:rFonts w:ascii="Times New Roman" w:eastAsia="Calibri" w:hAnsi="Times New Roman" w:cs="Times New Roman"/>
          <w:noProof/>
          <w:color w:val="000000"/>
          <w:sz w:val="24"/>
          <w:szCs w:val="24"/>
        </w:rPr>
      </w:pPr>
      <w:r w:rsidRPr="009B5734">
        <w:rPr>
          <w:rFonts w:ascii="Times New Roman" w:eastAsia="Calibri" w:hAnsi="Times New Roman" w:cs="Times New Roman"/>
          <w:noProof/>
          <w:sz w:val="24"/>
          <w:szCs w:val="24"/>
        </w:rPr>
        <w:t xml:space="preserve">The main consequence of the </w:t>
      </w:r>
      <w:r w:rsidR="00D60C0B" w:rsidRPr="009B5734">
        <w:rPr>
          <w:rFonts w:ascii="Times New Roman" w:eastAsia="Calibri" w:hAnsi="Times New Roman" w:cs="Times New Roman"/>
          <w:noProof/>
          <w:sz w:val="24"/>
          <w:szCs w:val="24"/>
        </w:rPr>
        <w:t>lack of reliable information</w:t>
      </w:r>
      <w:r w:rsidRPr="009B5734">
        <w:rPr>
          <w:rFonts w:ascii="Times New Roman" w:eastAsia="Calibri" w:hAnsi="Times New Roman" w:cs="Times New Roman"/>
          <w:noProof/>
          <w:sz w:val="24"/>
          <w:szCs w:val="24"/>
        </w:rPr>
        <w:t xml:space="preserve"> for consumers is non realised surplus and/or personal consumer detriment as a result of sub-optimal choices. This can be roughly estimated by using the consumers’ willingness to pay for reliable information on the reparability for all products or per product per type of information.</w:t>
      </w:r>
      <w:r w:rsidRPr="009B5734">
        <w:rPr>
          <w:rFonts w:ascii="Times New Roman" w:eastAsia="Calibri" w:hAnsi="Times New Roman" w:cs="Times New Roman"/>
          <w:noProof/>
          <w:sz w:val="24"/>
          <w:szCs w:val="24"/>
          <w:vertAlign w:val="superscript"/>
        </w:rPr>
        <w:footnoteReference w:id="206"/>
      </w:r>
      <w:r w:rsidRPr="009B5734">
        <w:rPr>
          <w:rFonts w:ascii="Times New Roman" w:eastAsia="Calibri" w:hAnsi="Times New Roman" w:cs="Times New Roman"/>
          <w:noProof/>
          <w:sz w:val="24"/>
          <w:szCs w:val="24"/>
        </w:rPr>
        <w:t xml:space="preserve"> Consequently, the opportunity cost of this sub-problem to consumers is estimated to be around EUR 0.9 and 1.3 billion.).</w:t>
      </w:r>
    </w:p>
    <w:p w:rsidR="00EA45F9" w:rsidRPr="009B5734" w:rsidRDefault="00EA45F9" w:rsidP="00EA45F9">
      <w:pPr>
        <w:spacing w:before="120" w:after="120"/>
        <w:ind w:left="0" w:firstLine="0"/>
        <w:rPr>
          <w:rFonts w:ascii="Times New Roman" w:eastAsia="Calibri" w:hAnsi="Times New Roman" w:cs="Times New Roman"/>
          <w:i/>
          <w:noProof/>
          <w:sz w:val="24"/>
          <w:szCs w:val="24"/>
        </w:rPr>
      </w:pPr>
      <w:r w:rsidRPr="009B5734">
        <w:rPr>
          <w:rFonts w:ascii="Times New Roman" w:eastAsia="Calibri" w:hAnsi="Times New Roman" w:cs="Times New Roman"/>
          <w:i/>
          <w:noProof/>
          <w:sz w:val="24"/>
          <w:szCs w:val="24"/>
        </w:rPr>
        <w:t>Environment</w:t>
      </w:r>
    </w:p>
    <w:p w:rsidR="00EA45F9" w:rsidRPr="009B5734" w:rsidRDefault="00EA45F9" w:rsidP="00EA45F9">
      <w:pPr>
        <w:spacing w:after="160" w:line="259" w:lineRule="auto"/>
        <w:ind w:left="0" w:firstLine="0"/>
        <w:rPr>
          <w:rFonts w:ascii="Times New Roman" w:eastAsia="Calibri" w:hAnsi="Times New Roman" w:cs="Times New Roman"/>
          <w:noProof/>
          <w:color w:val="000000"/>
          <w:sz w:val="24"/>
          <w:szCs w:val="24"/>
        </w:rPr>
      </w:pPr>
      <w:r w:rsidRPr="009B5734">
        <w:rPr>
          <w:rFonts w:ascii="Times New Roman" w:eastAsia="Calibri" w:hAnsi="Times New Roman" w:cs="Times New Roman"/>
          <w:noProof/>
          <w:sz w:val="24"/>
          <w:szCs w:val="24"/>
        </w:rPr>
        <w:t>The opportunity costs to the climate and environment today for not providing information on the lifespan are equal to the gains to the environment resulting from consumers buying products that would last longer if this information were to be available. The table below shows the estimated key environmental impacts for the scenario where the repair would have increased the lifespan of the broken product by 1 year (this was calculated following the approach described in the accompanying study).</w:t>
      </w:r>
    </w:p>
    <w:p w:rsidR="00EA45F9" w:rsidRPr="004931D3" w:rsidRDefault="00EA45F9">
      <w:pPr>
        <w:pStyle w:val="Heading5"/>
        <w:rPr>
          <w:rFonts w:eastAsia="Times New Roman"/>
          <w:i w:val="0"/>
          <w:noProof/>
        </w:rPr>
      </w:pPr>
      <w:r w:rsidRPr="6B053803">
        <w:rPr>
          <w:rFonts w:eastAsia="Times New Roman"/>
          <w:i w:val="0"/>
          <w:noProof/>
        </w:rPr>
        <w:t xml:space="preserve">Table 6: Possible environmental impacts of shifting demand towards products that are easier to repair (per year of </w:t>
      </w:r>
      <w:r w:rsidR="00D60C0B" w:rsidRPr="6B053803">
        <w:rPr>
          <w:rFonts w:eastAsia="Times New Roman"/>
          <w:i w:val="0"/>
          <w:noProof/>
        </w:rPr>
        <w:t>lack of reliable information</w:t>
      </w:r>
      <w:r w:rsidRPr="6B053803">
        <w:rPr>
          <w:rFonts w:eastAsia="Times New Roman"/>
          <w:i w:val="0"/>
          <w:noProof/>
        </w:rPr>
        <w:t>)</w:t>
      </w:r>
    </w:p>
    <w:tbl>
      <w:tblPr>
        <w:tblW w:w="5000" w:type="pct"/>
        <w:tblBorders>
          <w:top w:val="single" w:sz="4" w:space="0" w:color="auto"/>
          <w:bottom w:val="single" w:sz="4" w:space="0" w:color="auto"/>
          <w:insideH w:val="single" w:sz="4" w:space="0" w:color="auto"/>
        </w:tblBorders>
        <w:shd w:val="solid" w:color="F2F2F2" w:fill="F2F2F2"/>
        <w:tblCellMar>
          <w:left w:w="0" w:type="dxa"/>
          <w:right w:w="0" w:type="dxa"/>
        </w:tblCellMar>
        <w:tblLook w:val="04A0" w:firstRow="1" w:lastRow="0" w:firstColumn="1" w:lastColumn="0" w:noHBand="0" w:noVBand="1"/>
      </w:tblPr>
      <w:tblGrid>
        <w:gridCol w:w="3445"/>
        <w:gridCol w:w="5172"/>
      </w:tblGrid>
      <w:tr w:rsidR="00EA45F9" w:rsidRPr="009B5734" w:rsidTr="00C84A99">
        <w:tc>
          <w:tcPr>
            <w:tcW w:w="1999" w:type="pct"/>
            <w:tcBorders>
              <w:top w:val="single" w:sz="4" w:space="0" w:color="auto"/>
              <w:left w:val="nil"/>
              <w:bottom w:val="single" w:sz="4" w:space="0" w:color="auto"/>
              <w:right w:val="nil"/>
            </w:tcBorders>
            <w:shd w:val="clear" w:color="auto" w:fill="002395"/>
          </w:tcPr>
          <w:p w:rsidR="00EA45F9" w:rsidRPr="009B5734" w:rsidRDefault="00EA45F9" w:rsidP="00981615">
            <w:pPr>
              <w:spacing w:before="120" w:line="276" w:lineRule="auto"/>
              <w:ind w:left="113" w:firstLine="0"/>
              <w:jc w:val="left"/>
              <w:rPr>
                <w:rFonts w:ascii="Times New Roman" w:eastAsia="Calibri" w:hAnsi="Times New Roman" w:cs="Times New Roman"/>
                <w:b/>
                <w:noProof/>
                <w:color w:val="FFFFFF"/>
                <w:sz w:val="24"/>
                <w:szCs w:val="24"/>
              </w:rPr>
            </w:pPr>
          </w:p>
        </w:tc>
        <w:tc>
          <w:tcPr>
            <w:tcW w:w="3001" w:type="pct"/>
            <w:tcBorders>
              <w:top w:val="single" w:sz="4" w:space="0" w:color="auto"/>
              <w:left w:val="nil"/>
              <w:bottom w:val="single" w:sz="4" w:space="0" w:color="auto"/>
              <w:right w:val="nil"/>
            </w:tcBorders>
            <w:shd w:val="clear" w:color="auto" w:fill="002395"/>
            <w:vAlign w:val="center"/>
            <w:hideMark/>
          </w:tcPr>
          <w:p w:rsidR="00EA45F9" w:rsidRPr="009B5734" w:rsidRDefault="00EA45F9" w:rsidP="00981615">
            <w:pPr>
              <w:spacing w:before="120" w:line="276" w:lineRule="auto"/>
              <w:ind w:left="113" w:firstLine="0"/>
              <w:jc w:val="center"/>
              <w:rPr>
                <w:rFonts w:ascii="Times New Roman" w:eastAsia="Calibri" w:hAnsi="Times New Roman" w:cs="Times New Roman"/>
                <w:b/>
                <w:noProof/>
                <w:color w:val="FFFFFF"/>
                <w:sz w:val="24"/>
                <w:szCs w:val="24"/>
              </w:rPr>
            </w:pPr>
            <w:r w:rsidRPr="005D24D2">
              <w:rPr>
                <w:rFonts w:ascii="Times New Roman" w:eastAsia="Calibri" w:hAnsi="Times New Roman" w:cs="Times New Roman"/>
                <w:b/>
                <w:bCs/>
                <w:noProof/>
                <w:color w:val="FFFFFF"/>
                <w:sz w:val="24"/>
                <w:szCs w:val="24"/>
              </w:rPr>
              <w:t>Appliances, Electronics and ICT and other electronics, sofas and mattresses</w:t>
            </w:r>
          </w:p>
        </w:tc>
      </w:tr>
      <w:tr w:rsidR="00EA45F9" w:rsidRPr="009B5734" w:rsidTr="00C84A99">
        <w:tc>
          <w:tcPr>
            <w:tcW w:w="1999" w:type="pct"/>
            <w:tcBorders>
              <w:top w:val="single" w:sz="4" w:space="0" w:color="auto"/>
              <w:left w:val="nil"/>
              <w:bottom w:val="single" w:sz="4" w:space="0" w:color="auto"/>
              <w:right w:val="nil"/>
            </w:tcBorders>
            <w:shd w:val="clear" w:color="auto" w:fill="F2F2F2" w:themeFill="background1" w:themeFillShade="F2"/>
            <w:hideMark/>
          </w:tcPr>
          <w:p w:rsidR="00EA45F9" w:rsidRPr="009B5734" w:rsidRDefault="00EA45F9" w:rsidP="00981615">
            <w:pPr>
              <w:spacing w:before="120" w:line="276" w:lineRule="auto"/>
              <w:ind w:left="113" w:firstLine="0"/>
              <w:jc w:val="left"/>
              <w:rPr>
                <w:rFonts w:ascii="Times New Roman" w:hAnsi="Times New Roman"/>
                <w:noProof/>
                <w:color w:val="000000"/>
                <w:sz w:val="24"/>
              </w:rPr>
            </w:pPr>
            <w:r w:rsidRPr="009B5734">
              <w:rPr>
                <w:rFonts w:ascii="Times New Roman" w:hAnsi="Times New Roman"/>
                <w:noProof/>
                <w:color w:val="000000"/>
                <w:sz w:val="24"/>
              </w:rPr>
              <w:t>Climate Change (per year)</w:t>
            </w:r>
          </w:p>
          <w:p w:rsidR="00EA45F9" w:rsidRPr="009B5734" w:rsidRDefault="00EA45F9" w:rsidP="00981615">
            <w:pPr>
              <w:spacing w:before="120" w:line="276" w:lineRule="auto"/>
              <w:ind w:left="113" w:firstLine="0"/>
              <w:jc w:val="left"/>
              <w:rPr>
                <w:rFonts w:ascii="Times New Roman" w:hAnsi="Times New Roman"/>
                <w:noProof/>
                <w:color w:val="000000"/>
                <w:sz w:val="24"/>
              </w:rPr>
            </w:pPr>
            <w:r w:rsidRPr="00C97149">
              <w:rPr>
                <w:rFonts w:ascii="Times New Roman" w:hAnsi="Times New Roman"/>
                <w:noProof/>
                <w:color w:val="000000"/>
                <w:sz w:val="24"/>
                <w:szCs w:val="24"/>
              </w:rPr>
              <w:t>(MtCO2e per year; EUROS EUR 34 - 68</w:t>
            </w:r>
            <w:r w:rsidRPr="009B5734">
              <w:rPr>
                <w:rFonts w:ascii="Times New Roman" w:eastAsia="Calibri" w:hAnsi="Times New Roman" w:cs="Times New Roman"/>
                <w:noProof/>
                <w:color w:val="000000"/>
                <w:sz w:val="24"/>
                <w:szCs w:val="24"/>
                <w:vertAlign w:val="superscript"/>
              </w:rPr>
              <w:footnoteReference w:id="207"/>
            </w:r>
            <w:r w:rsidRPr="00C97149">
              <w:rPr>
                <w:rFonts w:ascii="Times New Roman" w:hAnsi="Times New Roman"/>
                <w:noProof/>
                <w:color w:val="000000"/>
                <w:sz w:val="24"/>
                <w:szCs w:val="24"/>
              </w:rPr>
              <w:t xml:space="preserve"> per tonne CO2e)</w:t>
            </w:r>
          </w:p>
        </w:tc>
        <w:tc>
          <w:tcPr>
            <w:tcW w:w="3001" w:type="pct"/>
            <w:tcBorders>
              <w:top w:val="single" w:sz="4" w:space="0" w:color="auto"/>
              <w:left w:val="nil"/>
              <w:bottom w:val="single" w:sz="4" w:space="0" w:color="auto"/>
              <w:right w:val="nil"/>
            </w:tcBorders>
            <w:shd w:val="clear" w:color="auto" w:fill="F2F2F2" w:themeFill="background1" w:themeFillShade="F2"/>
            <w:vAlign w:val="center"/>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0.4 MtCO2e</w:t>
            </w:r>
          </w:p>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EUR 13 million</w:t>
            </w:r>
          </w:p>
        </w:tc>
      </w:tr>
      <w:tr w:rsidR="00EA45F9" w:rsidRPr="009B5734" w:rsidTr="00C84A99">
        <w:tc>
          <w:tcPr>
            <w:tcW w:w="1999" w:type="pct"/>
            <w:tcBorders>
              <w:top w:val="single" w:sz="4" w:space="0" w:color="auto"/>
              <w:left w:val="nil"/>
              <w:bottom w:val="single" w:sz="4" w:space="0" w:color="auto"/>
              <w:right w:val="nil"/>
            </w:tcBorders>
            <w:shd w:val="clear" w:color="auto" w:fill="F2F2F2" w:themeFill="background1" w:themeFillShade="F2"/>
            <w:hideMark/>
          </w:tcPr>
          <w:p w:rsidR="00EA45F9" w:rsidRPr="009B5734" w:rsidRDefault="00EA45F9" w:rsidP="00981615">
            <w:pPr>
              <w:spacing w:before="120" w:line="276" w:lineRule="auto"/>
              <w:ind w:left="113" w:firstLine="0"/>
              <w:jc w:val="lef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Particulate matter (deaths per year; VSL per year - euros)</w:t>
            </w:r>
          </w:p>
        </w:tc>
        <w:tc>
          <w:tcPr>
            <w:tcW w:w="3001" w:type="pct"/>
            <w:tcBorders>
              <w:top w:val="single" w:sz="4" w:space="0" w:color="auto"/>
              <w:left w:val="nil"/>
              <w:bottom w:val="single" w:sz="4" w:space="0" w:color="auto"/>
              <w:right w:val="nil"/>
            </w:tcBorders>
            <w:shd w:val="clear" w:color="auto" w:fill="F2F2F2" w:themeFill="background1" w:themeFillShade="F2"/>
            <w:vAlign w:val="center"/>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11 deaths</w:t>
            </w:r>
          </w:p>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EUR 51 million</w:t>
            </w:r>
          </w:p>
        </w:tc>
      </w:tr>
      <w:tr w:rsidR="00EA45F9" w:rsidRPr="009B5734" w:rsidTr="00C84A99">
        <w:tc>
          <w:tcPr>
            <w:tcW w:w="1999" w:type="pct"/>
            <w:tcBorders>
              <w:top w:val="single" w:sz="4" w:space="0" w:color="auto"/>
              <w:left w:val="nil"/>
              <w:bottom w:val="single" w:sz="4" w:space="0" w:color="auto"/>
              <w:right w:val="nil"/>
            </w:tcBorders>
            <w:shd w:val="clear" w:color="auto" w:fill="F2F2F2" w:themeFill="background1" w:themeFillShade="F2"/>
            <w:hideMark/>
          </w:tcPr>
          <w:p w:rsidR="00EA45F9" w:rsidRPr="009B5734" w:rsidRDefault="00EA45F9" w:rsidP="00981615">
            <w:pPr>
              <w:spacing w:before="120" w:line="276" w:lineRule="auto"/>
              <w:ind w:left="113" w:firstLine="0"/>
              <w:jc w:val="lef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WEEE (tonnes)</w:t>
            </w:r>
          </w:p>
        </w:tc>
        <w:tc>
          <w:tcPr>
            <w:tcW w:w="3001" w:type="pct"/>
            <w:tcBorders>
              <w:top w:val="single" w:sz="4" w:space="0" w:color="auto"/>
              <w:left w:val="nil"/>
              <w:bottom w:val="single" w:sz="4" w:space="0" w:color="auto"/>
              <w:right w:val="nil"/>
            </w:tcBorders>
            <w:shd w:val="clear" w:color="auto" w:fill="F2F2F2" w:themeFill="background1" w:themeFillShade="F2"/>
            <w:vAlign w:val="center"/>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+/- 10,000</w:t>
            </w:r>
          </w:p>
        </w:tc>
      </w:tr>
    </w:tbl>
    <w:p w:rsidR="00EA45F9" w:rsidRPr="009B5734" w:rsidRDefault="00EA45F9" w:rsidP="00EA45F9">
      <w:pPr>
        <w:spacing w:after="160" w:line="259" w:lineRule="auto"/>
        <w:ind w:left="0" w:firstLine="0"/>
        <w:jc w:val="left"/>
        <w:rPr>
          <w:rFonts w:ascii="Times New Roman" w:eastAsia="Calibri" w:hAnsi="Times New Roman" w:cs="Times New Roman"/>
          <w:noProof/>
          <w:sz w:val="24"/>
          <w:szCs w:val="24"/>
        </w:rPr>
      </w:pPr>
    </w:p>
    <w:p w:rsidR="00EA45F9" w:rsidRPr="009B5734" w:rsidRDefault="00A00208" w:rsidP="00A00208">
      <w:pPr>
        <w:pStyle w:val="Heading2"/>
        <w:rPr>
          <w:noProof/>
        </w:rPr>
      </w:pPr>
      <w:bookmarkStart w:id="636" w:name="_Toc77844263"/>
      <w:bookmarkStart w:id="637" w:name="_Toc86391766"/>
      <w:r w:rsidRPr="00A00208">
        <w:t>2.</w:t>
      </w:r>
      <w:r w:rsidRPr="00A00208">
        <w:tab/>
      </w:r>
      <w:r w:rsidR="00EA45F9" w:rsidRPr="009B5734">
        <w:rPr>
          <w:noProof/>
        </w:rPr>
        <w:t xml:space="preserve">Problem 2: Consumers face </w:t>
      </w:r>
      <w:r w:rsidR="00B73C39" w:rsidRPr="00B73C39">
        <w:rPr>
          <w:noProof/>
        </w:rPr>
        <w:t>misleading commercial</w:t>
      </w:r>
      <w:r w:rsidR="00EA45F9" w:rsidRPr="009B5734">
        <w:rPr>
          <w:noProof/>
        </w:rPr>
        <w:t xml:space="preserve"> practices </w:t>
      </w:r>
      <w:r w:rsidR="0080633B">
        <w:rPr>
          <w:noProof/>
        </w:rPr>
        <w:t>related</w:t>
      </w:r>
      <w:r w:rsidR="00EA45F9" w:rsidRPr="009B5734">
        <w:rPr>
          <w:noProof/>
        </w:rPr>
        <w:t xml:space="preserve"> to </w:t>
      </w:r>
      <w:r w:rsidR="0080633B">
        <w:rPr>
          <w:noProof/>
        </w:rPr>
        <w:t>the sustainability of products</w:t>
      </w:r>
      <w:bookmarkEnd w:id="636"/>
      <w:bookmarkEnd w:id="637"/>
    </w:p>
    <w:p w:rsidR="00EA45F9" w:rsidRPr="004931D3" w:rsidRDefault="00EA45F9">
      <w:pPr>
        <w:pStyle w:val="Heading5"/>
        <w:rPr>
          <w:rFonts w:ascii="Times New Roman" w:hAnsi="Times New Roman" w:cs="Times New Roman"/>
          <w:i w:val="0"/>
          <w:noProof/>
          <w:sz w:val="24"/>
        </w:rPr>
      </w:pPr>
      <w:r w:rsidRPr="6B053803">
        <w:rPr>
          <w:rFonts w:ascii="Times New Roman" w:hAnsi="Times New Roman" w:cs="Times New Roman"/>
          <w:i w:val="0"/>
          <w:noProof/>
          <w:sz w:val="24"/>
        </w:rPr>
        <w:t xml:space="preserve">Table 7: Estimated consumer detriment linked to misleading information and practices </w:t>
      </w:r>
    </w:p>
    <w:tbl>
      <w:tblPr>
        <w:tblStyle w:val="GridTable4-Accent1"/>
        <w:tblW w:w="0" w:type="auto"/>
        <w:tblLook w:val="04A0" w:firstRow="1" w:lastRow="0" w:firstColumn="1" w:lastColumn="0" w:noHBand="0" w:noVBand="1"/>
      </w:tblPr>
      <w:tblGrid>
        <w:gridCol w:w="4252"/>
        <w:gridCol w:w="4252"/>
      </w:tblGrid>
      <w:tr w:rsidR="00EA45F9" w:rsidRPr="009B5734" w:rsidTr="00C84A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2" w:type="dxa"/>
          </w:tcPr>
          <w:p w:rsidR="00EA45F9" w:rsidRPr="009B5734" w:rsidRDefault="00EA45F9" w:rsidP="00981615">
            <w:pPr>
              <w:pStyle w:val="Default"/>
              <w:spacing w:before="120" w:after="120"/>
              <w:ind w:left="0" w:firstLine="0"/>
              <w:rPr>
                <w:noProof/>
                <w:lang w:val="en-GB"/>
              </w:rPr>
            </w:pPr>
            <w:r w:rsidRPr="009B5734">
              <w:rPr>
                <w:noProof/>
                <w:lang w:val="en-GB"/>
              </w:rPr>
              <w:t>Sub-problems</w:t>
            </w:r>
          </w:p>
        </w:tc>
        <w:tc>
          <w:tcPr>
            <w:tcW w:w="4252" w:type="dxa"/>
          </w:tcPr>
          <w:p w:rsidR="00EA45F9" w:rsidRPr="009B5734" w:rsidRDefault="00EA45F9" w:rsidP="00981615">
            <w:pPr>
              <w:pStyle w:val="Default"/>
              <w:spacing w:before="120" w:after="120"/>
              <w:ind w:left="0" w:firstLine="0"/>
              <w:cnfStyle w:val="100000000000" w:firstRow="1" w:lastRow="0" w:firstColumn="0" w:lastColumn="0" w:oddVBand="0" w:evenVBand="0" w:oddHBand="0" w:evenHBand="0" w:firstRowFirstColumn="0" w:firstRowLastColumn="0" w:lastRowFirstColumn="0" w:lastRowLastColumn="0"/>
              <w:rPr>
                <w:noProof/>
                <w:lang w:val="en-GB"/>
              </w:rPr>
            </w:pPr>
            <w:r w:rsidRPr="009B5734">
              <w:rPr>
                <w:noProof/>
                <w:lang w:val="en-GB"/>
              </w:rPr>
              <w:t>Estimated consumer detriment</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4252" w:type="dxa"/>
          </w:tcPr>
          <w:p w:rsidR="00EA45F9" w:rsidRPr="009B5734" w:rsidRDefault="00EA45F9" w:rsidP="00981615">
            <w:pPr>
              <w:pStyle w:val="Default"/>
              <w:spacing w:before="120" w:after="120"/>
              <w:ind w:left="0" w:firstLine="0"/>
              <w:rPr>
                <w:b w:val="0"/>
                <w:noProof/>
                <w:lang w:val="en-GB"/>
              </w:rPr>
            </w:pPr>
            <w:r w:rsidRPr="009B5734">
              <w:rPr>
                <w:noProof/>
                <w:lang w:val="en-GB"/>
              </w:rPr>
              <w:t>S-P 1: Early obsolescence</w:t>
            </w:r>
          </w:p>
        </w:tc>
        <w:tc>
          <w:tcPr>
            <w:tcW w:w="4252" w:type="dxa"/>
          </w:tcPr>
          <w:p w:rsidR="00EA45F9" w:rsidRPr="009B5734" w:rsidRDefault="00EA45F9" w:rsidP="00981615">
            <w:pPr>
              <w:pStyle w:val="Default"/>
              <w:spacing w:before="120" w:after="120"/>
              <w:ind w:left="0" w:firstLine="0"/>
              <w:cnfStyle w:val="000000100000" w:firstRow="0" w:lastRow="0" w:firstColumn="0" w:lastColumn="0" w:oddVBand="0" w:evenVBand="0" w:oddHBand="1" w:evenHBand="0" w:firstRowFirstColumn="0" w:firstRowLastColumn="0" w:lastRowFirstColumn="0" w:lastRowLastColumn="0"/>
              <w:rPr>
                <w:noProof/>
                <w:lang w:val="en-GB"/>
              </w:rPr>
            </w:pPr>
            <w:r w:rsidRPr="009B5734">
              <w:rPr>
                <w:noProof/>
                <w:lang w:val="en-GB"/>
              </w:rPr>
              <w:t>EUR 1 600 million per year</w:t>
            </w:r>
            <w:r w:rsidRPr="009B5734">
              <w:rPr>
                <w:rStyle w:val="FootnoteReference"/>
                <w:noProof/>
                <w:lang w:val="en-GB"/>
              </w:rPr>
              <w:footnoteReference w:id="208"/>
            </w:r>
          </w:p>
        </w:tc>
      </w:tr>
      <w:tr w:rsidR="00EA45F9" w:rsidRPr="009B5734" w:rsidTr="00C84A99">
        <w:trPr>
          <w:trHeight w:val="202"/>
        </w:trPr>
        <w:tc>
          <w:tcPr>
            <w:cnfStyle w:val="001000000000" w:firstRow="0" w:lastRow="0" w:firstColumn="1" w:lastColumn="0" w:oddVBand="0" w:evenVBand="0" w:oddHBand="0" w:evenHBand="0" w:firstRowFirstColumn="0" w:firstRowLastColumn="0" w:lastRowFirstColumn="0" w:lastRowLastColumn="0"/>
            <w:tcW w:w="4252" w:type="dxa"/>
          </w:tcPr>
          <w:p w:rsidR="00EA45F9" w:rsidRPr="009B5734" w:rsidRDefault="00EA45F9" w:rsidP="00981615">
            <w:pPr>
              <w:pStyle w:val="Default"/>
              <w:spacing w:before="120" w:after="120"/>
              <w:ind w:left="0" w:firstLine="0"/>
              <w:rPr>
                <w:b w:val="0"/>
                <w:noProof/>
                <w:lang w:val="en-GB"/>
              </w:rPr>
            </w:pPr>
            <w:r w:rsidRPr="009B5734">
              <w:rPr>
                <w:noProof/>
                <w:lang w:val="en-GB"/>
              </w:rPr>
              <w:t>S-P 2: Greenwashing</w:t>
            </w:r>
          </w:p>
        </w:tc>
        <w:tc>
          <w:tcPr>
            <w:tcW w:w="4252" w:type="dxa"/>
          </w:tcPr>
          <w:p w:rsidR="00EA45F9" w:rsidRPr="009B5734" w:rsidRDefault="00EA45F9" w:rsidP="00981615">
            <w:pPr>
              <w:pStyle w:val="Default"/>
              <w:spacing w:before="120" w:after="120"/>
              <w:ind w:left="0" w:firstLine="0"/>
              <w:cnfStyle w:val="000000000000" w:firstRow="0" w:lastRow="0" w:firstColumn="0" w:lastColumn="0" w:oddVBand="0" w:evenVBand="0" w:oddHBand="0" w:evenHBand="0" w:firstRowFirstColumn="0" w:firstRowLastColumn="0" w:lastRowFirstColumn="0" w:lastRowLastColumn="0"/>
              <w:rPr>
                <w:noProof/>
                <w:lang w:val="en-GB"/>
              </w:rPr>
            </w:pPr>
            <w:r w:rsidRPr="009B5734">
              <w:rPr>
                <w:noProof/>
                <w:lang w:val="en-GB"/>
              </w:rPr>
              <w:t>EUR 500 million per year</w:t>
            </w:r>
            <w:r w:rsidRPr="009B5734">
              <w:rPr>
                <w:rStyle w:val="FootnoteReference"/>
                <w:noProof/>
                <w:lang w:val="en-GB"/>
              </w:rPr>
              <w:footnoteReference w:id="209"/>
            </w:r>
          </w:p>
        </w:tc>
      </w:tr>
    </w:tbl>
    <w:p w:rsidR="00EA45F9" w:rsidRPr="00014EB8" w:rsidRDefault="00EA45F9" w:rsidP="00EA45F9">
      <w:pPr>
        <w:pStyle w:val="Default"/>
        <w:numPr>
          <w:ilvl w:val="0"/>
          <w:numId w:val="138"/>
        </w:numPr>
        <w:spacing w:before="120" w:after="120"/>
        <w:rPr>
          <w:i/>
          <w:noProof/>
          <w:sz w:val="20"/>
          <w:lang w:val="en-GB"/>
        </w:rPr>
      </w:pPr>
      <w:r w:rsidRPr="009B5734">
        <w:rPr>
          <w:i/>
          <w:noProof/>
          <w:sz w:val="20"/>
          <w:szCs w:val="20"/>
          <w:lang w:val="en-GB"/>
        </w:rPr>
        <w:t>ICF Estimates</w:t>
      </w:r>
    </w:p>
    <w:p w:rsidR="00EA45F9" w:rsidRPr="00014EB8" w:rsidRDefault="00EA45F9" w:rsidP="00EA45F9">
      <w:pPr>
        <w:pStyle w:val="Default"/>
        <w:spacing w:before="120" w:after="120"/>
        <w:ind w:left="480" w:firstLine="0"/>
        <w:rPr>
          <w:i/>
          <w:noProof/>
          <w:sz w:val="20"/>
          <w:lang w:val="en-GB"/>
        </w:rPr>
      </w:pPr>
    </w:p>
    <w:p w:rsidR="00EA45F9" w:rsidRPr="009B5734" w:rsidRDefault="00A00208" w:rsidP="00A00208">
      <w:pPr>
        <w:pStyle w:val="Heading4"/>
        <w:rPr>
          <w:noProof/>
        </w:rPr>
      </w:pPr>
      <w:r w:rsidRPr="00A00208">
        <w:t>2.1.</w:t>
      </w:r>
      <w:r w:rsidRPr="00A00208">
        <w:tab/>
      </w:r>
      <w:r w:rsidR="00EA45F9" w:rsidRPr="009B5734">
        <w:rPr>
          <w:noProof/>
        </w:rPr>
        <w:t>Sub-Problem 2.1: Consumers are sold products that do not last as long as they could or consumers expect</w:t>
      </w:r>
    </w:p>
    <w:p w:rsidR="00EA45F9" w:rsidRPr="009B5734" w:rsidRDefault="00EA45F9" w:rsidP="00EA45F9">
      <w:pPr>
        <w:spacing w:after="160" w:line="259" w:lineRule="auto"/>
        <w:ind w:left="0" w:firstLine="0"/>
        <w:jc w:val="left"/>
        <w:rPr>
          <w:rFonts w:ascii="Times New Roman" w:eastAsia="Calibri" w:hAnsi="Times New Roman" w:cs="Times New Roman"/>
          <w:i/>
          <w:iCs/>
          <w:noProof/>
          <w:color w:val="5B9BD5"/>
          <w:sz w:val="24"/>
          <w:szCs w:val="24"/>
        </w:rPr>
      </w:pPr>
      <w:r w:rsidRPr="009B5734">
        <w:rPr>
          <w:rFonts w:ascii="Times New Roman" w:eastAsia="Calibri" w:hAnsi="Times New Roman" w:cs="Times New Roman"/>
          <w:i/>
          <w:iCs/>
          <w:noProof/>
          <w:color w:val="5B9BD5"/>
          <w:sz w:val="24"/>
          <w:szCs w:val="24"/>
        </w:rPr>
        <w:t>Consequences for consumers</w:t>
      </w:r>
    </w:p>
    <w:p w:rsidR="00EA45F9" w:rsidRPr="009B5734" w:rsidRDefault="00EA45F9" w:rsidP="00EA45F9">
      <w:pPr>
        <w:spacing w:after="160" w:line="259" w:lineRule="auto"/>
        <w:ind w:left="0" w:firstLine="0"/>
        <w:rPr>
          <w:rFonts w:ascii="Times New Roman" w:eastAsia="Calibri" w:hAnsi="Times New Roman" w:cs="Times New Roman"/>
          <w:noProof/>
          <w:color w:val="000000"/>
          <w:sz w:val="24"/>
          <w:szCs w:val="24"/>
          <w:vertAlign w:val="superscript"/>
        </w:rPr>
      </w:pPr>
      <w:r w:rsidRPr="009B5734">
        <w:rPr>
          <w:rFonts w:ascii="Times New Roman" w:eastAsia="Calibri" w:hAnsi="Times New Roman" w:cs="Times New Roman"/>
          <w:noProof/>
          <w:sz w:val="24"/>
          <w:szCs w:val="24"/>
        </w:rPr>
        <w:t>Consumer detriment as consumers pay more than they would be willing to pay for the “effective” lifespan of goods with premature obsolescence and they suffer personal detriment related to the need to repair and/or replace the goods earlier than they could reasonably expect when they purchased the good.</w:t>
      </w:r>
    </w:p>
    <w:p w:rsidR="00EA45F9" w:rsidRPr="009B5734" w:rsidRDefault="00EA45F9" w:rsidP="00EA45F9">
      <w:pPr>
        <w:spacing w:after="160" w:line="259" w:lineRule="auto"/>
        <w:ind w:left="0" w:firstLine="0"/>
        <w:rPr>
          <w:rFonts w:ascii="Times New Roman" w:eastAsia="Calibri" w:hAnsi="Times New Roman" w:cs="Times New Roman"/>
          <w:noProof/>
          <w:sz w:val="24"/>
          <w:szCs w:val="24"/>
        </w:rPr>
      </w:pPr>
      <w:r w:rsidRPr="009B5734">
        <w:rPr>
          <w:rFonts w:ascii="Times New Roman" w:eastAsia="Calibri" w:hAnsi="Times New Roman" w:cs="Times New Roman"/>
          <w:noProof/>
          <w:sz w:val="24"/>
          <w:szCs w:val="24"/>
        </w:rPr>
        <w:t>Based on available data we estimate that the consumer detriment as a result of one year of this practice would be around EUR 1.6 billion (see approach in the accompanying study).</w:t>
      </w:r>
    </w:p>
    <w:p w:rsidR="00EA45F9" w:rsidRPr="004931D3" w:rsidRDefault="00EA45F9">
      <w:pPr>
        <w:pStyle w:val="Heading5"/>
        <w:rPr>
          <w:rFonts w:ascii="Times New Roman" w:eastAsia="Times New Roman" w:hAnsi="Times New Roman" w:cs="Times New Roman"/>
          <w:b w:val="0"/>
          <w:i w:val="0"/>
          <w:noProof/>
          <w:sz w:val="24"/>
        </w:rPr>
      </w:pPr>
      <w:r w:rsidRPr="6B053803">
        <w:rPr>
          <w:rFonts w:ascii="Times New Roman" w:eastAsia="Times New Roman" w:hAnsi="Times New Roman" w:cs="Times New Roman"/>
          <w:b w:val="0"/>
          <w:i w:val="0"/>
          <w:noProof/>
          <w:sz w:val="24"/>
        </w:rPr>
        <w:t xml:space="preserve">Table 7: Estimated consumer detriment due to premature obsolescence (defined as failures that happen before the product reaches 60% of its expected lifespan, millions of euros in 2019 prices) </w:t>
      </w:r>
    </w:p>
    <w:tbl>
      <w:tblPr>
        <w:tblW w:w="5000" w:type="pct"/>
        <w:tblBorders>
          <w:top w:val="single" w:sz="4" w:space="0" w:color="auto"/>
          <w:bottom w:val="single" w:sz="4" w:space="0" w:color="auto"/>
          <w:insideH w:val="single" w:sz="4" w:space="0" w:color="auto"/>
        </w:tblBorders>
        <w:shd w:val="solid" w:color="F2F2F2" w:fill="F2F2F2"/>
        <w:tblCellMar>
          <w:left w:w="0" w:type="dxa"/>
          <w:right w:w="0" w:type="dxa"/>
        </w:tblCellMar>
        <w:tblLook w:val="04A0" w:firstRow="1" w:lastRow="0" w:firstColumn="1" w:lastColumn="0" w:noHBand="0" w:noVBand="1"/>
      </w:tblPr>
      <w:tblGrid>
        <w:gridCol w:w="4707"/>
        <w:gridCol w:w="3910"/>
      </w:tblGrid>
      <w:tr w:rsidR="00EA45F9" w:rsidRPr="009B5734" w:rsidTr="00C84A99">
        <w:trPr>
          <w:trHeight w:val="260"/>
        </w:trPr>
        <w:tc>
          <w:tcPr>
            <w:tcW w:w="2731" w:type="pct"/>
            <w:tcBorders>
              <w:top w:val="single" w:sz="4" w:space="0" w:color="auto"/>
              <w:left w:val="nil"/>
              <w:bottom w:val="single" w:sz="4" w:space="0" w:color="auto"/>
              <w:right w:val="nil"/>
            </w:tcBorders>
            <w:shd w:val="clear" w:color="auto" w:fill="002395"/>
            <w:noWrap/>
            <w:tcMar>
              <w:top w:w="15" w:type="dxa"/>
              <w:left w:w="15" w:type="dxa"/>
              <w:bottom w:w="0" w:type="dxa"/>
              <w:right w:w="15" w:type="dxa"/>
            </w:tcMar>
            <w:vAlign w:val="bottom"/>
            <w:hideMark/>
          </w:tcPr>
          <w:p w:rsidR="00EA45F9" w:rsidRPr="009B5734" w:rsidRDefault="00EA45F9" w:rsidP="00981615">
            <w:pPr>
              <w:spacing w:before="120" w:line="276" w:lineRule="auto"/>
              <w:ind w:left="113" w:firstLine="0"/>
              <w:jc w:val="left"/>
              <w:rPr>
                <w:rFonts w:ascii="Times New Roman" w:eastAsia="Calibri" w:hAnsi="Times New Roman" w:cs="Times New Roman"/>
                <w:b/>
                <w:noProof/>
                <w:color w:val="FFFFFF"/>
                <w:sz w:val="24"/>
                <w:szCs w:val="24"/>
              </w:rPr>
            </w:pPr>
            <w:r w:rsidRPr="005D24D2">
              <w:rPr>
                <w:rFonts w:ascii="Times New Roman" w:eastAsia="Calibri" w:hAnsi="Times New Roman" w:cs="Times New Roman"/>
                <w:b/>
                <w:bCs/>
                <w:noProof/>
                <w:color w:val="FFFFFF"/>
                <w:sz w:val="24"/>
                <w:szCs w:val="24"/>
              </w:rPr>
              <w:t>Product</w:t>
            </w:r>
          </w:p>
        </w:tc>
        <w:tc>
          <w:tcPr>
            <w:tcW w:w="2269" w:type="pct"/>
            <w:tcBorders>
              <w:top w:val="single" w:sz="4" w:space="0" w:color="auto"/>
              <w:left w:val="nil"/>
              <w:bottom w:val="single" w:sz="4" w:space="0" w:color="auto"/>
              <w:right w:val="nil"/>
            </w:tcBorders>
            <w:shd w:val="clear" w:color="auto" w:fill="002395"/>
            <w:noWrap/>
            <w:tcMar>
              <w:top w:w="15" w:type="dxa"/>
              <w:left w:w="15" w:type="dxa"/>
              <w:bottom w:w="0" w:type="dxa"/>
              <w:right w:w="15" w:type="dxa"/>
            </w:tcMar>
            <w:vAlign w:val="center"/>
            <w:hideMark/>
          </w:tcPr>
          <w:p w:rsidR="00EA45F9" w:rsidRPr="009B5734" w:rsidRDefault="00EA45F9" w:rsidP="00981615">
            <w:pPr>
              <w:spacing w:before="120" w:line="276" w:lineRule="auto"/>
              <w:ind w:left="113" w:firstLine="0"/>
              <w:jc w:val="center"/>
              <w:rPr>
                <w:rFonts w:ascii="Times New Roman" w:eastAsia="Calibri" w:hAnsi="Times New Roman" w:cs="Times New Roman"/>
                <w:b/>
                <w:noProof/>
                <w:color w:val="FFFFFF"/>
                <w:sz w:val="24"/>
                <w:szCs w:val="24"/>
              </w:rPr>
            </w:pPr>
            <w:r w:rsidRPr="005D24D2">
              <w:rPr>
                <w:rFonts w:ascii="Times New Roman" w:eastAsia="Calibri" w:hAnsi="Times New Roman" w:cs="Times New Roman"/>
                <w:b/>
                <w:bCs/>
                <w:noProof/>
                <w:color w:val="FFFFFF"/>
                <w:sz w:val="24"/>
                <w:szCs w:val="24"/>
              </w:rPr>
              <w:t>Method cost of replacement</w:t>
            </w:r>
          </w:p>
        </w:tc>
      </w:tr>
      <w:tr w:rsidR="00EA45F9" w:rsidRPr="009B5734" w:rsidTr="00C84A99">
        <w:trPr>
          <w:trHeight w:val="260"/>
        </w:trPr>
        <w:tc>
          <w:tcPr>
            <w:tcW w:w="2731" w:type="pct"/>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hideMark/>
          </w:tcPr>
          <w:p w:rsidR="00EA45F9" w:rsidRPr="009B5734" w:rsidRDefault="00EA45F9" w:rsidP="00981615">
            <w:pPr>
              <w:spacing w:before="120" w:line="276" w:lineRule="auto"/>
              <w:ind w:left="113" w:firstLine="0"/>
              <w:jc w:val="left"/>
              <w:rPr>
                <w:rFonts w:ascii="Times New Roman" w:eastAsia="Calibri" w:hAnsi="Times New Roman" w:cs="Times New Roman"/>
                <w:b/>
                <w:bCs/>
                <w:i/>
                <w:iCs/>
                <w:noProof/>
                <w:color w:val="000000"/>
                <w:sz w:val="24"/>
                <w:szCs w:val="24"/>
              </w:rPr>
            </w:pPr>
            <w:r w:rsidRPr="009B5734">
              <w:rPr>
                <w:rFonts w:ascii="Times New Roman" w:eastAsia="Calibri" w:hAnsi="Times New Roman" w:cs="Times New Roman"/>
                <w:b/>
                <w:bCs/>
                <w:noProof/>
                <w:color w:val="000000"/>
                <w:sz w:val="24"/>
                <w:szCs w:val="24"/>
              </w:rPr>
              <w:t>Large Household Appliances</w:t>
            </w:r>
          </w:p>
        </w:tc>
        <w:tc>
          <w:tcPr>
            <w:tcW w:w="2269" w:type="pct"/>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before="120" w:line="276" w:lineRule="auto"/>
              <w:ind w:left="113" w:firstLine="0"/>
              <w:jc w:val="center"/>
              <w:rPr>
                <w:rFonts w:ascii="Times New Roman" w:eastAsia="Calibri" w:hAnsi="Times New Roman" w:cs="Times New Roman"/>
                <w:b/>
                <w:bCs/>
                <w:noProof/>
                <w:color w:val="000000"/>
                <w:sz w:val="24"/>
                <w:szCs w:val="24"/>
              </w:rPr>
            </w:pPr>
            <w:r w:rsidRPr="009B5734">
              <w:rPr>
                <w:rFonts w:ascii="Times New Roman" w:eastAsia="Calibri" w:hAnsi="Times New Roman" w:cs="Times New Roman"/>
                <w:b/>
                <w:bCs/>
                <w:noProof/>
                <w:color w:val="000000"/>
                <w:sz w:val="24"/>
                <w:szCs w:val="24"/>
              </w:rPr>
              <w:t>268.04</w:t>
            </w:r>
          </w:p>
        </w:tc>
      </w:tr>
      <w:tr w:rsidR="00EA45F9" w:rsidRPr="009B5734" w:rsidTr="00C84A99">
        <w:trPr>
          <w:trHeight w:val="260"/>
        </w:trPr>
        <w:tc>
          <w:tcPr>
            <w:tcW w:w="2731" w:type="pct"/>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bottom"/>
            <w:hideMark/>
          </w:tcPr>
          <w:p w:rsidR="00EA45F9" w:rsidRPr="009B5734" w:rsidRDefault="00EA45F9" w:rsidP="00981615">
            <w:pPr>
              <w:spacing w:before="120"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Cookers and Ovens</w:t>
            </w:r>
          </w:p>
        </w:tc>
        <w:tc>
          <w:tcPr>
            <w:tcW w:w="2269" w:type="pct"/>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53.49</w:t>
            </w:r>
          </w:p>
        </w:tc>
      </w:tr>
      <w:tr w:rsidR="00EA45F9" w:rsidRPr="009B5734" w:rsidTr="00C84A99">
        <w:trPr>
          <w:trHeight w:val="260"/>
        </w:trPr>
        <w:tc>
          <w:tcPr>
            <w:tcW w:w="2731" w:type="pct"/>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bottom"/>
            <w:hideMark/>
          </w:tcPr>
          <w:p w:rsidR="00EA45F9" w:rsidRPr="009B5734" w:rsidRDefault="00EA45F9" w:rsidP="00981615">
            <w:pPr>
              <w:spacing w:before="120"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Dishwasher</w:t>
            </w:r>
          </w:p>
        </w:tc>
        <w:tc>
          <w:tcPr>
            <w:tcW w:w="2269" w:type="pct"/>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52.65</w:t>
            </w:r>
          </w:p>
        </w:tc>
      </w:tr>
      <w:tr w:rsidR="00EA45F9" w:rsidRPr="009B5734" w:rsidTr="00C84A99">
        <w:trPr>
          <w:trHeight w:val="260"/>
        </w:trPr>
        <w:tc>
          <w:tcPr>
            <w:tcW w:w="2731" w:type="pct"/>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bottom"/>
            <w:hideMark/>
          </w:tcPr>
          <w:p w:rsidR="00EA45F9" w:rsidRPr="009B5734" w:rsidRDefault="00EA45F9" w:rsidP="00981615">
            <w:pPr>
              <w:spacing w:before="120"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Microwaves</w:t>
            </w:r>
          </w:p>
        </w:tc>
        <w:tc>
          <w:tcPr>
            <w:tcW w:w="2269" w:type="pct"/>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7.05</w:t>
            </w:r>
          </w:p>
        </w:tc>
      </w:tr>
      <w:tr w:rsidR="00EA45F9" w:rsidRPr="009B5734" w:rsidTr="00C84A99">
        <w:trPr>
          <w:trHeight w:val="260"/>
        </w:trPr>
        <w:tc>
          <w:tcPr>
            <w:tcW w:w="2731" w:type="pct"/>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bottom"/>
            <w:hideMark/>
          </w:tcPr>
          <w:p w:rsidR="00EA45F9" w:rsidRPr="009B5734" w:rsidRDefault="00EA45F9" w:rsidP="00981615">
            <w:pPr>
              <w:spacing w:before="120"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Refrigerator</w:t>
            </w:r>
          </w:p>
        </w:tc>
        <w:tc>
          <w:tcPr>
            <w:tcW w:w="2269" w:type="pct"/>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75.49</w:t>
            </w:r>
          </w:p>
        </w:tc>
      </w:tr>
      <w:tr w:rsidR="00EA45F9" w:rsidRPr="009B5734" w:rsidTr="00C84A99">
        <w:trPr>
          <w:trHeight w:val="260"/>
        </w:trPr>
        <w:tc>
          <w:tcPr>
            <w:tcW w:w="2731" w:type="pct"/>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bottom"/>
            <w:hideMark/>
          </w:tcPr>
          <w:p w:rsidR="00EA45F9" w:rsidRPr="009B5734" w:rsidRDefault="00EA45F9" w:rsidP="00981615">
            <w:pPr>
              <w:spacing w:before="120"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Washing Machines</w:t>
            </w:r>
          </w:p>
        </w:tc>
        <w:tc>
          <w:tcPr>
            <w:tcW w:w="2269" w:type="pct"/>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20.04</w:t>
            </w:r>
          </w:p>
        </w:tc>
      </w:tr>
      <w:tr w:rsidR="00EA45F9" w:rsidRPr="009B5734" w:rsidTr="00C84A99">
        <w:trPr>
          <w:trHeight w:val="260"/>
        </w:trPr>
        <w:tc>
          <w:tcPr>
            <w:tcW w:w="2731" w:type="pct"/>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before="120" w:line="276" w:lineRule="auto"/>
              <w:ind w:left="113" w:firstLine="0"/>
              <w:jc w:val="left"/>
              <w:rPr>
                <w:rFonts w:ascii="Times New Roman" w:eastAsia="Calibri" w:hAnsi="Times New Roman" w:cs="Times New Roman"/>
                <w:b/>
                <w:bCs/>
                <w:noProof/>
                <w:color w:val="000000"/>
                <w:sz w:val="24"/>
                <w:szCs w:val="24"/>
              </w:rPr>
            </w:pPr>
            <w:r w:rsidRPr="009B5734">
              <w:rPr>
                <w:rFonts w:ascii="Times New Roman" w:eastAsia="Calibri" w:hAnsi="Times New Roman" w:cs="Times New Roman"/>
                <w:b/>
                <w:bCs/>
                <w:noProof/>
                <w:color w:val="000000"/>
                <w:sz w:val="24"/>
                <w:szCs w:val="24"/>
              </w:rPr>
              <w:t>Small Household Appliances</w:t>
            </w:r>
          </w:p>
        </w:tc>
        <w:tc>
          <w:tcPr>
            <w:tcW w:w="2269" w:type="pct"/>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before="120" w:line="276" w:lineRule="auto"/>
              <w:ind w:left="113" w:firstLine="0"/>
              <w:jc w:val="center"/>
              <w:rPr>
                <w:rFonts w:ascii="Times New Roman" w:eastAsia="Calibri" w:hAnsi="Times New Roman" w:cs="Times New Roman"/>
                <w:b/>
                <w:bCs/>
                <w:noProof/>
                <w:color w:val="000000"/>
                <w:sz w:val="24"/>
                <w:szCs w:val="24"/>
              </w:rPr>
            </w:pPr>
            <w:r w:rsidRPr="009B5734">
              <w:rPr>
                <w:rFonts w:ascii="Times New Roman" w:eastAsia="Calibri" w:hAnsi="Times New Roman" w:cs="Times New Roman"/>
                <w:b/>
                <w:bCs/>
                <w:noProof/>
                <w:color w:val="000000"/>
                <w:sz w:val="24"/>
                <w:szCs w:val="24"/>
              </w:rPr>
              <w:t>103.31</w:t>
            </w:r>
          </w:p>
        </w:tc>
      </w:tr>
      <w:tr w:rsidR="00EA45F9" w:rsidRPr="009B5734" w:rsidTr="00C84A99">
        <w:trPr>
          <w:trHeight w:val="260"/>
        </w:trPr>
        <w:tc>
          <w:tcPr>
            <w:tcW w:w="2731" w:type="pct"/>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bottom"/>
            <w:hideMark/>
          </w:tcPr>
          <w:p w:rsidR="00EA45F9" w:rsidRPr="009B5734" w:rsidRDefault="00EA45F9" w:rsidP="00981615">
            <w:pPr>
              <w:spacing w:before="120"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Vacuum cleaners</w:t>
            </w:r>
          </w:p>
        </w:tc>
        <w:tc>
          <w:tcPr>
            <w:tcW w:w="2269" w:type="pct"/>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35.57</w:t>
            </w:r>
          </w:p>
        </w:tc>
      </w:tr>
      <w:tr w:rsidR="00EA45F9" w:rsidRPr="009B5734" w:rsidTr="00C84A99">
        <w:trPr>
          <w:trHeight w:val="260"/>
        </w:trPr>
        <w:tc>
          <w:tcPr>
            <w:tcW w:w="2731" w:type="pct"/>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bottom"/>
            <w:hideMark/>
          </w:tcPr>
          <w:p w:rsidR="00EA45F9" w:rsidRPr="009B5734" w:rsidRDefault="00EA45F9" w:rsidP="00981615">
            <w:pPr>
              <w:spacing w:before="120"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Small Kitchen appliances</w:t>
            </w:r>
          </w:p>
        </w:tc>
        <w:tc>
          <w:tcPr>
            <w:tcW w:w="2269" w:type="pct"/>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32.94</w:t>
            </w:r>
          </w:p>
        </w:tc>
      </w:tr>
      <w:tr w:rsidR="00EA45F9" w:rsidRPr="009B5734" w:rsidTr="00C84A99">
        <w:trPr>
          <w:trHeight w:val="260"/>
        </w:trPr>
        <w:tc>
          <w:tcPr>
            <w:tcW w:w="2731" w:type="pct"/>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bottom"/>
            <w:hideMark/>
          </w:tcPr>
          <w:p w:rsidR="00EA45F9" w:rsidRPr="009B5734" w:rsidRDefault="00EA45F9" w:rsidP="00981615">
            <w:pPr>
              <w:spacing w:before="120"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Irons</w:t>
            </w:r>
          </w:p>
        </w:tc>
        <w:tc>
          <w:tcPr>
            <w:tcW w:w="2269" w:type="pct"/>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2.08</w:t>
            </w:r>
          </w:p>
        </w:tc>
      </w:tr>
      <w:tr w:rsidR="00EA45F9" w:rsidRPr="009B5734" w:rsidTr="00C84A99">
        <w:trPr>
          <w:trHeight w:val="260"/>
        </w:trPr>
        <w:tc>
          <w:tcPr>
            <w:tcW w:w="2731" w:type="pct"/>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bottom"/>
            <w:hideMark/>
          </w:tcPr>
          <w:p w:rsidR="00EA45F9" w:rsidRPr="009B5734" w:rsidRDefault="00EA45F9" w:rsidP="00981615">
            <w:pPr>
              <w:spacing w:before="120"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Hair clippers</w:t>
            </w:r>
          </w:p>
        </w:tc>
        <w:tc>
          <w:tcPr>
            <w:tcW w:w="2269" w:type="pct"/>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4.05</w:t>
            </w:r>
          </w:p>
        </w:tc>
      </w:tr>
      <w:tr w:rsidR="00EA45F9" w:rsidRPr="009B5734" w:rsidTr="00C84A99">
        <w:trPr>
          <w:trHeight w:val="260"/>
        </w:trPr>
        <w:tc>
          <w:tcPr>
            <w:tcW w:w="2731" w:type="pct"/>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bottom"/>
            <w:hideMark/>
          </w:tcPr>
          <w:p w:rsidR="00EA45F9" w:rsidRPr="009B5734" w:rsidRDefault="00EA45F9" w:rsidP="00981615">
            <w:pPr>
              <w:spacing w:before="120"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Hair dryers</w:t>
            </w:r>
          </w:p>
        </w:tc>
        <w:tc>
          <w:tcPr>
            <w:tcW w:w="2269" w:type="pct"/>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2.64</w:t>
            </w:r>
          </w:p>
        </w:tc>
      </w:tr>
      <w:tr w:rsidR="00EA45F9" w:rsidRPr="009B5734" w:rsidTr="00C84A99">
        <w:trPr>
          <w:trHeight w:val="260"/>
        </w:trPr>
        <w:tc>
          <w:tcPr>
            <w:tcW w:w="2731" w:type="pct"/>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bottom"/>
            <w:hideMark/>
          </w:tcPr>
          <w:p w:rsidR="00EA45F9" w:rsidRPr="009B5734" w:rsidRDefault="00EA45F9" w:rsidP="00981615">
            <w:pPr>
              <w:spacing w:before="120"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Electric Kettles</w:t>
            </w:r>
          </w:p>
        </w:tc>
        <w:tc>
          <w:tcPr>
            <w:tcW w:w="2269" w:type="pct"/>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2.05</w:t>
            </w:r>
          </w:p>
        </w:tc>
      </w:tr>
      <w:tr w:rsidR="00EA45F9" w:rsidRPr="009B5734" w:rsidTr="00C84A99">
        <w:trPr>
          <w:trHeight w:val="260"/>
        </w:trPr>
        <w:tc>
          <w:tcPr>
            <w:tcW w:w="2731" w:type="pct"/>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bottom"/>
            <w:hideMark/>
          </w:tcPr>
          <w:p w:rsidR="00EA45F9" w:rsidRPr="009B5734" w:rsidRDefault="00EA45F9" w:rsidP="00981615">
            <w:pPr>
              <w:spacing w:before="120"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Coffee Machines</w:t>
            </w:r>
          </w:p>
        </w:tc>
        <w:tc>
          <w:tcPr>
            <w:tcW w:w="2269" w:type="pct"/>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22.85</w:t>
            </w:r>
          </w:p>
        </w:tc>
      </w:tr>
      <w:tr w:rsidR="00EA45F9" w:rsidRPr="009B5734" w:rsidTr="00C84A99">
        <w:trPr>
          <w:trHeight w:val="260"/>
        </w:trPr>
        <w:tc>
          <w:tcPr>
            <w:tcW w:w="2731" w:type="pct"/>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before="120" w:line="276" w:lineRule="auto"/>
              <w:ind w:left="113" w:firstLine="0"/>
              <w:jc w:val="left"/>
              <w:rPr>
                <w:rFonts w:ascii="Times New Roman" w:eastAsia="Calibri" w:hAnsi="Times New Roman" w:cs="Times New Roman"/>
                <w:b/>
                <w:bCs/>
                <w:noProof/>
                <w:color w:val="000000"/>
                <w:sz w:val="24"/>
                <w:szCs w:val="24"/>
              </w:rPr>
            </w:pPr>
            <w:r w:rsidRPr="009B5734">
              <w:rPr>
                <w:rFonts w:ascii="Times New Roman" w:eastAsia="Calibri" w:hAnsi="Times New Roman" w:cs="Times New Roman"/>
                <w:b/>
                <w:bCs/>
                <w:noProof/>
                <w:color w:val="000000"/>
                <w:sz w:val="24"/>
                <w:szCs w:val="24"/>
              </w:rPr>
              <w:t>Electronics and IT goods</w:t>
            </w:r>
          </w:p>
        </w:tc>
        <w:tc>
          <w:tcPr>
            <w:tcW w:w="2269" w:type="pct"/>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before="120" w:line="276" w:lineRule="auto"/>
              <w:ind w:left="113" w:firstLine="0"/>
              <w:jc w:val="center"/>
              <w:rPr>
                <w:rFonts w:ascii="Times New Roman" w:eastAsia="Calibri" w:hAnsi="Times New Roman" w:cs="Times New Roman"/>
                <w:b/>
                <w:bCs/>
                <w:noProof/>
                <w:color w:val="000000"/>
                <w:sz w:val="24"/>
                <w:szCs w:val="24"/>
              </w:rPr>
            </w:pPr>
            <w:r w:rsidRPr="009B5734">
              <w:rPr>
                <w:rFonts w:ascii="Times New Roman" w:eastAsia="Calibri" w:hAnsi="Times New Roman" w:cs="Times New Roman"/>
                <w:b/>
                <w:bCs/>
                <w:noProof/>
                <w:color w:val="000000"/>
                <w:sz w:val="24"/>
                <w:szCs w:val="24"/>
              </w:rPr>
              <w:t>1213.38</w:t>
            </w:r>
          </w:p>
        </w:tc>
      </w:tr>
      <w:tr w:rsidR="00EA45F9" w:rsidRPr="009B5734" w:rsidTr="00C84A99">
        <w:trPr>
          <w:trHeight w:val="260"/>
        </w:trPr>
        <w:tc>
          <w:tcPr>
            <w:tcW w:w="2731" w:type="pct"/>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bottom"/>
            <w:hideMark/>
          </w:tcPr>
          <w:p w:rsidR="00EA45F9" w:rsidRPr="009B5734" w:rsidRDefault="00EA45F9" w:rsidP="00981615">
            <w:pPr>
              <w:spacing w:before="120"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Laptops and tablets</w:t>
            </w:r>
          </w:p>
        </w:tc>
        <w:tc>
          <w:tcPr>
            <w:tcW w:w="2269" w:type="pct"/>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141.61</w:t>
            </w:r>
          </w:p>
        </w:tc>
      </w:tr>
      <w:tr w:rsidR="00EA45F9" w:rsidRPr="009B5734" w:rsidTr="00C84A99">
        <w:trPr>
          <w:trHeight w:val="260"/>
        </w:trPr>
        <w:tc>
          <w:tcPr>
            <w:tcW w:w="2731" w:type="pct"/>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bottom"/>
            <w:hideMark/>
          </w:tcPr>
          <w:p w:rsidR="00EA45F9" w:rsidRPr="009B5734" w:rsidRDefault="00EA45F9" w:rsidP="00981615">
            <w:pPr>
              <w:spacing w:before="120"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TVs</w:t>
            </w:r>
          </w:p>
        </w:tc>
        <w:tc>
          <w:tcPr>
            <w:tcW w:w="2269" w:type="pct"/>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150.00</w:t>
            </w:r>
          </w:p>
        </w:tc>
      </w:tr>
      <w:tr w:rsidR="00EA45F9" w:rsidRPr="009B5734" w:rsidTr="00C84A99">
        <w:trPr>
          <w:trHeight w:val="260"/>
        </w:trPr>
        <w:tc>
          <w:tcPr>
            <w:tcW w:w="2731" w:type="pct"/>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bottom"/>
            <w:hideMark/>
          </w:tcPr>
          <w:p w:rsidR="00EA45F9" w:rsidRPr="009B5734" w:rsidRDefault="00EA45F9" w:rsidP="00981615">
            <w:pPr>
              <w:spacing w:before="120" w:line="276" w:lineRule="auto"/>
              <w:ind w:left="113" w:firstLine="0"/>
              <w:jc w:val="left"/>
              <w:rPr>
                <w:rFonts w:ascii="Times New Roman" w:eastAsia="Calibri" w:hAnsi="Times New Roman" w:cs="Times New Roman"/>
                <w:i/>
                <w:iCs/>
                <w:noProof/>
                <w:color w:val="000000"/>
                <w:sz w:val="24"/>
                <w:szCs w:val="24"/>
              </w:rPr>
            </w:pPr>
            <w:r w:rsidRPr="009B5734">
              <w:rPr>
                <w:rFonts w:ascii="Times New Roman" w:eastAsia="Calibri" w:hAnsi="Times New Roman" w:cs="Times New Roman"/>
                <w:i/>
                <w:iCs/>
                <w:noProof/>
                <w:color w:val="000000"/>
                <w:sz w:val="24"/>
                <w:szCs w:val="24"/>
              </w:rPr>
              <w:t>Mobile phones</w:t>
            </w:r>
          </w:p>
        </w:tc>
        <w:tc>
          <w:tcPr>
            <w:tcW w:w="2269" w:type="pct"/>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bottom"/>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521.79</w:t>
            </w:r>
          </w:p>
        </w:tc>
      </w:tr>
      <w:tr w:rsidR="00EA45F9" w:rsidRPr="009B5734" w:rsidTr="00C84A99">
        <w:trPr>
          <w:trHeight w:val="260"/>
        </w:trPr>
        <w:tc>
          <w:tcPr>
            <w:tcW w:w="2731" w:type="pct"/>
            <w:tcBorders>
              <w:top w:val="single" w:sz="4" w:space="0" w:color="auto"/>
              <w:left w:val="nil"/>
              <w:bottom w:val="single" w:sz="4" w:space="0" w:color="auto"/>
              <w:right w:val="nil"/>
            </w:tcBorders>
            <w:shd w:val="clear" w:color="auto" w:fill="F2F2F2" w:themeFill="background1" w:themeFillShade="F2"/>
            <w:noWrap/>
            <w:tcMar>
              <w:top w:w="15" w:type="dxa"/>
              <w:left w:w="225" w:type="dxa"/>
              <w:bottom w:w="0" w:type="dxa"/>
              <w:right w:w="15" w:type="dxa"/>
            </w:tcMar>
            <w:vAlign w:val="bottom"/>
            <w:hideMark/>
          </w:tcPr>
          <w:p w:rsidR="00EA45F9" w:rsidRPr="009B5734" w:rsidRDefault="00EA45F9" w:rsidP="00981615">
            <w:pPr>
              <w:spacing w:before="120" w:line="276" w:lineRule="auto"/>
              <w:ind w:left="0" w:hanging="68"/>
              <w:jc w:val="left"/>
              <w:rPr>
                <w:rFonts w:ascii="Times New Roman" w:eastAsia="Calibri" w:hAnsi="Times New Roman" w:cs="Times New Roman"/>
                <w:b/>
                <w:bCs/>
                <w:noProof/>
                <w:color w:val="000000"/>
                <w:sz w:val="24"/>
                <w:szCs w:val="24"/>
              </w:rPr>
            </w:pPr>
            <w:r w:rsidRPr="009B5734">
              <w:rPr>
                <w:rFonts w:ascii="Times New Roman" w:eastAsia="Calibri" w:hAnsi="Times New Roman" w:cs="Times New Roman"/>
                <w:b/>
                <w:bCs/>
                <w:noProof/>
                <w:color w:val="000000"/>
                <w:sz w:val="24"/>
                <w:szCs w:val="24"/>
              </w:rPr>
              <w:t>Total</w:t>
            </w:r>
          </w:p>
        </w:tc>
        <w:tc>
          <w:tcPr>
            <w:tcW w:w="2269" w:type="pct"/>
            <w:tcBorders>
              <w:top w:val="single" w:sz="4" w:space="0" w:color="auto"/>
              <w:left w:val="nil"/>
              <w:bottom w:val="single" w:sz="4" w:space="0" w:color="auto"/>
              <w:right w:val="nil"/>
            </w:tcBorders>
            <w:shd w:val="clear" w:color="auto" w:fill="F2F2F2" w:themeFill="background1" w:themeFillShade="F2"/>
            <w:noWrap/>
            <w:tcMar>
              <w:top w:w="15" w:type="dxa"/>
              <w:left w:w="15" w:type="dxa"/>
              <w:bottom w:w="0" w:type="dxa"/>
              <w:right w:w="15" w:type="dxa"/>
            </w:tcMar>
            <w:vAlign w:val="center"/>
            <w:hideMark/>
          </w:tcPr>
          <w:p w:rsidR="00EA45F9" w:rsidRPr="009B5734" w:rsidRDefault="00EA45F9" w:rsidP="00981615">
            <w:pPr>
              <w:spacing w:before="120" w:line="276" w:lineRule="auto"/>
              <w:ind w:left="113" w:firstLine="0"/>
              <w:jc w:val="center"/>
              <w:rPr>
                <w:rFonts w:ascii="Times New Roman" w:eastAsia="Calibri" w:hAnsi="Times New Roman" w:cs="Times New Roman"/>
                <w:b/>
                <w:bCs/>
                <w:noProof/>
                <w:color w:val="000000"/>
                <w:sz w:val="24"/>
                <w:szCs w:val="24"/>
              </w:rPr>
            </w:pPr>
            <w:r w:rsidRPr="009B5734">
              <w:rPr>
                <w:rFonts w:ascii="Times New Roman" w:eastAsia="Calibri" w:hAnsi="Times New Roman" w:cs="Times New Roman"/>
                <w:b/>
                <w:bCs/>
                <w:noProof/>
                <w:color w:val="000000"/>
                <w:sz w:val="24"/>
                <w:szCs w:val="24"/>
              </w:rPr>
              <w:t>1,584</w:t>
            </w:r>
          </w:p>
        </w:tc>
      </w:tr>
    </w:tbl>
    <w:p w:rsidR="00EA45F9" w:rsidRPr="009B5734" w:rsidRDefault="00EA45F9" w:rsidP="00EA45F9">
      <w:pPr>
        <w:spacing w:after="160" w:line="259" w:lineRule="auto"/>
        <w:ind w:left="0" w:firstLine="0"/>
        <w:jc w:val="left"/>
        <w:rPr>
          <w:rFonts w:ascii="Times New Roman" w:eastAsia="Calibri" w:hAnsi="Times New Roman" w:cs="Times New Roman"/>
          <w:noProof/>
          <w:sz w:val="24"/>
          <w:szCs w:val="24"/>
        </w:rPr>
      </w:pPr>
    </w:p>
    <w:p w:rsidR="00EA45F9" w:rsidRPr="009B5734" w:rsidRDefault="00EA45F9" w:rsidP="00EA45F9">
      <w:pPr>
        <w:spacing w:after="160" w:line="259" w:lineRule="auto"/>
        <w:ind w:left="0" w:firstLine="0"/>
        <w:jc w:val="left"/>
        <w:rPr>
          <w:rFonts w:ascii="Times New Roman" w:eastAsia="Calibri" w:hAnsi="Times New Roman" w:cs="Times New Roman"/>
          <w:i/>
          <w:iCs/>
          <w:noProof/>
          <w:color w:val="5B9BD5"/>
          <w:sz w:val="24"/>
          <w:szCs w:val="24"/>
        </w:rPr>
      </w:pPr>
      <w:r w:rsidRPr="009B5734">
        <w:rPr>
          <w:rFonts w:ascii="Times New Roman" w:eastAsia="Calibri" w:hAnsi="Times New Roman" w:cs="Times New Roman"/>
          <w:i/>
          <w:iCs/>
          <w:noProof/>
          <w:color w:val="5B9BD5"/>
          <w:sz w:val="24"/>
          <w:szCs w:val="24"/>
        </w:rPr>
        <w:t>Consequences for the Environment</w:t>
      </w:r>
    </w:p>
    <w:p w:rsidR="00EA45F9" w:rsidRPr="009B5734" w:rsidRDefault="00EA45F9" w:rsidP="00EA45F9">
      <w:pPr>
        <w:spacing w:after="160" w:line="259" w:lineRule="auto"/>
        <w:ind w:left="0" w:firstLine="0"/>
        <w:rPr>
          <w:rFonts w:ascii="Times New Roman" w:eastAsia="Calibri" w:hAnsi="Times New Roman" w:cs="Times New Roman"/>
          <w:noProof/>
          <w:color w:val="000000"/>
          <w:sz w:val="24"/>
          <w:szCs w:val="24"/>
        </w:rPr>
      </w:pPr>
      <w:r w:rsidRPr="009B5734">
        <w:rPr>
          <w:rFonts w:ascii="Times New Roman" w:eastAsia="Calibri" w:hAnsi="Times New Roman" w:cs="Times New Roman"/>
          <w:noProof/>
          <w:sz w:val="24"/>
          <w:szCs w:val="24"/>
        </w:rPr>
        <w:t>Early failure of products leads to their early replacement and, therefore, to environmental impacts related to the production, transport and disposal of products. The table below presents the estimations of the possible environmental impacts of premature obsolescence.</w:t>
      </w:r>
    </w:p>
    <w:p w:rsidR="00EA45F9" w:rsidRPr="004931D3" w:rsidRDefault="00EA45F9">
      <w:pPr>
        <w:pStyle w:val="Heading5"/>
        <w:rPr>
          <w:rFonts w:ascii="Times New Roman" w:eastAsia="Times New Roman" w:hAnsi="Times New Roman" w:cs="Times New Roman"/>
          <w:b w:val="0"/>
          <w:i w:val="0"/>
          <w:noProof/>
          <w:sz w:val="24"/>
        </w:rPr>
      </w:pPr>
      <w:r w:rsidRPr="6B053803">
        <w:rPr>
          <w:rFonts w:ascii="Times New Roman" w:eastAsia="Times New Roman" w:hAnsi="Times New Roman" w:cs="Times New Roman"/>
          <w:b w:val="0"/>
          <w:i w:val="0"/>
          <w:noProof/>
          <w:sz w:val="24"/>
        </w:rPr>
        <w:t>Table 8: Possible environmental impacts of premature obsolescence (defined as failures that happen before the product reaches 60% of its expected lifespan and as a consequence of one year of this practice, millions of euros in 2019 prices)</w:t>
      </w:r>
    </w:p>
    <w:tbl>
      <w:tblPr>
        <w:tblW w:w="5000" w:type="pct"/>
        <w:tblBorders>
          <w:top w:val="single" w:sz="4" w:space="0" w:color="auto"/>
          <w:bottom w:val="single" w:sz="4" w:space="0" w:color="auto"/>
          <w:insideH w:val="single" w:sz="4" w:space="0" w:color="auto"/>
        </w:tblBorders>
        <w:shd w:val="solid" w:color="F2F2F2" w:fill="F2F2F2"/>
        <w:tblCellMar>
          <w:left w:w="0" w:type="dxa"/>
          <w:right w:w="0" w:type="dxa"/>
        </w:tblCellMar>
        <w:tblLook w:val="04A0" w:firstRow="1" w:lastRow="0" w:firstColumn="1" w:lastColumn="0" w:noHBand="0" w:noVBand="1"/>
      </w:tblPr>
      <w:tblGrid>
        <w:gridCol w:w="3445"/>
        <w:gridCol w:w="5172"/>
      </w:tblGrid>
      <w:tr w:rsidR="00EA45F9" w:rsidRPr="009B5734" w:rsidTr="00C84A99">
        <w:tc>
          <w:tcPr>
            <w:tcW w:w="1999" w:type="pct"/>
            <w:tcBorders>
              <w:top w:val="single" w:sz="4" w:space="0" w:color="auto"/>
              <w:left w:val="nil"/>
              <w:bottom w:val="single" w:sz="4" w:space="0" w:color="auto"/>
              <w:right w:val="nil"/>
            </w:tcBorders>
            <w:shd w:val="clear" w:color="auto" w:fill="002395"/>
          </w:tcPr>
          <w:p w:rsidR="00EA45F9" w:rsidRPr="009B5734" w:rsidRDefault="00EA45F9" w:rsidP="00981615">
            <w:pPr>
              <w:spacing w:before="120" w:line="276" w:lineRule="auto"/>
              <w:ind w:left="113" w:firstLine="0"/>
              <w:jc w:val="left"/>
              <w:rPr>
                <w:rFonts w:ascii="Times New Roman" w:eastAsia="Calibri" w:hAnsi="Times New Roman" w:cs="Times New Roman"/>
                <w:b/>
                <w:noProof/>
                <w:color w:val="FFFFFF"/>
                <w:sz w:val="24"/>
                <w:szCs w:val="24"/>
              </w:rPr>
            </w:pPr>
          </w:p>
        </w:tc>
        <w:tc>
          <w:tcPr>
            <w:tcW w:w="3001" w:type="pct"/>
            <w:tcBorders>
              <w:top w:val="single" w:sz="4" w:space="0" w:color="auto"/>
              <w:left w:val="nil"/>
              <w:bottom w:val="single" w:sz="4" w:space="0" w:color="auto"/>
              <w:right w:val="nil"/>
            </w:tcBorders>
            <w:shd w:val="clear" w:color="auto" w:fill="002395"/>
            <w:vAlign w:val="center"/>
            <w:hideMark/>
          </w:tcPr>
          <w:p w:rsidR="00EA45F9" w:rsidRPr="009B5734" w:rsidRDefault="00EA45F9" w:rsidP="00981615">
            <w:pPr>
              <w:spacing w:before="120" w:line="276" w:lineRule="auto"/>
              <w:ind w:left="113" w:firstLine="0"/>
              <w:jc w:val="center"/>
              <w:rPr>
                <w:rFonts w:ascii="Times New Roman" w:eastAsia="Calibri" w:hAnsi="Times New Roman" w:cs="Times New Roman"/>
                <w:b/>
                <w:noProof/>
                <w:color w:val="FFFFFF"/>
                <w:sz w:val="24"/>
                <w:szCs w:val="24"/>
              </w:rPr>
            </w:pPr>
            <w:r w:rsidRPr="005D24D2">
              <w:rPr>
                <w:rFonts w:ascii="Times New Roman" w:eastAsia="Calibri" w:hAnsi="Times New Roman" w:cs="Times New Roman"/>
                <w:b/>
                <w:bCs/>
                <w:noProof/>
                <w:color w:val="FFFFFF"/>
                <w:sz w:val="24"/>
                <w:szCs w:val="24"/>
              </w:rPr>
              <w:t>Impacts</w:t>
            </w:r>
          </w:p>
        </w:tc>
      </w:tr>
      <w:tr w:rsidR="00EA45F9" w:rsidRPr="009B5734" w:rsidTr="00C84A99">
        <w:tc>
          <w:tcPr>
            <w:tcW w:w="1999" w:type="pct"/>
            <w:tcBorders>
              <w:top w:val="single" w:sz="4" w:space="0" w:color="auto"/>
              <w:left w:val="nil"/>
              <w:bottom w:val="single" w:sz="4" w:space="0" w:color="auto"/>
              <w:right w:val="nil"/>
            </w:tcBorders>
            <w:shd w:val="clear" w:color="auto" w:fill="F2F2F2" w:themeFill="background1" w:themeFillShade="F2"/>
            <w:hideMark/>
          </w:tcPr>
          <w:p w:rsidR="00EA45F9" w:rsidRPr="009B5734" w:rsidRDefault="00EA45F9" w:rsidP="00981615">
            <w:pPr>
              <w:spacing w:before="120" w:line="276" w:lineRule="auto"/>
              <w:ind w:left="113" w:firstLine="0"/>
              <w:jc w:val="left"/>
              <w:rPr>
                <w:rFonts w:ascii="Times New Roman" w:hAnsi="Times New Roman"/>
                <w:noProof/>
                <w:color w:val="000000"/>
                <w:sz w:val="24"/>
              </w:rPr>
            </w:pPr>
            <w:r w:rsidRPr="009B5734">
              <w:rPr>
                <w:rFonts w:ascii="Times New Roman" w:hAnsi="Times New Roman"/>
                <w:noProof/>
                <w:color w:val="000000"/>
                <w:sz w:val="24"/>
              </w:rPr>
              <w:t>Climate Change (per year)</w:t>
            </w:r>
          </w:p>
          <w:p w:rsidR="00EA45F9" w:rsidRPr="009B5734" w:rsidRDefault="00EA45F9" w:rsidP="00981615">
            <w:pPr>
              <w:spacing w:before="120" w:line="276" w:lineRule="auto"/>
              <w:ind w:left="113" w:firstLine="0"/>
              <w:jc w:val="left"/>
              <w:rPr>
                <w:rFonts w:ascii="Times New Roman" w:hAnsi="Times New Roman"/>
                <w:noProof/>
                <w:color w:val="000000"/>
                <w:sz w:val="24"/>
              </w:rPr>
            </w:pPr>
            <w:r w:rsidRPr="00C97149">
              <w:rPr>
                <w:rFonts w:ascii="Times New Roman" w:hAnsi="Times New Roman"/>
                <w:noProof/>
                <w:color w:val="000000"/>
                <w:sz w:val="24"/>
                <w:szCs w:val="24"/>
              </w:rPr>
              <w:t>(MtCO2e per year; EUROS EUR 34 - 68</w:t>
            </w:r>
            <w:r w:rsidRPr="009B5734">
              <w:rPr>
                <w:rFonts w:ascii="Times New Roman" w:eastAsia="Calibri" w:hAnsi="Times New Roman" w:cs="Times New Roman"/>
                <w:noProof/>
                <w:color w:val="000000"/>
                <w:sz w:val="24"/>
                <w:szCs w:val="24"/>
                <w:vertAlign w:val="superscript"/>
              </w:rPr>
              <w:footnoteReference w:id="210"/>
            </w:r>
            <w:r w:rsidRPr="00C97149">
              <w:rPr>
                <w:rFonts w:ascii="Times New Roman" w:hAnsi="Times New Roman"/>
                <w:noProof/>
                <w:color w:val="000000"/>
                <w:sz w:val="24"/>
                <w:szCs w:val="24"/>
              </w:rPr>
              <w:t xml:space="preserve"> per tonne CO2e)</w:t>
            </w:r>
          </w:p>
        </w:tc>
        <w:tc>
          <w:tcPr>
            <w:tcW w:w="3001" w:type="pct"/>
            <w:tcBorders>
              <w:top w:val="single" w:sz="4" w:space="0" w:color="auto"/>
              <w:left w:val="nil"/>
              <w:bottom w:val="single" w:sz="4" w:space="0" w:color="auto"/>
              <w:right w:val="nil"/>
            </w:tcBorders>
            <w:shd w:val="clear" w:color="auto" w:fill="F2F2F2" w:themeFill="background1" w:themeFillShade="F2"/>
            <w:vAlign w:val="center"/>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1.874 MtCO2e</w:t>
            </w:r>
          </w:p>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EUR 64 million</w:t>
            </w:r>
          </w:p>
        </w:tc>
      </w:tr>
      <w:tr w:rsidR="00EA45F9" w:rsidRPr="009B5734" w:rsidTr="00C84A99">
        <w:tc>
          <w:tcPr>
            <w:tcW w:w="1999" w:type="pct"/>
            <w:tcBorders>
              <w:top w:val="single" w:sz="4" w:space="0" w:color="auto"/>
              <w:left w:val="nil"/>
              <w:bottom w:val="single" w:sz="4" w:space="0" w:color="auto"/>
              <w:right w:val="nil"/>
            </w:tcBorders>
            <w:shd w:val="clear" w:color="auto" w:fill="F2F2F2" w:themeFill="background1" w:themeFillShade="F2"/>
            <w:hideMark/>
          </w:tcPr>
          <w:p w:rsidR="00EA45F9" w:rsidRPr="009B5734" w:rsidRDefault="00EA45F9" w:rsidP="00981615">
            <w:pPr>
              <w:spacing w:before="120" w:line="276" w:lineRule="auto"/>
              <w:ind w:left="113" w:firstLine="0"/>
              <w:jc w:val="lef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Particulate matter (deaths per year; VSL</w:t>
            </w:r>
            <w:r w:rsidRPr="009B5734">
              <w:rPr>
                <w:rFonts w:ascii="Times New Roman" w:eastAsia="Calibri" w:hAnsi="Times New Roman" w:cs="Times New Roman"/>
                <w:noProof/>
                <w:color w:val="000000"/>
                <w:sz w:val="24"/>
                <w:szCs w:val="24"/>
                <w:vertAlign w:val="superscript"/>
              </w:rPr>
              <w:footnoteReference w:id="211"/>
            </w:r>
            <w:r w:rsidRPr="009B5734">
              <w:rPr>
                <w:rFonts w:ascii="Times New Roman" w:eastAsia="Calibri" w:hAnsi="Times New Roman" w:cs="Times New Roman"/>
                <w:noProof/>
                <w:color w:val="000000"/>
                <w:sz w:val="24"/>
                <w:szCs w:val="24"/>
              </w:rPr>
              <w:t xml:space="preserve"> per year - euros)</w:t>
            </w:r>
          </w:p>
        </w:tc>
        <w:tc>
          <w:tcPr>
            <w:tcW w:w="3001" w:type="pct"/>
            <w:tcBorders>
              <w:top w:val="single" w:sz="4" w:space="0" w:color="auto"/>
              <w:left w:val="nil"/>
              <w:bottom w:val="single" w:sz="4" w:space="0" w:color="auto"/>
              <w:right w:val="nil"/>
            </w:tcBorders>
            <w:shd w:val="clear" w:color="auto" w:fill="F2F2F2" w:themeFill="background1" w:themeFillShade="F2"/>
            <w:vAlign w:val="center"/>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54 deaths</w:t>
            </w:r>
          </w:p>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EUR 256 million</w:t>
            </w:r>
          </w:p>
        </w:tc>
      </w:tr>
      <w:tr w:rsidR="00EA45F9" w:rsidRPr="009B5734" w:rsidTr="00C84A99">
        <w:tc>
          <w:tcPr>
            <w:tcW w:w="1999" w:type="pct"/>
            <w:tcBorders>
              <w:top w:val="single" w:sz="4" w:space="0" w:color="auto"/>
              <w:left w:val="nil"/>
              <w:bottom w:val="single" w:sz="4" w:space="0" w:color="auto"/>
              <w:right w:val="nil"/>
            </w:tcBorders>
            <w:shd w:val="clear" w:color="auto" w:fill="F2F2F2" w:themeFill="background1" w:themeFillShade="F2"/>
            <w:hideMark/>
          </w:tcPr>
          <w:p w:rsidR="00EA45F9" w:rsidRPr="009B5734" w:rsidRDefault="00EA45F9" w:rsidP="00981615">
            <w:pPr>
              <w:spacing w:before="120" w:line="276" w:lineRule="auto"/>
              <w:ind w:left="113" w:firstLine="0"/>
              <w:jc w:val="left"/>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WEEE (tonnes)</w:t>
            </w:r>
          </w:p>
        </w:tc>
        <w:tc>
          <w:tcPr>
            <w:tcW w:w="3001" w:type="pct"/>
            <w:tcBorders>
              <w:top w:val="single" w:sz="4" w:space="0" w:color="auto"/>
              <w:left w:val="nil"/>
              <w:bottom w:val="single" w:sz="4" w:space="0" w:color="auto"/>
              <w:right w:val="nil"/>
            </w:tcBorders>
            <w:shd w:val="clear" w:color="auto" w:fill="F2F2F2" w:themeFill="background1" w:themeFillShade="F2"/>
            <w:vAlign w:val="center"/>
            <w:hideMark/>
          </w:tcPr>
          <w:p w:rsidR="00EA45F9" w:rsidRPr="009B5734" w:rsidRDefault="00EA45F9" w:rsidP="00981615">
            <w:pPr>
              <w:spacing w:before="120" w:line="276" w:lineRule="auto"/>
              <w:ind w:left="113" w:firstLine="0"/>
              <w:jc w:val="center"/>
              <w:rPr>
                <w:rFonts w:ascii="Times New Roman" w:eastAsia="Calibri" w:hAnsi="Times New Roman" w:cs="Times New Roman"/>
                <w:noProof/>
                <w:color w:val="000000"/>
                <w:sz w:val="24"/>
                <w:szCs w:val="24"/>
              </w:rPr>
            </w:pPr>
            <w:r w:rsidRPr="009B5734">
              <w:rPr>
                <w:rFonts w:ascii="Times New Roman" w:eastAsia="Calibri" w:hAnsi="Times New Roman" w:cs="Times New Roman"/>
                <w:noProof/>
                <w:color w:val="000000"/>
                <w:sz w:val="24"/>
                <w:szCs w:val="24"/>
              </w:rPr>
              <w:t>51,000</w:t>
            </w:r>
          </w:p>
        </w:tc>
      </w:tr>
    </w:tbl>
    <w:p w:rsidR="00EA45F9" w:rsidRPr="009B5734" w:rsidRDefault="00EA45F9" w:rsidP="00EA45F9">
      <w:pPr>
        <w:spacing w:after="160" w:line="259" w:lineRule="auto"/>
        <w:ind w:left="0" w:firstLine="0"/>
        <w:jc w:val="left"/>
        <w:rPr>
          <w:rFonts w:ascii="Times New Roman" w:eastAsia="Calibri" w:hAnsi="Times New Roman" w:cs="Times New Roman"/>
          <w:noProof/>
          <w:sz w:val="24"/>
          <w:szCs w:val="24"/>
        </w:rPr>
      </w:pPr>
    </w:p>
    <w:p w:rsidR="00EA45F9" w:rsidRPr="009B5734" w:rsidRDefault="00A00208" w:rsidP="00A00208">
      <w:pPr>
        <w:pStyle w:val="Heading4"/>
        <w:rPr>
          <w:noProof/>
        </w:rPr>
      </w:pPr>
      <w:r w:rsidRPr="00A00208">
        <w:t>2.2.</w:t>
      </w:r>
      <w:r w:rsidRPr="00A00208">
        <w:tab/>
      </w:r>
      <w:r w:rsidR="00EA45F9" w:rsidRPr="009B5734">
        <w:rPr>
          <w:noProof/>
        </w:rPr>
        <w:t>Sub-Problem 2.2: Consumers are faced with</w:t>
      </w:r>
      <w:r w:rsidR="00D60C0B" w:rsidRPr="009B5734">
        <w:rPr>
          <w:noProof/>
        </w:rPr>
        <w:t xml:space="preserve"> the practice of making</w:t>
      </w:r>
      <w:r w:rsidR="00EA45F9" w:rsidRPr="009B5734">
        <w:rPr>
          <w:noProof/>
        </w:rPr>
        <w:t xml:space="preserve"> unclear or not well-substantiated environmental claims</w:t>
      </w:r>
      <w:r w:rsidR="00D60C0B" w:rsidRPr="009B5734">
        <w:rPr>
          <w:noProof/>
        </w:rPr>
        <w:t xml:space="preserve"> (“Greenwashing”)</w:t>
      </w:r>
    </w:p>
    <w:p w:rsidR="00EA45F9" w:rsidRPr="009B5734" w:rsidRDefault="00EA45F9" w:rsidP="00EA45F9">
      <w:pPr>
        <w:spacing w:after="160" w:line="259" w:lineRule="auto"/>
        <w:ind w:left="0" w:firstLine="0"/>
        <w:rPr>
          <w:rFonts w:ascii="Times New Roman" w:eastAsia="Calibri" w:hAnsi="Times New Roman" w:cs="Times New Roman"/>
          <w:i/>
          <w:iCs/>
          <w:noProof/>
          <w:color w:val="5B9BD5"/>
          <w:sz w:val="24"/>
          <w:szCs w:val="24"/>
        </w:rPr>
      </w:pPr>
      <w:r w:rsidRPr="009B5734">
        <w:rPr>
          <w:rFonts w:ascii="Times New Roman" w:eastAsia="Calibri" w:hAnsi="Times New Roman" w:cs="Times New Roman"/>
          <w:i/>
          <w:iCs/>
          <w:noProof/>
          <w:color w:val="5B9BD5"/>
          <w:sz w:val="24"/>
          <w:szCs w:val="24"/>
        </w:rPr>
        <w:t>Consequences for Consumers</w:t>
      </w:r>
    </w:p>
    <w:p w:rsidR="00EA45F9" w:rsidRPr="009B5734" w:rsidRDefault="00EA45F9" w:rsidP="00EA45F9">
      <w:pPr>
        <w:spacing w:after="160" w:line="259" w:lineRule="auto"/>
        <w:ind w:left="0" w:firstLine="0"/>
        <w:rPr>
          <w:rFonts w:ascii="Times New Roman" w:eastAsia="Calibri" w:hAnsi="Times New Roman" w:cs="Times New Roman"/>
          <w:noProof/>
          <w:sz w:val="24"/>
          <w:szCs w:val="24"/>
        </w:rPr>
      </w:pPr>
      <w:r w:rsidRPr="009B5734">
        <w:rPr>
          <w:rFonts w:ascii="Times New Roman" w:eastAsia="Calibri" w:hAnsi="Times New Roman" w:cs="Times New Roman"/>
          <w:noProof/>
          <w:sz w:val="24"/>
          <w:szCs w:val="24"/>
        </w:rPr>
        <w:t>Greenwashing can harm consumers through consumer detriment (due to sub-optimal choices) as they might choose a product over other alternatives (that are in reality no less environmentally friendly than</w:t>
      </w:r>
      <w:r w:rsidRPr="009B5734" w:rsidDel="00342E09">
        <w:rPr>
          <w:rFonts w:ascii="Times New Roman" w:eastAsia="Calibri" w:hAnsi="Times New Roman" w:cs="Times New Roman"/>
          <w:noProof/>
          <w:sz w:val="24"/>
          <w:szCs w:val="24"/>
        </w:rPr>
        <w:t xml:space="preserve"> </w:t>
      </w:r>
      <w:r w:rsidRPr="009B5734">
        <w:rPr>
          <w:rFonts w:ascii="Times New Roman" w:eastAsia="Calibri" w:hAnsi="Times New Roman" w:cs="Times New Roman"/>
          <w:noProof/>
          <w:sz w:val="24"/>
          <w:szCs w:val="24"/>
        </w:rPr>
        <w:t>that product) based on misleading claims, sometimes paying a premium in order to buy a supposedly more environmentally friendly product. Based on the available evidence, we estimate that the consumer detriment as a result of this practice is at least around 0.5 billion a year. This is conservative estimate based on the willingness to pay for trustworthy information, and it is likely that the losses for consumers are higher.</w:t>
      </w:r>
    </w:p>
    <w:p w:rsidR="00EA45F9" w:rsidRPr="009B5734" w:rsidRDefault="00EA45F9" w:rsidP="00EA45F9">
      <w:pPr>
        <w:spacing w:after="160" w:line="259" w:lineRule="auto"/>
        <w:ind w:left="0" w:firstLine="0"/>
        <w:rPr>
          <w:rFonts w:ascii="Times New Roman" w:eastAsia="Calibri" w:hAnsi="Times New Roman" w:cs="Times New Roman"/>
          <w:i/>
          <w:iCs/>
          <w:noProof/>
          <w:color w:val="5B9BD5"/>
          <w:sz w:val="24"/>
          <w:szCs w:val="24"/>
        </w:rPr>
      </w:pPr>
      <w:r w:rsidRPr="009B5734">
        <w:rPr>
          <w:rFonts w:ascii="Times New Roman" w:eastAsia="Calibri" w:hAnsi="Times New Roman" w:cs="Times New Roman"/>
          <w:i/>
          <w:iCs/>
          <w:noProof/>
          <w:color w:val="5B9BD5"/>
          <w:sz w:val="24"/>
          <w:szCs w:val="24"/>
        </w:rPr>
        <w:t>Consequences for the environment</w:t>
      </w:r>
    </w:p>
    <w:p w:rsidR="00EA45F9" w:rsidRPr="009B5734" w:rsidRDefault="00EA45F9" w:rsidP="00EA45F9">
      <w:pPr>
        <w:spacing w:after="160" w:line="259" w:lineRule="auto"/>
        <w:ind w:left="0" w:firstLine="0"/>
        <w:rPr>
          <w:rFonts w:ascii="Times New Roman" w:eastAsia="Calibri" w:hAnsi="Times New Roman" w:cs="Times New Roman"/>
          <w:noProof/>
          <w:color w:val="000000"/>
          <w:sz w:val="24"/>
          <w:szCs w:val="24"/>
        </w:rPr>
      </w:pPr>
      <w:r w:rsidRPr="009B5734">
        <w:rPr>
          <w:rFonts w:ascii="Times New Roman" w:eastAsia="Calibri" w:hAnsi="Times New Roman" w:cs="Times New Roman"/>
          <w:noProof/>
          <w:sz w:val="24"/>
          <w:szCs w:val="24"/>
        </w:rPr>
        <w:t>The fact that consumers end up purchasing products that are not as environmentally friendly as existing alternatives lead to undesired environmental impacts (i.e., the difference between the environmental impact of the purchased product based on misleading claims and the environmental impact of the product that would have been purchased in the absence of greenwashing)</w:t>
      </w:r>
      <w:r w:rsidRPr="009B5734">
        <w:rPr>
          <w:rFonts w:ascii="Times New Roman" w:eastAsia="Calibri" w:hAnsi="Times New Roman" w:cs="Times New Roman"/>
          <w:noProof/>
          <w:sz w:val="24"/>
          <w:szCs w:val="24"/>
          <w:vertAlign w:val="superscript"/>
        </w:rPr>
        <w:footnoteReference w:id="212"/>
      </w:r>
      <w:r w:rsidRPr="009B5734">
        <w:rPr>
          <w:rFonts w:ascii="Times New Roman" w:eastAsia="Calibri" w:hAnsi="Times New Roman" w:cs="Times New Roman"/>
          <w:noProof/>
          <w:sz w:val="24"/>
          <w:szCs w:val="24"/>
        </w:rPr>
        <w:t>. Please see estimation of the impacts in the table below</w:t>
      </w:r>
    </w:p>
    <w:p w:rsidR="00EA45F9" w:rsidRPr="004931D3" w:rsidRDefault="00EA45F9">
      <w:pPr>
        <w:pStyle w:val="Heading5"/>
        <w:rPr>
          <w:rFonts w:ascii="Times New Roman" w:eastAsia="Times New Roman" w:hAnsi="Times New Roman" w:cs="Times New Roman"/>
          <w:b w:val="0"/>
          <w:i w:val="0"/>
          <w:noProof/>
          <w:sz w:val="24"/>
        </w:rPr>
      </w:pPr>
      <w:r w:rsidRPr="6B053803">
        <w:rPr>
          <w:rFonts w:ascii="Times New Roman" w:eastAsia="Times New Roman" w:hAnsi="Times New Roman" w:cs="Times New Roman"/>
          <w:b w:val="0"/>
          <w:i w:val="0"/>
          <w:noProof/>
          <w:sz w:val="24"/>
        </w:rPr>
        <w:t>Table 9: Possible environmental impacts of greenwashing (as a consequence of one year of this practice, millions of euros in 2019 prices)</w:t>
      </w:r>
    </w:p>
    <w:tbl>
      <w:tblPr>
        <w:tblW w:w="5000" w:type="pct"/>
        <w:tblBorders>
          <w:top w:val="single" w:sz="4" w:space="0" w:color="auto"/>
          <w:bottom w:val="single" w:sz="4" w:space="0" w:color="auto"/>
          <w:insideH w:val="single" w:sz="4" w:space="0" w:color="auto"/>
        </w:tblBorders>
        <w:shd w:val="solid" w:color="F2F2F2" w:fill="F2F2F2"/>
        <w:tblCellMar>
          <w:left w:w="0" w:type="dxa"/>
          <w:right w:w="0" w:type="dxa"/>
        </w:tblCellMar>
        <w:tblLook w:val="0000" w:firstRow="0" w:lastRow="0" w:firstColumn="0" w:lastColumn="0" w:noHBand="0" w:noVBand="0"/>
      </w:tblPr>
      <w:tblGrid>
        <w:gridCol w:w="2873"/>
        <w:gridCol w:w="2873"/>
        <w:gridCol w:w="2871"/>
      </w:tblGrid>
      <w:tr w:rsidR="00EA45F9" w:rsidRPr="009B5734" w:rsidTr="00C84A99">
        <w:tc>
          <w:tcPr>
            <w:tcW w:w="1667" w:type="pct"/>
            <w:shd w:val="clear" w:color="auto" w:fill="002395"/>
          </w:tcPr>
          <w:p w:rsidR="00EA45F9" w:rsidRPr="009B5734" w:rsidRDefault="00EA45F9" w:rsidP="00981615">
            <w:pPr>
              <w:spacing w:before="120"/>
              <w:ind w:left="113" w:firstLine="0"/>
              <w:jc w:val="left"/>
              <w:rPr>
                <w:rFonts w:ascii="Verdana" w:hAnsi="Verdana"/>
                <w:b/>
                <w:noProof/>
                <w:color w:val="FFFFFF" w:themeColor="background1"/>
                <w:sz w:val="20"/>
              </w:rPr>
            </w:pPr>
          </w:p>
        </w:tc>
        <w:tc>
          <w:tcPr>
            <w:tcW w:w="1667" w:type="pct"/>
            <w:shd w:val="clear" w:color="auto" w:fill="002395"/>
            <w:vAlign w:val="center"/>
          </w:tcPr>
          <w:p w:rsidR="00EA45F9" w:rsidRPr="009B5734" w:rsidRDefault="00EA45F9" w:rsidP="00981615">
            <w:pPr>
              <w:spacing w:before="120"/>
              <w:ind w:left="113" w:firstLine="0"/>
              <w:jc w:val="center"/>
              <w:rPr>
                <w:rFonts w:ascii="Verdana" w:hAnsi="Verdana"/>
                <w:b/>
                <w:noProof/>
                <w:color w:val="FFFFFF" w:themeColor="background1"/>
                <w:sz w:val="20"/>
              </w:rPr>
            </w:pPr>
            <w:r w:rsidRPr="005D24D2">
              <w:rPr>
                <w:rFonts w:ascii="Verdana" w:hAnsi="Verdana"/>
                <w:b/>
                <w:bCs/>
                <w:noProof/>
                <w:color w:val="FFFFFF" w:themeColor="background1"/>
                <w:sz w:val="20"/>
                <w:szCs w:val="20"/>
              </w:rPr>
              <w:t xml:space="preserve">5% scenario            </w:t>
            </w:r>
          </w:p>
        </w:tc>
        <w:tc>
          <w:tcPr>
            <w:tcW w:w="1666" w:type="pct"/>
            <w:shd w:val="clear" w:color="auto" w:fill="002395"/>
            <w:vAlign w:val="center"/>
          </w:tcPr>
          <w:p w:rsidR="00EA45F9" w:rsidRPr="009B5734" w:rsidRDefault="00EA45F9" w:rsidP="00981615">
            <w:pPr>
              <w:spacing w:before="120"/>
              <w:ind w:left="113" w:firstLine="0"/>
              <w:jc w:val="center"/>
              <w:rPr>
                <w:rFonts w:ascii="Verdana" w:hAnsi="Verdana"/>
                <w:b/>
                <w:noProof/>
                <w:color w:val="FFFFFF" w:themeColor="background1"/>
                <w:sz w:val="20"/>
              </w:rPr>
            </w:pPr>
            <w:r w:rsidRPr="005D24D2">
              <w:rPr>
                <w:rFonts w:ascii="Verdana" w:hAnsi="Verdana"/>
                <w:b/>
                <w:bCs/>
                <w:noProof/>
                <w:color w:val="FFFFFF" w:themeColor="background1"/>
                <w:sz w:val="20"/>
                <w:szCs w:val="20"/>
              </w:rPr>
              <w:t>10% scenario</w:t>
            </w:r>
          </w:p>
        </w:tc>
      </w:tr>
      <w:tr w:rsidR="00EA45F9" w:rsidRPr="009B5734" w:rsidTr="00C84A99">
        <w:tc>
          <w:tcPr>
            <w:tcW w:w="1667" w:type="pct"/>
            <w:shd w:val="clear" w:color="auto" w:fill="F2F2F2" w:themeFill="background1" w:themeFillShade="F2"/>
          </w:tcPr>
          <w:p w:rsidR="00EA45F9" w:rsidRPr="009B5734" w:rsidRDefault="00EA45F9" w:rsidP="00981615">
            <w:pPr>
              <w:spacing w:before="120"/>
              <w:ind w:left="113" w:firstLine="0"/>
              <w:jc w:val="left"/>
              <w:rPr>
                <w:rFonts w:ascii="Verdana" w:hAnsi="Verdana"/>
                <w:noProof/>
                <w:color w:val="000000" w:themeColor="text1"/>
                <w:sz w:val="18"/>
              </w:rPr>
            </w:pPr>
            <w:r w:rsidRPr="009B5734">
              <w:rPr>
                <w:rFonts w:ascii="Verdana" w:hAnsi="Verdana"/>
                <w:noProof/>
                <w:color w:val="000000" w:themeColor="text1"/>
                <w:sz w:val="18"/>
              </w:rPr>
              <w:t>Climate Change (per year)</w:t>
            </w:r>
          </w:p>
          <w:p w:rsidR="00EA45F9" w:rsidRPr="009B5734" w:rsidRDefault="00EA45F9" w:rsidP="00981615">
            <w:pPr>
              <w:spacing w:before="120"/>
              <w:ind w:left="113" w:firstLine="0"/>
              <w:jc w:val="left"/>
              <w:rPr>
                <w:rFonts w:ascii="Verdana" w:hAnsi="Verdana"/>
                <w:noProof/>
                <w:color w:val="000000" w:themeColor="text1"/>
                <w:sz w:val="18"/>
              </w:rPr>
            </w:pPr>
            <w:r w:rsidRPr="009B5734">
              <w:rPr>
                <w:rFonts w:ascii="Verdana" w:hAnsi="Verdana"/>
                <w:noProof/>
                <w:color w:val="000000" w:themeColor="text1"/>
                <w:sz w:val="18"/>
              </w:rPr>
              <w:t>(MtCO2e per year; EUROS EUR 34 per tonne CO2e)</w:t>
            </w:r>
          </w:p>
        </w:tc>
        <w:tc>
          <w:tcPr>
            <w:tcW w:w="1667" w:type="pct"/>
            <w:shd w:val="clear" w:color="auto" w:fill="F2F2F2" w:themeFill="background1" w:themeFillShade="F2"/>
          </w:tcPr>
          <w:p w:rsidR="00EA45F9" w:rsidRPr="009B5734" w:rsidRDefault="00EA45F9" w:rsidP="00981615">
            <w:pPr>
              <w:spacing w:before="120"/>
              <w:ind w:left="113" w:firstLine="0"/>
              <w:jc w:val="center"/>
              <w:rPr>
                <w:rFonts w:ascii="Verdana" w:hAnsi="Verdana"/>
                <w:noProof/>
                <w:color w:val="000000" w:themeColor="text1"/>
                <w:sz w:val="18"/>
                <w:szCs w:val="20"/>
              </w:rPr>
            </w:pPr>
            <w:r w:rsidRPr="009B5734">
              <w:rPr>
                <w:rFonts w:ascii="Verdana" w:hAnsi="Verdana"/>
                <w:noProof/>
                <w:color w:val="000000" w:themeColor="text1"/>
                <w:sz w:val="18"/>
                <w:szCs w:val="20"/>
              </w:rPr>
              <w:t>1.4 MtCO2e</w:t>
            </w:r>
          </w:p>
          <w:p w:rsidR="00EA45F9" w:rsidRPr="009B5734" w:rsidRDefault="00EA45F9" w:rsidP="00981615">
            <w:pPr>
              <w:spacing w:before="120"/>
              <w:ind w:left="113" w:firstLine="0"/>
              <w:jc w:val="center"/>
              <w:rPr>
                <w:rFonts w:ascii="Verdana" w:hAnsi="Verdana"/>
                <w:noProof/>
                <w:color w:val="000000" w:themeColor="text1"/>
                <w:sz w:val="18"/>
                <w:szCs w:val="20"/>
              </w:rPr>
            </w:pPr>
            <w:r w:rsidRPr="009B5734">
              <w:rPr>
                <w:rFonts w:ascii="Verdana" w:hAnsi="Verdana"/>
                <w:noProof/>
                <w:color w:val="000000" w:themeColor="text1"/>
                <w:sz w:val="18"/>
                <w:szCs w:val="20"/>
              </w:rPr>
              <w:t>EUR 50 million</w:t>
            </w:r>
          </w:p>
        </w:tc>
        <w:tc>
          <w:tcPr>
            <w:tcW w:w="1666" w:type="pct"/>
            <w:shd w:val="clear" w:color="auto" w:fill="F2F2F2" w:themeFill="background1" w:themeFillShade="F2"/>
          </w:tcPr>
          <w:p w:rsidR="00EA45F9" w:rsidRPr="009B5734" w:rsidRDefault="00EA45F9" w:rsidP="00981615">
            <w:pPr>
              <w:spacing w:before="120"/>
              <w:ind w:left="113" w:firstLine="0"/>
              <w:jc w:val="center"/>
              <w:rPr>
                <w:rFonts w:ascii="Verdana" w:hAnsi="Verdana"/>
                <w:noProof/>
                <w:color w:val="000000" w:themeColor="text1"/>
                <w:sz w:val="18"/>
                <w:szCs w:val="20"/>
              </w:rPr>
            </w:pPr>
            <w:r w:rsidRPr="009B5734">
              <w:rPr>
                <w:rFonts w:ascii="Verdana" w:hAnsi="Verdana"/>
                <w:noProof/>
                <w:color w:val="000000" w:themeColor="text1"/>
                <w:sz w:val="18"/>
                <w:szCs w:val="20"/>
              </w:rPr>
              <w:t>2.8 MtCO2e</w:t>
            </w:r>
          </w:p>
          <w:p w:rsidR="00EA45F9" w:rsidRPr="009B5734" w:rsidRDefault="00EA45F9" w:rsidP="00981615">
            <w:pPr>
              <w:spacing w:before="120"/>
              <w:ind w:left="113" w:firstLine="0"/>
              <w:jc w:val="center"/>
              <w:rPr>
                <w:rFonts w:ascii="Verdana" w:hAnsi="Verdana"/>
                <w:noProof/>
                <w:color w:val="000000" w:themeColor="text1"/>
                <w:sz w:val="18"/>
                <w:szCs w:val="20"/>
              </w:rPr>
            </w:pPr>
            <w:r w:rsidRPr="009B5734">
              <w:rPr>
                <w:rFonts w:ascii="Verdana" w:hAnsi="Verdana"/>
                <w:noProof/>
                <w:color w:val="000000" w:themeColor="text1"/>
                <w:sz w:val="18"/>
                <w:szCs w:val="20"/>
              </w:rPr>
              <w:t>EUR 100 million</w:t>
            </w:r>
          </w:p>
        </w:tc>
      </w:tr>
      <w:tr w:rsidR="00EA45F9" w:rsidRPr="009B5734" w:rsidTr="00C84A99">
        <w:tc>
          <w:tcPr>
            <w:tcW w:w="1667" w:type="pct"/>
            <w:shd w:val="clear" w:color="auto" w:fill="F2F2F2" w:themeFill="background1" w:themeFillShade="F2"/>
          </w:tcPr>
          <w:p w:rsidR="00EA45F9" w:rsidRPr="009B5734" w:rsidRDefault="00EA45F9" w:rsidP="00981615">
            <w:pPr>
              <w:spacing w:before="120"/>
              <w:ind w:left="113" w:firstLine="0"/>
              <w:jc w:val="left"/>
              <w:rPr>
                <w:rFonts w:ascii="Verdana" w:hAnsi="Verdana"/>
                <w:noProof/>
                <w:color w:val="000000" w:themeColor="text1"/>
                <w:sz w:val="18"/>
                <w:szCs w:val="20"/>
              </w:rPr>
            </w:pPr>
            <w:r w:rsidRPr="009B5734">
              <w:rPr>
                <w:rFonts w:ascii="Verdana" w:hAnsi="Verdana"/>
                <w:noProof/>
                <w:color w:val="000000" w:themeColor="text1"/>
                <w:sz w:val="18"/>
                <w:szCs w:val="20"/>
              </w:rPr>
              <w:t>Particulate matter (deaths per year; VSL per year - euros)</w:t>
            </w:r>
          </w:p>
        </w:tc>
        <w:tc>
          <w:tcPr>
            <w:tcW w:w="1667" w:type="pct"/>
            <w:shd w:val="clear" w:color="auto" w:fill="F2F2F2" w:themeFill="background1" w:themeFillShade="F2"/>
          </w:tcPr>
          <w:p w:rsidR="00EA45F9" w:rsidRPr="009B5734" w:rsidRDefault="00EA45F9" w:rsidP="00981615">
            <w:pPr>
              <w:spacing w:before="120"/>
              <w:ind w:left="113" w:firstLine="0"/>
              <w:jc w:val="center"/>
              <w:rPr>
                <w:rFonts w:ascii="Verdana" w:hAnsi="Verdana"/>
                <w:noProof/>
                <w:color w:val="000000" w:themeColor="text1"/>
                <w:sz w:val="18"/>
                <w:szCs w:val="20"/>
              </w:rPr>
            </w:pPr>
            <w:r w:rsidRPr="009B5734">
              <w:rPr>
                <w:rFonts w:ascii="Verdana" w:hAnsi="Verdana"/>
                <w:noProof/>
                <w:color w:val="000000" w:themeColor="text1"/>
                <w:sz w:val="18"/>
                <w:szCs w:val="20"/>
              </w:rPr>
              <w:t xml:space="preserve"> 80 premature death</w:t>
            </w:r>
          </w:p>
          <w:p w:rsidR="00EA45F9" w:rsidRPr="009B5734" w:rsidRDefault="00EA45F9" w:rsidP="00981615">
            <w:pPr>
              <w:spacing w:before="120"/>
              <w:ind w:left="113" w:firstLine="0"/>
              <w:jc w:val="center"/>
              <w:rPr>
                <w:rFonts w:ascii="Verdana" w:hAnsi="Verdana"/>
                <w:noProof/>
                <w:color w:val="000000" w:themeColor="text1"/>
                <w:sz w:val="18"/>
                <w:szCs w:val="20"/>
              </w:rPr>
            </w:pPr>
            <w:r w:rsidRPr="009B5734">
              <w:rPr>
                <w:rFonts w:ascii="Verdana" w:hAnsi="Verdana"/>
                <w:noProof/>
                <w:color w:val="000000" w:themeColor="text1"/>
                <w:sz w:val="18"/>
                <w:szCs w:val="20"/>
              </w:rPr>
              <w:t>EUR 475 million</w:t>
            </w:r>
          </w:p>
        </w:tc>
        <w:tc>
          <w:tcPr>
            <w:tcW w:w="1666" w:type="pct"/>
            <w:shd w:val="clear" w:color="auto" w:fill="F2F2F2" w:themeFill="background1" w:themeFillShade="F2"/>
          </w:tcPr>
          <w:p w:rsidR="00EA45F9" w:rsidRPr="009B5734" w:rsidRDefault="00EA45F9" w:rsidP="00981615">
            <w:pPr>
              <w:spacing w:before="120"/>
              <w:ind w:left="113" w:firstLine="0"/>
              <w:jc w:val="center"/>
              <w:rPr>
                <w:rFonts w:ascii="Verdana" w:hAnsi="Verdana"/>
                <w:noProof/>
                <w:color w:val="000000" w:themeColor="text1"/>
                <w:sz w:val="18"/>
                <w:szCs w:val="20"/>
              </w:rPr>
            </w:pPr>
            <w:r w:rsidRPr="009B5734">
              <w:rPr>
                <w:rFonts w:ascii="Verdana" w:hAnsi="Verdana"/>
                <w:noProof/>
                <w:color w:val="000000" w:themeColor="text1"/>
                <w:sz w:val="18"/>
                <w:szCs w:val="20"/>
              </w:rPr>
              <w:t>200 premature deaths</w:t>
            </w:r>
          </w:p>
          <w:p w:rsidR="00EA45F9" w:rsidRPr="009B5734" w:rsidRDefault="00EA45F9" w:rsidP="00981615">
            <w:pPr>
              <w:spacing w:before="120"/>
              <w:ind w:left="113" w:firstLine="0"/>
              <w:jc w:val="center"/>
              <w:rPr>
                <w:rFonts w:ascii="Verdana" w:hAnsi="Verdana"/>
                <w:noProof/>
                <w:color w:val="000000" w:themeColor="text1"/>
                <w:sz w:val="18"/>
                <w:szCs w:val="20"/>
              </w:rPr>
            </w:pPr>
            <w:r w:rsidRPr="009B5734">
              <w:rPr>
                <w:rFonts w:ascii="Verdana" w:hAnsi="Verdana"/>
                <w:noProof/>
                <w:color w:val="000000" w:themeColor="text1"/>
                <w:sz w:val="18"/>
                <w:szCs w:val="20"/>
              </w:rPr>
              <w:t>EUR 950 million</w:t>
            </w:r>
          </w:p>
        </w:tc>
      </w:tr>
      <w:tr w:rsidR="00EA45F9" w:rsidRPr="009B5734" w:rsidTr="00C84A99">
        <w:tc>
          <w:tcPr>
            <w:tcW w:w="1667" w:type="pct"/>
            <w:shd w:val="clear" w:color="auto" w:fill="F2F2F2" w:themeFill="background1" w:themeFillShade="F2"/>
          </w:tcPr>
          <w:p w:rsidR="00EA45F9" w:rsidRPr="009B5734" w:rsidRDefault="00EA45F9" w:rsidP="00981615">
            <w:pPr>
              <w:spacing w:before="120"/>
              <w:ind w:left="113" w:firstLine="0"/>
              <w:jc w:val="left"/>
              <w:rPr>
                <w:rFonts w:ascii="Verdana" w:hAnsi="Verdana"/>
                <w:noProof/>
                <w:color w:val="000000" w:themeColor="text1"/>
                <w:sz w:val="18"/>
                <w:szCs w:val="18"/>
              </w:rPr>
            </w:pPr>
            <w:r w:rsidRPr="009B5734">
              <w:rPr>
                <w:rFonts w:ascii="Verdana" w:hAnsi="Verdana"/>
                <w:noProof/>
                <w:color w:val="000000" w:themeColor="text1"/>
                <w:sz w:val="18"/>
                <w:szCs w:val="18"/>
              </w:rPr>
              <w:t>Acidification (109 mol H+ eq)</w:t>
            </w:r>
          </w:p>
        </w:tc>
        <w:tc>
          <w:tcPr>
            <w:tcW w:w="1667" w:type="pct"/>
            <w:shd w:val="clear" w:color="auto" w:fill="F2F2F2" w:themeFill="background1" w:themeFillShade="F2"/>
          </w:tcPr>
          <w:p w:rsidR="00EA45F9" w:rsidRPr="009B5734" w:rsidRDefault="00EA45F9" w:rsidP="00981615">
            <w:pPr>
              <w:spacing w:before="120"/>
              <w:ind w:left="113" w:firstLine="0"/>
              <w:jc w:val="center"/>
              <w:rPr>
                <w:rFonts w:ascii="Verdana" w:hAnsi="Verdana"/>
                <w:noProof/>
                <w:color w:val="000000" w:themeColor="text1"/>
                <w:sz w:val="18"/>
                <w:szCs w:val="18"/>
              </w:rPr>
            </w:pPr>
            <w:r w:rsidRPr="009B5734">
              <w:rPr>
                <w:rFonts w:ascii="Verdana" w:hAnsi="Verdana"/>
                <w:noProof/>
                <w:color w:val="000000" w:themeColor="text1"/>
                <w:sz w:val="18"/>
                <w:szCs w:val="18"/>
              </w:rPr>
              <w:t>0.0085</w:t>
            </w:r>
          </w:p>
        </w:tc>
        <w:tc>
          <w:tcPr>
            <w:tcW w:w="1666" w:type="pct"/>
            <w:shd w:val="clear" w:color="auto" w:fill="F2F2F2" w:themeFill="background1" w:themeFillShade="F2"/>
          </w:tcPr>
          <w:p w:rsidR="00EA45F9" w:rsidRPr="009B5734" w:rsidRDefault="00EA45F9" w:rsidP="00981615">
            <w:pPr>
              <w:spacing w:before="120"/>
              <w:ind w:left="113" w:firstLine="0"/>
              <w:jc w:val="center"/>
              <w:rPr>
                <w:rFonts w:ascii="Verdana" w:hAnsi="Verdana"/>
                <w:noProof/>
                <w:color w:val="000000" w:themeColor="text1"/>
                <w:sz w:val="18"/>
                <w:szCs w:val="18"/>
              </w:rPr>
            </w:pPr>
            <w:r w:rsidRPr="009B5734">
              <w:rPr>
                <w:rFonts w:ascii="Verdana" w:hAnsi="Verdana"/>
                <w:noProof/>
                <w:color w:val="000000" w:themeColor="text1"/>
                <w:sz w:val="18"/>
                <w:szCs w:val="18"/>
              </w:rPr>
              <w:t>0.019</w:t>
            </w:r>
          </w:p>
        </w:tc>
      </w:tr>
      <w:tr w:rsidR="00EA45F9" w:rsidRPr="009B5734" w:rsidTr="00C84A99">
        <w:tc>
          <w:tcPr>
            <w:tcW w:w="1667" w:type="pct"/>
            <w:shd w:val="clear" w:color="auto" w:fill="F2F2F2" w:themeFill="background1" w:themeFillShade="F2"/>
          </w:tcPr>
          <w:p w:rsidR="00EA45F9" w:rsidRPr="009B5734" w:rsidRDefault="00EA45F9" w:rsidP="00981615">
            <w:pPr>
              <w:spacing w:before="120"/>
              <w:ind w:left="113" w:firstLine="0"/>
              <w:jc w:val="left"/>
              <w:rPr>
                <w:rFonts w:ascii="Verdana" w:hAnsi="Verdana"/>
                <w:noProof/>
                <w:color w:val="000000" w:themeColor="text1"/>
                <w:sz w:val="18"/>
                <w:szCs w:val="18"/>
              </w:rPr>
            </w:pPr>
            <w:r w:rsidRPr="009B5734">
              <w:rPr>
                <w:rFonts w:ascii="Verdana" w:hAnsi="Verdana"/>
                <w:noProof/>
                <w:color w:val="000000" w:themeColor="text1"/>
                <w:sz w:val="18"/>
                <w:szCs w:val="18"/>
              </w:rPr>
              <w:t>Water use (billion m3 water eq)</w:t>
            </w:r>
          </w:p>
        </w:tc>
        <w:tc>
          <w:tcPr>
            <w:tcW w:w="1667" w:type="pct"/>
            <w:shd w:val="clear" w:color="auto" w:fill="F2F2F2" w:themeFill="background1" w:themeFillShade="F2"/>
          </w:tcPr>
          <w:p w:rsidR="00EA45F9" w:rsidRPr="009B5734" w:rsidRDefault="00EA45F9" w:rsidP="00981615">
            <w:pPr>
              <w:spacing w:before="120"/>
              <w:ind w:left="113" w:firstLine="0"/>
              <w:jc w:val="center"/>
              <w:rPr>
                <w:rFonts w:ascii="Verdana" w:hAnsi="Verdana"/>
                <w:noProof/>
                <w:color w:val="000000" w:themeColor="text1"/>
                <w:sz w:val="18"/>
                <w:szCs w:val="18"/>
              </w:rPr>
            </w:pPr>
            <w:r w:rsidRPr="009B5734">
              <w:rPr>
                <w:rFonts w:ascii="Verdana" w:hAnsi="Verdana"/>
                <w:noProof/>
                <w:color w:val="000000" w:themeColor="text1"/>
                <w:sz w:val="18"/>
                <w:szCs w:val="18"/>
              </w:rPr>
              <w:t>1.8</w:t>
            </w:r>
          </w:p>
        </w:tc>
        <w:tc>
          <w:tcPr>
            <w:tcW w:w="1666" w:type="pct"/>
            <w:shd w:val="clear" w:color="auto" w:fill="F2F2F2" w:themeFill="background1" w:themeFillShade="F2"/>
          </w:tcPr>
          <w:p w:rsidR="00EA45F9" w:rsidRPr="009B5734" w:rsidRDefault="00EA45F9" w:rsidP="00981615">
            <w:pPr>
              <w:spacing w:before="120"/>
              <w:ind w:left="113" w:firstLine="0"/>
              <w:jc w:val="center"/>
              <w:rPr>
                <w:rFonts w:ascii="Verdana" w:hAnsi="Verdana"/>
                <w:noProof/>
                <w:color w:val="000000" w:themeColor="text1"/>
                <w:sz w:val="18"/>
                <w:szCs w:val="18"/>
              </w:rPr>
            </w:pPr>
            <w:r w:rsidRPr="009B5734">
              <w:rPr>
                <w:rFonts w:ascii="Verdana" w:hAnsi="Verdana"/>
                <w:noProof/>
                <w:color w:val="000000" w:themeColor="text1"/>
                <w:sz w:val="18"/>
                <w:szCs w:val="18"/>
              </w:rPr>
              <w:t>3.6</w:t>
            </w:r>
          </w:p>
        </w:tc>
      </w:tr>
      <w:tr w:rsidR="00EA45F9" w:rsidRPr="009B5734" w:rsidTr="00C84A99">
        <w:tc>
          <w:tcPr>
            <w:tcW w:w="1667" w:type="pct"/>
            <w:shd w:val="clear" w:color="auto" w:fill="F2F2F2" w:themeFill="background1" w:themeFillShade="F2"/>
          </w:tcPr>
          <w:p w:rsidR="00EA45F9" w:rsidRPr="009B5734" w:rsidRDefault="00EA45F9" w:rsidP="00981615">
            <w:pPr>
              <w:spacing w:before="120"/>
              <w:ind w:left="113" w:firstLine="0"/>
              <w:jc w:val="left"/>
              <w:rPr>
                <w:rFonts w:ascii="Verdana" w:hAnsi="Verdana"/>
                <w:noProof/>
                <w:color w:val="000000" w:themeColor="text1"/>
                <w:sz w:val="18"/>
                <w:szCs w:val="20"/>
              </w:rPr>
            </w:pPr>
            <w:r w:rsidRPr="009B5734">
              <w:rPr>
                <w:rFonts w:ascii="Verdana" w:hAnsi="Verdana"/>
                <w:noProof/>
                <w:color w:val="000000" w:themeColor="text1"/>
                <w:sz w:val="18"/>
                <w:szCs w:val="20"/>
              </w:rPr>
              <w:t>Resource use, fossils (EJ)</w:t>
            </w:r>
          </w:p>
        </w:tc>
        <w:tc>
          <w:tcPr>
            <w:tcW w:w="1667" w:type="pct"/>
            <w:shd w:val="clear" w:color="auto" w:fill="F2F2F2" w:themeFill="background1" w:themeFillShade="F2"/>
          </w:tcPr>
          <w:p w:rsidR="00EA45F9" w:rsidRPr="009B5734" w:rsidRDefault="00EA45F9" w:rsidP="00981615">
            <w:pPr>
              <w:spacing w:before="120"/>
              <w:ind w:left="113" w:firstLine="0"/>
              <w:jc w:val="center"/>
              <w:rPr>
                <w:rFonts w:ascii="Verdana" w:hAnsi="Verdana"/>
                <w:noProof/>
                <w:color w:val="000000" w:themeColor="text1"/>
                <w:sz w:val="18"/>
                <w:szCs w:val="18"/>
              </w:rPr>
            </w:pPr>
            <w:r w:rsidRPr="009B5734">
              <w:rPr>
                <w:rFonts w:ascii="Verdana" w:hAnsi="Verdana"/>
                <w:noProof/>
                <w:color w:val="000000" w:themeColor="text1"/>
                <w:sz w:val="18"/>
                <w:szCs w:val="18"/>
              </w:rPr>
              <w:t>0.02</w:t>
            </w:r>
          </w:p>
        </w:tc>
        <w:tc>
          <w:tcPr>
            <w:tcW w:w="1666" w:type="pct"/>
            <w:shd w:val="clear" w:color="auto" w:fill="F2F2F2" w:themeFill="background1" w:themeFillShade="F2"/>
          </w:tcPr>
          <w:p w:rsidR="00EA45F9" w:rsidRPr="009B5734" w:rsidRDefault="00EA45F9" w:rsidP="00981615">
            <w:pPr>
              <w:spacing w:before="120"/>
              <w:ind w:left="113" w:firstLine="0"/>
              <w:jc w:val="center"/>
              <w:rPr>
                <w:rFonts w:ascii="Verdana" w:hAnsi="Verdana"/>
                <w:noProof/>
                <w:color w:val="000000" w:themeColor="text1"/>
                <w:sz w:val="18"/>
                <w:szCs w:val="18"/>
              </w:rPr>
            </w:pPr>
            <w:r w:rsidRPr="009B5734">
              <w:rPr>
                <w:rFonts w:ascii="Verdana" w:hAnsi="Verdana"/>
                <w:noProof/>
                <w:color w:val="000000" w:themeColor="text1"/>
                <w:sz w:val="18"/>
                <w:szCs w:val="18"/>
              </w:rPr>
              <w:t>0.04</w:t>
            </w:r>
          </w:p>
        </w:tc>
      </w:tr>
      <w:tr w:rsidR="00EA45F9" w:rsidRPr="009B5734" w:rsidTr="00C84A99">
        <w:tc>
          <w:tcPr>
            <w:tcW w:w="1667" w:type="pct"/>
            <w:shd w:val="clear" w:color="auto" w:fill="F2F2F2" w:themeFill="background1" w:themeFillShade="F2"/>
          </w:tcPr>
          <w:p w:rsidR="00EA45F9" w:rsidRPr="009B5734" w:rsidRDefault="00EA45F9" w:rsidP="00981615">
            <w:pPr>
              <w:spacing w:before="120"/>
              <w:ind w:left="113" w:firstLine="0"/>
              <w:jc w:val="left"/>
              <w:rPr>
                <w:rFonts w:ascii="Verdana" w:hAnsi="Verdana"/>
                <w:noProof/>
                <w:color w:val="000000" w:themeColor="text1"/>
                <w:sz w:val="18"/>
                <w:szCs w:val="18"/>
              </w:rPr>
            </w:pPr>
            <w:r w:rsidRPr="009B5734">
              <w:rPr>
                <w:rFonts w:ascii="Verdana" w:hAnsi="Verdana"/>
                <w:noProof/>
                <w:color w:val="000000" w:themeColor="text1"/>
                <w:sz w:val="18"/>
                <w:szCs w:val="18"/>
              </w:rPr>
              <w:t>Resource use, minerals and metals (kt Sb eq)</w:t>
            </w:r>
          </w:p>
        </w:tc>
        <w:tc>
          <w:tcPr>
            <w:tcW w:w="1667" w:type="pct"/>
            <w:shd w:val="clear" w:color="auto" w:fill="F2F2F2" w:themeFill="background1" w:themeFillShade="F2"/>
          </w:tcPr>
          <w:p w:rsidR="00EA45F9" w:rsidRPr="009B5734" w:rsidRDefault="00EA45F9" w:rsidP="00981615">
            <w:pPr>
              <w:spacing w:before="120"/>
              <w:ind w:left="113" w:firstLine="0"/>
              <w:jc w:val="center"/>
              <w:rPr>
                <w:rFonts w:ascii="Verdana" w:hAnsi="Verdana"/>
                <w:noProof/>
                <w:color w:val="000000" w:themeColor="text1"/>
                <w:sz w:val="18"/>
                <w:szCs w:val="18"/>
              </w:rPr>
            </w:pPr>
            <w:r w:rsidRPr="009B5734">
              <w:rPr>
                <w:rFonts w:ascii="Verdana" w:hAnsi="Verdana"/>
                <w:noProof/>
                <w:color w:val="000000" w:themeColor="text1"/>
                <w:sz w:val="18"/>
                <w:szCs w:val="18"/>
              </w:rPr>
              <w:t>0.005</w:t>
            </w:r>
          </w:p>
        </w:tc>
        <w:tc>
          <w:tcPr>
            <w:tcW w:w="1666" w:type="pct"/>
            <w:shd w:val="clear" w:color="auto" w:fill="F2F2F2" w:themeFill="background1" w:themeFillShade="F2"/>
          </w:tcPr>
          <w:p w:rsidR="00EA45F9" w:rsidRPr="009B5734" w:rsidRDefault="00EA45F9" w:rsidP="00981615">
            <w:pPr>
              <w:spacing w:before="120"/>
              <w:ind w:left="113" w:firstLine="0"/>
              <w:jc w:val="center"/>
              <w:rPr>
                <w:rFonts w:ascii="Verdana" w:hAnsi="Verdana"/>
                <w:noProof/>
                <w:color w:val="000000" w:themeColor="text1"/>
                <w:sz w:val="18"/>
                <w:szCs w:val="18"/>
              </w:rPr>
            </w:pPr>
            <w:r w:rsidRPr="009B5734">
              <w:rPr>
                <w:rFonts w:ascii="Verdana" w:hAnsi="Verdana"/>
                <w:noProof/>
                <w:color w:val="000000" w:themeColor="text1"/>
                <w:sz w:val="18"/>
                <w:szCs w:val="18"/>
              </w:rPr>
              <w:t>0.01</w:t>
            </w:r>
          </w:p>
        </w:tc>
      </w:tr>
    </w:tbl>
    <w:p w:rsidR="00EA45F9" w:rsidRPr="009B5734" w:rsidRDefault="00EA45F9" w:rsidP="00EA45F9">
      <w:pPr>
        <w:pStyle w:val="BodyTextEC"/>
        <w:spacing w:before="240"/>
        <w:rPr>
          <w:rFonts w:ascii="Times New Roman" w:hAnsi="Times New Roman" w:cs="Times New Roman"/>
          <w:noProof/>
          <w:sz w:val="24"/>
        </w:rPr>
      </w:pPr>
      <w:r w:rsidRPr="009B5734">
        <w:rPr>
          <w:rFonts w:ascii="Times New Roman" w:hAnsi="Times New Roman" w:cs="Times New Roman"/>
          <w:noProof/>
          <w:sz w:val="24"/>
        </w:rPr>
        <w:t>Source: ICF estimations based on a variety of sources</w:t>
      </w:r>
    </w:p>
    <w:p w:rsidR="00EA45F9" w:rsidRPr="009B5734" w:rsidRDefault="00A00208" w:rsidP="00A00208">
      <w:pPr>
        <w:pStyle w:val="Heading4"/>
        <w:rPr>
          <w:noProof/>
        </w:rPr>
      </w:pPr>
      <w:r w:rsidRPr="00A00208">
        <w:t>2.3.</w:t>
      </w:r>
      <w:r w:rsidRPr="00A00208">
        <w:tab/>
      </w:r>
      <w:r w:rsidR="00EA45F9" w:rsidRPr="009B5734">
        <w:rPr>
          <w:noProof/>
        </w:rPr>
        <w:t xml:space="preserve">Sub-Problem 2.3: </w:t>
      </w:r>
      <w:r w:rsidR="00E00633" w:rsidRPr="009B5734">
        <w:rPr>
          <w:noProof/>
        </w:rPr>
        <w:t>Consumers are faced with a the use of sustainability labels and digital information tools that are not always transparent or credible</w:t>
      </w:r>
    </w:p>
    <w:p w:rsidR="00EA45F9" w:rsidRPr="009B5734" w:rsidRDefault="00EA45F9" w:rsidP="00EA45F9">
      <w:pPr>
        <w:spacing w:after="160" w:line="259" w:lineRule="auto"/>
        <w:ind w:left="0" w:firstLine="0"/>
        <w:jc w:val="left"/>
        <w:rPr>
          <w:rFonts w:ascii="Times New Roman" w:eastAsia="Calibri" w:hAnsi="Times New Roman" w:cs="Times New Roman"/>
          <w:i/>
          <w:iCs/>
          <w:noProof/>
          <w:color w:val="5B9BD5"/>
          <w:sz w:val="24"/>
          <w:szCs w:val="24"/>
        </w:rPr>
      </w:pPr>
      <w:r w:rsidRPr="009B5734">
        <w:rPr>
          <w:rFonts w:ascii="Times New Roman" w:eastAsia="Calibri" w:hAnsi="Times New Roman" w:cs="Times New Roman"/>
          <w:i/>
          <w:iCs/>
          <w:noProof/>
          <w:color w:val="5B9BD5"/>
          <w:sz w:val="24"/>
          <w:szCs w:val="24"/>
        </w:rPr>
        <w:t>Consequences for Consumers</w:t>
      </w:r>
    </w:p>
    <w:p w:rsidR="00EA45F9" w:rsidRPr="009B5734" w:rsidRDefault="00EA45F9" w:rsidP="00EA45F9">
      <w:pPr>
        <w:spacing w:after="160" w:line="259" w:lineRule="auto"/>
        <w:ind w:left="0" w:firstLine="0"/>
        <w:rPr>
          <w:rFonts w:ascii="Times New Roman" w:eastAsia="Calibri" w:hAnsi="Times New Roman" w:cs="Times New Roman"/>
          <w:noProof/>
          <w:color w:val="000000"/>
          <w:sz w:val="24"/>
          <w:szCs w:val="24"/>
        </w:rPr>
      </w:pPr>
      <w:r w:rsidRPr="009B5734">
        <w:rPr>
          <w:rFonts w:ascii="Times New Roman" w:eastAsia="Calibri" w:hAnsi="Times New Roman" w:cs="Times New Roman"/>
          <w:noProof/>
          <w:sz w:val="24"/>
          <w:szCs w:val="24"/>
        </w:rPr>
        <w:t xml:space="preserve">This problem can harm consumers because they purchase products based on the assumption that a certain label is reliable when in fact it is not and because they want to purchase more sustainable products (and even pay a premium) but they do not do it because they do not trust or are confused due to the multitude of labels. However, it is not possible to quantify the detriment as labels cover various sustainability attributes. </w:t>
      </w:r>
    </w:p>
    <w:p w:rsidR="00EA45F9" w:rsidRPr="009B5734" w:rsidRDefault="00EA45F9" w:rsidP="00EA45F9">
      <w:pPr>
        <w:spacing w:after="160" w:line="259" w:lineRule="auto"/>
        <w:ind w:left="0" w:firstLine="0"/>
        <w:jc w:val="left"/>
        <w:rPr>
          <w:rFonts w:ascii="Times New Roman" w:eastAsia="Calibri" w:hAnsi="Times New Roman" w:cs="Times New Roman"/>
          <w:i/>
          <w:iCs/>
          <w:noProof/>
          <w:color w:val="5B9BD5"/>
          <w:sz w:val="24"/>
          <w:szCs w:val="24"/>
        </w:rPr>
      </w:pPr>
      <w:r w:rsidRPr="009B5734">
        <w:rPr>
          <w:rFonts w:ascii="Times New Roman" w:eastAsia="Calibri" w:hAnsi="Times New Roman" w:cs="Times New Roman"/>
          <w:i/>
          <w:iCs/>
          <w:noProof/>
          <w:color w:val="5B9BD5"/>
          <w:sz w:val="24"/>
          <w:szCs w:val="24"/>
        </w:rPr>
        <w:t>Consequences for the Environment</w:t>
      </w:r>
    </w:p>
    <w:p w:rsidR="00EA45F9" w:rsidRPr="009B5734" w:rsidRDefault="00EA45F9" w:rsidP="00EA45F9">
      <w:pPr>
        <w:spacing w:after="160" w:line="259" w:lineRule="auto"/>
        <w:ind w:left="0" w:firstLine="0"/>
        <w:rPr>
          <w:rFonts w:ascii="Times New Roman" w:eastAsia="Calibri" w:hAnsi="Times New Roman" w:cs="Times New Roman"/>
          <w:noProof/>
          <w:sz w:val="24"/>
          <w:szCs w:val="24"/>
        </w:rPr>
      </w:pPr>
      <w:r w:rsidRPr="009B5734">
        <w:rPr>
          <w:rFonts w:ascii="Times New Roman" w:eastAsia="Calibri" w:hAnsi="Times New Roman" w:cs="Times New Roman"/>
          <w:noProof/>
          <w:sz w:val="24"/>
          <w:szCs w:val="24"/>
        </w:rPr>
        <w:t>The fact that consumers end up purchasing products that are not as environmentally friendly as existing alternatives lead to undesired environmental impacts (i.e., the difference between the environmental impact of the purchased product based on misleading claims and the environmental impact of the product that would have been purchased in the absence of greenwashing)</w:t>
      </w:r>
      <w:r w:rsidRPr="009B5734">
        <w:rPr>
          <w:rFonts w:ascii="Times New Roman" w:eastAsia="Calibri" w:hAnsi="Times New Roman" w:cs="Times New Roman"/>
          <w:noProof/>
          <w:sz w:val="24"/>
          <w:szCs w:val="24"/>
          <w:vertAlign w:val="superscript"/>
        </w:rPr>
        <w:footnoteReference w:id="213"/>
      </w:r>
      <w:r w:rsidRPr="009B5734">
        <w:rPr>
          <w:rFonts w:ascii="Times New Roman" w:eastAsia="Calibri" w:hAnsi="Times New Roman" w:cs="Times New Roman"/>
          <w:noProof/>
          <w:sz w:val="24"/>
          <w:szCs w:val="24"/>
        </w:rPr>
        <w:t>. These losses are, however, difficult to quantify as many sustainability labels and logos cover other sustainability aspects that are not related to the environment pillar of sustainability.</w:t>
      </w:r>
    </w:p>
    <w:p w:rsidR="00EA45F9" w:rsidRPr="009B5734" w:rsidRDefault="00EA45F9" w:rsidP="00EA45F9">
      <w:pPr>
        <w:rPr>
          <w:rFonts w:ascii="Times New Roman" w:eastAsia="Times New Roman" w:hAnsi="Times New Roman" w:cs="Times New Roman"/>
          <w:b/>
          <w:smallCaps/>
          <w:noProof/>
          <w:sz w:val="24"/>
          <w:szCs w:val="20"/>
        </w:rPr>
      </w:pPr>
    </w:p>
    <w:p w:rsidR="00EA45F9" w:rsidRPr="009B5734" w:rsidRDefault="00EA45F9" w:rsidP="00EA45F9">
      <w:pPr>
        <w:rPr>
          <w:rFonts w:ascii="Times New Roman" w:eastAsia="Times New Roman" w:hAnsi="Times New Roman" w:cs="Times New Roman"/>
          <w:b/>
          <w:smallCaps/>
          <w:noProof/>
          <w:sz w:val="24"/>
          <w:szCs w:val="20"/>
        </w:rPr>
      </w:pPr>
      <w:r w:rsidRPr="009B5734">
        <w:rPr>
          <w:noProof/>
        </w:rPr>
        <w:br w:type="page"/>
      </w:r>
    </w:p>
    <w:p w:rsidR="00EA45F9" w:rsidRPr="009B5734" w:rsidRDefault="00EA45F9" w:rsidP="00EA45F9">
      <w:pPr>
        <w:pStyle w:val="Heading1"/>
        <w:tabs>
          <w:tab w:val="clear" w:pos="480"/>
        </w:tabs>
        <w:jc w:val="center"/>
        <w:rPr>
          <w:noProof/>
        </w:rPr>
        <w:sectPr w:rsidR="00EA45F9" w:rsidRPr="009B5734" w:rsidSect="00274D02">
          <w:headerReference w:type="even" r:id="rId86"/>
          <w:headerReference w:type="default" r:id="rId87"/>
          <w:footerReference w:type="even" r:id="rId88"/>
          <w:footerReference w:type="default" r:id="rId89"/>
          <w:headerReference w:type="first" r:id="rId90"/>
          <w:footerReference w:type="first" r:id="rId91"/>
          <w:pgSz w:w="11906" w:h="16838"/>
          <w:pgMar w:top="1021" w:right="1701" w:bottom="1021" w:left="1588" w:header="601" w:footer="1077" w:gutter="0"/>
          <w:cols w:space="720"/>
          <w:titlePg/>
          <w:docGrid w:linePitch="299"/>
        </w:sectPr>
      </w:pPr>
    </w:p>
    <w:p w:rsidR="00EA45F9" w:rsidRPr="009B5734" w:rsidRDefault="00EA45F9" w:rsidP="00EA45F9">
      <w:pPr>
        <w:pStyle w:val="Heading1"/>
        <w:jc w:val="center"/>
        <w:rPr>
          <w:noProof/>
        </w:rPr>
      </w:pPr>
      <w:bookmarkStart w:id="638" w:name="_Annex_6:_Overview_1"/>
      <w:bookmarkStart w:id="639" w:name="_Toc75440998"/>
      <w:bookmarkStart w:id="640" w:name="_Toc75446997"/>
      <w:bookmarkStart w:id="641" w:name="_Toc75448870"/>
      <w:bookmarkStart w:id="642" w:name="_Toc77844264"/>
      <w:bookmarkStart w:id="643" w:name="_Toc86391767"/>
      <w:bookmarkEnd w:id="638"/>
      <w:r w:rsidRPr="009B5734">
        <w:rPr>
          <w:noProof/>
        </w:rPr>
        <w:t>Annex 6: Overview of relevant existing and upcoming national legislative initiatives</w:t>
      </w:r>
      <w:bookmarkEnd w:id="629"/>
      <w:bookmarkEnd w:id="630"/>
      <w:bookmarkEnd w:id="631"/>
      <w:bookmarkEnd w:id="632"/>
      <w:bookmarkEnd w:id="633"/>
      <w:bookmarkEnd w:id="639"/>
      <w:bookmarkEnd w:id="640"/>
      <w:bookmarkEnd w:id="641"/>
      <w:bookmarkEnd w:id="642"/>
      <w:bookmarkEnd w:id="643"/>
    </w:p>
    <w:p w:rsidR="00EA45F9" w:rsidRPr="009B5734" w:rsidRDefault="00EA45F9" w:rsidP="00EA45F9">
      <w:pPr>
        <w:ind w:left="0" w:firstLine="0"/>
        <w:rPr>
          <w:noProof/>
          <w:sz w:val="24"/>
          <w:szCs w:val="24"/>
        </w:rPr>
      </w:pPr>
      <w:r w:rsidRPr="009B5734">
        <w:rPr>
          <w:rFonts w:ascii="Times New Roman" w:hAnsi="Times New Roman" w:cs="Times New Roman"/>
          <w:noProof/>
          <w:sz w:val="24"/>
          <w:szCs w:val="24"/>
        </w:rPr>
        <w:t xml:space="preserve">The table below presents national legislative initiatives, either already adopted or in the pipeline, and which aim at addressing the problems and sub-problems identified in this Impact Assessment. </w:t>
      </w:r>
    </w:p>
    <w:p w:rsidR="00EA45F9" w:rsidRPr="009B5734" w:rsidRDefault="00EA45F9" w:rsidP="00EA45F9">
      <w:pPr>
        <w:rPr>
          <w:noProof/>
        </w:rPr>
      </w:pPr>
    </w:p>
    <w:p w:rsidR="00EA45F9" w:rsidRPr="009B5734" w:rsidRDefault="00EA45F9" w:rsidP="00EA45F9">
      <w:pPr>
        <w:rPr>
          <w:noProof/>
        </w:rPr>
      </w:pPr>
    </w:p>
    <w:tbl>
      <w:tblPr>
        <w:tblStyle w:val="TableGrid"/>
        <w:tblpPr w:leftFromText="141" w:rightFromText="141" w:vertAnchor="text" w:tblpXSpec="center" w:tblpY="1"/>
        <w:tblOverlap w:val="never"/>
        <w:tblW w:w="12158" w:type="dxa"/>
        <w:tblBorders>
          <w:top w:val="single" w:sz="4" w:space="0" w:color="FFFFFF" w:themeColor="background1"/>
        </w:tblBorders>
        <w:shd w:val="clear" w:color="auto" w:fill="003399"/>
        <w:tblLayout w:type="fixed"/>
        <w:tblLook w:val="04A0" w:firstRow="1" w:lastRow="0" w:firstColumn="1" w:lastColumn="0" w:noHBand="0" w:noVBand="1"/>
        <w:tblDescription w:val="False|True|False"/>
      </w:tblPr>
      <w:tblGrid>
        <w:gridCol w:w="1736"/>
        <w:gridCol w:w="1737"/>
        <w:gridCol w:w="1737"/>
        <w:gridCol w:w="1737"/>
        <w:gridCol w:w="1737"/>
        <w:gridCol w:w="1737"/>
        <w:gridCol w:w="1737"/>
      </w:tblGrid>
      <w:tr w:rsidR="00EA45F9" w:rsidRPr="009B5734" w:rsidTr="00C84A99">
        <w:trPr>
          <w:trHeight w:val="274"/>
          <w:tblHeader/>
        </w:trPr>
        <w:tc>
          <w:tcPr>
            <w:tcW w:w="1736" w:type="dxa"/>
            <w:vMerge w:val="restart"/>
            <w:shd w:val="clear" w:color="auto" w:fill="003399"/>
            <w:vAlign w:val="center"/>
          </w:tcPr>
          <w:p w:rsidR="00EA45F9" w:rsidRPr="009B5734" w:rsidRDefault="00EA45F9" w:rsidP="00981615">
            <w:pPr>
              <w:jc w:val="center"/>
              <w:rPr>
                <w:rFonts w:ascii="Verdana" w:hAnsi="Verdana" w:cs="Arial"/>
                <w:b/>
                <w:noProof/>
                <w:sz w:val="16"/>
                <w:szCs w:val="16"/>
              </w:rPr>
            </w:pPr>
          </w:p>
          <w:p w:rsidR="00EA45F9" w:rsidRPr="009B5734" w:rsidRDefault="00EA45F9" w:rsidP="00981615">
            <w:pPr>
              <w:jc w:val="center"/>
              <w:rPr>
                <w:rFonts w:ascii="Verdana" w:hAnsi="Verdana" w:cs="Arial"/>
                <w:b/>
                <w:noProof/>
                <w:sz w:val="16"/>
                <w:szCs w:val="16"/>
              </w:rPr>
            </w:pPr>
          </w:p>
        </w:tc>
        <w:tc>
          <w:tcPr>
            <w:tcW w:w="5211" w:type="dxa"/>
            <w:gridSpan w:val="3"/>
            <w:vMerge w:val="restart"/>
            <w:shd w:val="clear" w:color="auto" w:fill="003399"/>
          </w:tcPr>
          <w:p w:rsidR="00EA45F9" w:rsidRPr="009B5734" w:rsidRDefault="00EA45F9" w:rsidP="00981615">
            <w:pPr>
              <w:jc w:val="center"/>
              <w:rPr>
                <w:rFonts w:ascii="Verdana" w:hAnsi="Verdana" w:cs="Arial"/>
                <w:b/>
                <w:noProof/>
                <w:sz w:val="16"/>
                <w:szCs w:val="16"/>
              </w:rPr>
            </w:pPr>
            <w:r w:rsidRPr="009B5734">
              <w:rPr>
                <w:rFonts w:ascii="Verdana" w:hAnsi="Verdana" w:cs="Arial"/>
                <w:b/>
                <w:noProof/>
                <w:sz w:val="16"/>
                <w:szCs w:val="16"/>
              </w:rPr>
              <w:t>Provision of information</w:t>
            </w:r>
          </w:p>
        </w:tc>
        <w:tc>
          <w:tcPr>
            <w:tcW w:w="5211" w:type="dxa"/>
            <w:gridSpan w:val="3"/>
            <w:shd w:val="clear" w:color="auto" w:fill="003399"/>
            <w:vAlign w:val="center"/>
          </w:tcPr>
          <w:p w:rsidR="00EA45F9" w:rsidRPr="009B5734" w:rsidRDefault="00EA45F9" w:rsidP="00981615">
            <w:pPr>
              <w:jc w:val="center"/>
              <w:rPr>
                <w:rFonts w:ascii="Verdana" w:hAnsi="Verdana" w:cs="Arial"/>
                <w:b/>
                <w:noProof/>
                <w:sz w:val="16"/>
                <w:szCs w:val="16"/>
              </w:rPr>
            </w:pPr>
            <w:r w:rsidRPr="009B5734">
              <w:rPr>
                <w:rFonts w:ascii="Verdana" w:hAnsi="Verdana" w:cs="Arial"/>
                <w:b/>
                <w:noProof/>
                <w:sz w:val="16"/>
                <w:szCs w:val="16"/>
              </w:rPr>
              <w:t>Untrustworthy information or practices</w:t>
            </w:r>
          </w:p>
        </w:tc>
      </w:tr>
      <w:tr w:rsidR="00EA45F9" w:rsidRPr="009B5734" w:rsidTr="00C84A99">
        <w:trPr>
          <w:trHeight w:val="274"/>
          <w:tblHeader/>
        </w:trPr>
        <w:tc>
          <w:tcPr>
            <w:tcW w:w="1736" w:type="dxa"/>
            <w:vMerge/>
            <w:shd w:val="clear" w:color="auto" w:fill="003399"/>
            <w:vAlign w:val="center"/>
          </w:tcPr>
          <w:p w:rsidR="00EA45F9" w:rsidRPr="009B5734" w:rsidRDefault="00EA45F9" w:rsidP="00981615">
            <w:pPr>
              <w:jc w:val="center"/>
              <w:rPr>
                <w:rFonts w:ascii="Verdana" w:hAnsi="Verdana" w:cs="Arial"/>
                <w:b/>
                <w:noProof/>
                <w:sz w:val="16"/>
                <w:szCs w:val="16"/>
              </w:rPr>
            </w:pPr>
          </w:p>
        </w:tc>
        <w:tc>
          <w:tcPr>
            <w:tcW w:w="5211" w:type="dxa"/>
            <w:gridSpan w:val="3"/>
            <w:vMerge/>
            <w:shd w:val="clear" w:color="auto" w:fill="003399"/>
          </w:tcPr>
          <w:p w:rsidR="00EA45F9" w:rsidRPr="009B5734" w:rsidRDefault="00EA45F9" w:rsidP="00981615">
            <w:pPr>
              <w:jc w:val="center"/>
              <w:rPr>
                <w:rFonts w:ascii="Verdana" w:hAnsi="Verdana" w:cs="Arial"/>
                <w:b/>
                <w:noProof/>
                <w:sz w:val="16"/>
                <w:szCs w:val="16"/>
              </w:rPr>
            </w:pPr>
          </w:p>
        </w:tc>
        <w:tc>
          <w:tcPr>
            <w:tcW w:w="1737" w:type="dxa"/>
            <w:vMerge w:val="restart"/>
            <w:shd w:val="clear" w:color="auto" w:fill="003399"/>
            <w:vAlign w:val="center"/>
          </w:tcPr>
          <w:p w:rsidR="00EA45F9" w:rsidRPr="009B5734" w:rsidRDefault="00EA45F9" w:rsidP="00981615">
            <w:pPr>
              <w:jc w:val="center"/>
              <w:rPr>
                <w:rFonts w:ascii="Verdana" w:hAnsi="Verdana" w:cs="Arial"/>
                <w:b/>
                <w:noProof/>
                <w:sz w:val="16"/>
                <w:szCs w:val="16"/>
              </w:rPr>
            </w:pPr>
            <w:r w:rsidRPr="009B5734">
              <w:rPr>
                <w:rFonts w:ascii="Verdana" w:hAnsi="Verdana" w:cs="Arial"/>
                <w:b/>
                <w:noProof/>
                <w:sz w:val="16"/>
                <w:szCs w:val="16"/>
              </w:rPr>
              <w:t>Obsolescence</w:t>
            </w:r>
          </w:p>
        </w:tc>
        <w:tc>
          <w:tcPr>
            <w:tcW w:w="1737" w:type="dxa"/>
            <w:vMerge w:val="restart"/>
            <w:shd w:val="clear" w:color="auto" w:fill="003399"/>
            <w:vAlign w:val="center"/>
          </w:tcPr>
          <w:p w:rsidR="00EA45F9" w:rsidRPr="009B5734" w:rsidRDefault="00EA45F9" w:rsidP="00981615">
            <w:pPr>
              <w:jc w:val="center"/>
              <w:rPr>
                <w:rFonts w:ascii="Verdana" w:hAnsi="Verdana" w:cs="Arial"/>
                <w:b/>
                <w:noProof/>
                <w:sz w:val="16"/>
                <w:szCs w:val="16"/>
              </w:rPr>
            </w:pPr>
            <w:r w:rsidRPr="009B5734">
              <w:rPr>
                <w:rFonts w:ascii="Verdana" w:hAnsi="Verdana" w:cs="Arial"/>
                <w:b/>
                <w:noProof/>
                <w:sz w:val="16"/>
                <w:szCs w:val="16"/>
              </w:rPr>
              <w:t>Greenwashing</w:t>
            </w:r>
          </w:p>
        </w:tc>
        <w:tc>
          <w:tcPr>
            <w:tcW w:w="1737" w:type="dxa"/>
            <w:vMerge w:val="restart"/>
            <w:shd w:val="clear" w:color="auto" w:fill="003399"/>
            <w:vAlign w:val="center"/>
          </w:tcPr>
          <w:p w:rsidR="00EA45F9" w:rsidRPr="009B5734" w:rsidRDefault="00EA45F9" w:rsidP="00981615">
            <w:pPr>
              <w:jc w:val="center"/>
              <w:rPr>
                <w:rFonts w:ascii="Verdana" w:hAnsi="Verdana" w:cs="Arial"/>
                <w:b/>
                <w:noProof/>
                <w:sz w:val="16"/>
                <w:szCs w:val="16"/>
              </w:rPr>
            </w:pPr>
            <w:r w:rsidRPr="009B5734">
              <w:rPr>
                <w:rFonts w:ascii="Verdana" w:hAnsi="Verdana" w:cs="Arial"/>
                <w:b/>
                <w:noProof/>
                <w:sz w:val="16"/>
                <w:szCs w:val="16"/>
              </w:rPr>
              <w:t>Sustainable labels and logos</w:t>
            </w:r>
          </w:p>
        </w:tc>
      </w:tr>
      <w:tr w:rsidR="00EA45F9" w:rsidRPr="009B5734" w:rsidTr="00C84A99">
        <w:trPr>
          <w:trHeight w:val="206"/>
          <w:tblHeader/>
        </w:trPr>
        <w:tc>
          <w:tcPr>
            <w:tcW w:w="1736" w:type="dxa"/>
            <w:vMerge/>
            <w:shd w:val="clear" w:color="auto" w:fill="003399"/>
          </w:tcPr>
          <w:p w:rsidR="00EA45F9" w:rsidRPr="009B5734" w:rsidRDefault="00EA45F9" w:rsidP="00981615">
            <w:pPr>
              <w:jc w:val="center"/>
              <w:rPr>
                <w:b/>
                <w:noProof/>
                <w:sz w:val="16"/>
                <w:szCs w:val="16"/>
              </w:rPr>
            </w:pPr>
          </w:p>
        </w:tc>
        <w:tc>
          <w:tcPr>
            <w:tcW w:w="1737" w:type="dxa"/>
            <w:shd w:val="clear" w:color="auto" w:fill="003399"/>
            <w:vAlign w:val="center"/>
          </w:tcPr>
          <w:p w:rsidR="00EA45F9" w:rsidRPr="009B5734" w:rsidRDefault="00EA45F9" w:rsidP="00981615">
            <w:pPr>
              <w:jc w:val="center"/>
              <w:rPr>
                <w:rFonts w:ascii="Verdana" w:hAnsi="Verdana"/>
                <w:b/>
                <w:noProof/>
                <w:sz w:val="16"/>
                <w:szCs w:val="16"/>
              </w:rPr>
            </w:pPr>
            <w:r w:rsidRPr="009B5734">
              <w:rPr>
                <w:rFonts w:ascii="Verdana" w:hAnsi="Verdana"/>
                <w:b/>
                <w:noProof/>
                <w:sz w:val="16"/>
                <w:szCs w:val="16"/>
              </w:rPr>
              <w:t>Durability</w:t>
            </w:r>
          </w:p>
        </w:tc>
        <w:tc>
          <w:tcPr>
            <w:tcW w:w="1737" w:type="dxa"/>
            <w:shd w:val="clear" w:color="auto" w:fill="003399"/>
            <w:vAlign w:val="center"/>
          </w:tcPr>
          <w:p w:rsidR="00EA45F9" w:rsidRPr="009B5734" w:rsidRDefault="00EA45F9" w:rsidP="00981615">
            <w:pPr>
              <w:jc w:val="center"/>
              <w:rPr>
                <w:rFonts w:ascii="Verdana" w:hAnsi="Verdana"/>
                <w:b/>
                <w:noProof/>
                <w:sz w:val="16"/>
                <w:szCs w:val="16"/>
              </w:rPr>
            </w:pPr>
            <w:r w:rsidRPr="009B5734">
              <w:rPr>
                <w:rFonts w:ascii="Verdana" w:hAnsi="Verdana"/>
                <w:b/>
                <w:noProof/>
                <w:sz w:val="16"/>
                <w:szCs w:val="16"/>
              </w:rPr>
              <w:t>Reparability</w:t>
            </w:r>
          </w:p>
        </w:tc>
        <w:tc>
          <w:tcPr>
            <w:tcW w:w="1737" w:type="dxa"/>
            <w:shd w:val="clear" w:color="auto" w:fill="003399"/>
            <w:vAlign w:val="center"/>
          </w:tcPr>
          <w:p w:rsidR="00EA45F9" w:rsidRPr="009B5734" w:rsidRDefault="00EA45F9" w:rsidP="00981615">
            <w:pPr>
              <w:jc w:val="center"/>
              <w:rPr>
                <w:rFonts w:ascii="Verdana" w:hAnsi="Verdana"/>
                <w:b/>
                <w:noProof/>
                <w:sz w:val="16"/>
                <w:szCs w:val="16"/>
              </w:rPr>
            </w:pPr>
            <w:r w:rsidRPr="009B5734">
              <w:rPr>
                <w:rFonts w:ascii="Verdana" w:hAnsi="Verdana"/>
                <w:b/>
                <w:noProof/>
                <w:sz w:val="16"/>
                <w:szCs w:val="16"/>
              </w:rPr>
              <w:t>Environmental information</w:t>
            </w:r>
          </w:p>
        </w:tc>
        <w:tc>
          <w:tcPr>
            <w:tcW w:w="1737" w:type="dxa"/>
            <w:vMerge/>
            <w:shd w:val="clear" w:color="auto" w:fill="003399"/>
          </w:tcPr>
          <w:p w:rsidR="00EA45F9" w:rsidRPr="009B5734" w:rsidRDefault="00EA45F9" w:rsidP="00981615">
            <w:pPr>
              <w:jc w:val="center"/>
              <w:rPr>
                <w:b/>
                <w:noProof/>
                <w:sz w:val="16"/>
                <w:szCs w:val="16"/>
              </w:rPr>
            </w:pPr>
          </w:p>
        </w:tc>
        <w:tc>
          <w:tcPr>
            <w:tcW w:w="1737" w:type="dxa"/>
            <w:vMerge/>
            <w:shd w:val="clear" w:color="auto" w:fill="003399"/>
          </w:tcPr>
          <w:p w:rsidR="00EA45F9" w:rsidRPr="009B5734" w:rsidRDefault="00EA45F9" w:rsidP="00981615">
            <w:pPr>
              <w:jc w:val="center"/>
              <w:rPr>
                <w:b/>
                <w:noProof/>
                <w:sz w:val="16"/>
                <w:szCs w:val="16"/>
              </w:rPr>
            </w:pPr>
          </w:p>
        </w:tc>
        <w:tc>
          <w:tcPr>
            <w:tcW w:w="1737" w:type="dxa"/>
            <w:vMerge/>
            <w:shd w:val="clear" w:color="auto" w:fill="003399"/>
          </w:tcPr>
          <w:p w:rsidR="00EA45F9" w:rsidRPr="009B5734" w:rsidRDefault="00EA45F9" w:rsidP="00981615">
            <w:pPr>
              <w:jc w:val="center"/>
              <w:rPr>
                <w:b/>
                <w:noProof/>
                <w:sz w:val="16"/>
                <w:szCs w:val="16"/>
              </w:rPr>
            </w:pPr>
          </w:p>
        </w:tc>
      </w:tr>
      <w:tr w:rsidR="00EA45F9" w:rsidRPr="009B5734" w:rsidTr="70D97C89">
        <w:tc>
          <w:tcPr>
            <w:tcW w:w="1736" w:type="dxa"/>
            <w:shd w:val="clear" w:color="auto" w:fill="FFFFFF" w:themeFill="background1"/>
          </w:tcPr>
          <w:p w:rsidR="00EA45F9" w:rsidRPr="009B5734" w:rsidRDefault="00EA45F9" w:rsidP="00981615">
            <w:pPr>
              <w:jc w:val="center"/>
              <w:rPr>
                <w:b/>
                <w:bCs/>
                <w:noProof/>
              </w:rPr>
            </w:pPr>
          </w:p>
          <w:p w:rsidR="00EA45F9" w:rsidRPr="009B5734" w:rsidRDefault="00EA45F9" w:rsidP="00981615">
            <w:pPr>
              <w:jc w:val="center"/>
              <w:rPr>
                <w:b/>
                <w:bCs/>
                <w:noProof/>
              </w:rPr>
            </w:pPr>
            <w:r w:rsidRPr="009B5734">
              <w:rPr>
                <w:b/>
                <w:bCs/>
                <w:noProof/>
              </w:rPr>
              <w:t xml:space="preserve">Legislation and initiatives at </w:t>
            </w:r>
          </w:p>
          <w:p w:rsidR="00EA45F9" w:rsidRPr="009B5734" w:rsidRDefault="00EA45F9" w:rsidP="00981615">
            <w:pPr>
              <w:jc w:val="center"/>
              <w:rPr>
                <w:b/>
                <w:noProof/>
                <w:sz w:val="16"/>
                <w:szCs w:val="16"/>
              </w:rPr>
            </w:pPr>
            <w:r w:rsidRPr="009B5734">
              <w:rPr>
                <w:b/>
                <w:bCs/>
                <w:noProof/>
              </w:rPr>
              <w:t>national level</w:t>
            </w:r>
          </w:p>
        </w:tc>
        <w:tc>
          <w:tcPr>
            <w:tcW w:w="1737" w:type="dxa"/>
            <w:shd w:val="clear" w:color="auto" w:fill="FFFFFF" w:themeFill="background1"/>
          </w:tcPr>
          <w:p w:rsidR="00EA45F9" w:rsidRPr="009B5734" w:rsidRDefault="00EA45F9" w:rsidP="00981615">
            <w:pPr>
              <w:ind w:left="3" w:hanging="3"/>
              <w:jc w:val="left"/>
              <w:rPr>
                <w:b/>
                <w:bCs/>
                <w:noProof/>
                <w:sz w:val="16"/>
                <w:szCs w:val="16"/>
              </w:rPr>
            </w:pPr>
          </w:p>
          <w:tbl>
            <w:tblPr>
              <w:tblStyle w:val="TableGrid"/>
              <w:tblW w:w="0" w:type="auto"/>
              <w:tblLayout w:type="fixed"/>
              <w:tblLook w:val="04A0" w:firstRow="1" w:lastRow="0" w:firstColumn="1" w:lastColumn="0" w:noHBand="0" w:noVBand="1"/>
            </w:tblPr>
            <w:tblGrid>
              <w:gridCol w:w="1518"/>
            </w:tblGrid>
            <w:tr w:rsidR="00EA45F9" w:rsidRPr="009B5734" w:rsidTr="00981615">
              <w:trPr>
                <w:trHeight w:val="827"/>
              </w:trPr>
              <w:tc>
                <w:tcPr>
                  <w:tcW w:w="1518" w:type="dxa"/>
                </w:tcPr>
                <w:p w:rsidR="00EA45F9" w:rsidRPr="009B5734" w:rsidRDefault="00EA45F9" w:rsidP="00CF264A">
                  <w:pPr>
                    <w:framePr w:hSpace="141" w:wrap="around" w:vAnchor="text" w:hAnchor="text" w:xAlign="center" w:y="1"/>
                    <w:ind w:left="3" w:hanging="3"/>
                    <w:suppressOverlap/>
                    <w:jc w:val="center"/>
                    <w:rPr>
                      <w:b/>
                      <w:bCs/>
                      <w:noProof/>
                      <w:sz w:val="16"/>
                      <w:szCs w:val="16"/>
                    </w:rPr>
                  </w:pPr>
                  <w:r w:rsidRPr="009B5734">
                    <w:rPr>
                      <w:b/>
                      <w:bCs/>
                      <w:noProof/>
                      <w:sz w:val="16"/>
                      <w:szCs w:val="16"/>
                    </w:rPr>
                    <w:t xml:space="preserve">France </w:t>
                  </w:r>
                </w:p>
              </w:tc>
            </w:tr>
          </w:tbl>
          <w:p w:rsidR="00EA45F9" w:rsidRPr="009B5734" w:rsidRDefault="00EA45F9" w:rsidP="00981615">
            <w:pPr>
              <w:ind w:left="3" w:hanging="3"/>
              <w:jc w:val="left"/>
              <w:rPr>
                <w:noProof/>
                <w:sz w:val="16"/>
                <w:szCs w:val="16"/>
              </w:rPr>
            </w:pPr>
          </w:p>
          <w:p w:rsidR="00EA45F9" w:rsidRPr="009B5734" w:rsidRDefault="00EA45F9" w:rsidP="00981615">
            <w:pPr>
              <w:shd w:val="clear" w:color="auto" w:fill="C9D6FF"/>
              <w:ind w:left="3" w:hanging="3"/>
              <w:jc w:val="center"/>
              <w:rPr>
                <w:b/>
                <w:bCs/>
                <w:noProof/>
                <w:sz w:val="16"/>
                <w:szCs w:val="16"/>
              </w:rPr>
            </w:pPr>
            <w:r w:rsidRPr="009B5734">
              <w:rPr>
                <w:b/>
                <w:bCs/>
                <w:noProof/>
                <w:sz w:val="16"/>
                <w:szCs w:val="16"/>
              </w:rPr>
              <w:t>Durability index</w:t>
            </w:r>
          </w:p>
          <w:p w:rsidR="00EA45F9" w:rsidRPr="009B5734" w:rsidRDefault="00EA45F9" w:rsidP="00981615">
            <w:pPr>
              <w:ind w:left="3" w:hanging="3"/>
              <w:jc w:val="left"/>
              <w:rPr>
                <w:b/>
                <w:bCs/>
                <w:noProof/>
                <w:sz w:val="16"/>
                <w:szCs w:val="16"/>
              </w:rPr>
            </w:pPr>
          </w:p>
          <w:p w:rsidR="00EA45F9" w:rsidRPr="009B5734" w:rsidRDefault="00EA45F9" w:rsidP="00981615">
            <w:pPr>
              <w:ind w:left="3" w:hanging="3"/>
              <w:jc w:val="left"/>
              <w:rPr>
                <w:noProof/>
                <w:sz w:val="16"/>
                <w:szCs w:val="16"/>
              </w:rPr>
            </w:pPr>
            <w:r w:rsidRPr="009B5734">
              <w:rPr>
                <w:b/>
                <w:bCs/>
                <w:noProof/>
                <w:sz w:val="16"/>
                <w:szCs w:val="16"/>
              </w:rPr>
              <w:t>France</w:t>
            </w:r>
            <w:r w:rsidRPr="009B5734">
              <w:rPr>
                <w:noProof/>
                <w:sz w:val="16"/>
                <w:szCs w:val="16"/>
              </w:rPr>
              <w:t xml:space="preserve"> </w:t>
            </w:r>
            <w:r w:rsidRPr="009B5734">
              <w:rPr>
                <w:b/>
                <w:bCs/>
                <w:noProof/>
                <w:sz w:val="16"/>
                <w:szCs w:val="16"/>
              </w:rPr>
              <w:t>– Durability Index</w:t>
            </w:r>
            <w:r w:rsidRPr="009B5734">
              <w:rPr>
                <w:noProof/>
                <w:sz w:val="16"/>
                <w:szCs w:val="16"/>
              </w:rPr>
              <w:t xml:space="preserve">: introduced by the Circular Economy Law 2020, it will integrate/replace the </w:t>
            </w:r>
            <w:r w:rsidR="004555D8" w:rsidRPr="009B5734">
              <w:rPr>
                <w:noProof/>
                <w:sz w:val="16"/>
                <w:szCs w:val="16"/>
              </w:rPr>
              <w:t>Reparability</w:t>
            </w:r>
            <w:r w:rsidRPr="009B5734">
              <w:rPr>
                <w:noProof/>
                <w:sz w:val="16"/>
                <w:szCs w:val="16"/>
              </w:rPr>
              <w:t xml:space="preserve"> Index from 2024. It</w:t>
            </w:r>
            <w:r w:rsidRPr="009B5734">
              <w:rPr>
                <w:noProof/>
              </w:rPr>
              <w:t xml:space="preserve"> </w:t>
            </w:r>
            <w:r w:rsidRPr="009B5734">
              <w:rPr>
                <w:noProof/>
                <w:sz w:val="16"/>
                <w:szCs w:val="16"/>
              </w:rPr>
              <w:t>obliges producers, importers, distributors or any other person placing electrical and electronic products on the market to inform consumers on reliability and robustness</w:t>
            </w:r>
            <w:r w:rsidRPr="009B5734">
              <w:rPr>
                <w:noProof/>
              </w:rPr>
              <w:t xml:space="preserve"> </w:t>
            </w:r>
            <w:r w:rsidRPr="009B5734">
              <w:rPr>
                <w:noProof/>
                <w:sz w:val="16"/>
                <w:szCs w:val="16"/>
              </w:rPr>
              <w:t>of a list of products to be established.</w:t>
            </w:r>
            <w:r w:rsidRPr="009B5734" w:rsidDel="00747B58">
              <w:rPr>
                <w:noProof/>
                <w:sz w:val="16"/>
                <w:szCs w:val="16"/>
              </w:rPr>
              <w:t xml:space="preserve"> </w:t>
            </w:r>
          </w:p>
          <w:p w:rsidR="00EA45F9" w:rsidRPr="009B5734" w:rsidRDefault="00EA45F9" w:rsidP="00981615">
            <w:pPr>
              <w:ind w:left="3" w:hanging="3"/>
              <w:jc w:val="left"/>
              <w:rPr>
                <w:b/>
                <w:noProof/>
                <w:sz w:val="16"/>
                <w:szCs w:val="16"/>
              </w:rPr>
            </w:pPr>
          </w:p>
          <w:p w:rsidR="00EA45F9" w:rsidRPr="009B5734" w:rsidRDefault="00EA45F9" w:rsidP="00981615">
            <w:pPr>
              <w:ind w:left="3" w:hanging="3"/>
              <w:jc w:val="left"/>
              <w:rPr>
                <w:b/>
                <w:noProof/>
                <w:sz w:val="16"/>
                <w:szCs w:val="16"/>
              </w:rPr>
            </w:pPr>
          </w:p>
        </w:tc>
        <w:tc>
          <w:tcPr>
            <w:tcW w:w="1737" w:type="dxa"/>
            <w:shd w:val="clear" w:color="auto" w:fill="FFFFFF" w:themeFill="background1"/>
          </w:tcPr>
          <w:p w:rsidR="00EA45F9" w:rsidRPr="009B5734" w:rsidRDefault="00EA45F9" w:rsidP="00981615">
            <w:pPr>
              <w:ind w:left="0" w:firstLine="0"/>
              <w:jc w:val="left"/>
              <w:rPr>
                <w:b/>
                <w:bCs/>
                <w:noProof/>
                <w:sz w:val="16"/>
                <w:szCs w:val="16"/>
              </w:rPr>
            </w:pPr>
          </w:p>
          <w:tbl>
            <w:tblPr>
              <w:tblStyle w:val="TableGrid"/>
              <w:tblW w:w="0" w:type="auto"/>
              <w:tblLayout w:type="fixed"/>
              <w:tblLook w:val="04A0" w:firstRow="1" w:lastRow="0" w:firstColumn="1" w:lastColumn="0" w:noHBand="0" w:noVBand="1"/>
            </w:tblPr>
            <w:tblGrid>
              <w:gridCol w:w="1517"/>
            </w:tblGrid>
            <w:tr w:rsidR="00EA45F9" w:rsidRPr="009B5734" w:rsidTr="00981615">
              <w:trPr>
                <w:trHeight w:val="827"/>
              </w:trPr>
              <w:tc>
                <w:tcPr>
                  <w:tcW w:w="1517" w:type="dxa"/>
                </w:tcPr>
                <w:p w:rsidR="00EA45F9" w:rsidRPr="009B5734" w:rsidRDefault="00EA45F9" w:rsidP="00CF264A">
                  <w:pPr>
                    <w:framePr w:hSpace="141" w:wrap="around" w:vAnchor="text" w:hAnchor="text" w:xAlign="center" w:y="1"/>
                    <w:ind w:left="0" w:firstLine="0"/>
                    <w:suppressOverlap/>
                    <w:jc w:val="center"/>
                    <w:rPr>
                      <w:b/>
                      <w:bCs/>
                      <w:noProof/>
                      <w:sz w:val="16"/>
                      <w:szCs w:val="16"/>
                    </w:rPr>
                  </w:pPr>
                  <w:r w:rsidRPr="009B5734">
                    <w:rPr>
                      <w:b/>
                      <w:bCs/>
                      <w:noProof/>
                      <w:sz w:val="16"/>
                      <w:szCs w:val="16"/>
                    </w:rPr>
                    <w:t xml:space="preserve">France, Slovenia and Finland </w:t>
                  </w:r>
                </w:p>
              </w:tc>
            </w:tr>
          </w:tbl>
          <w:p w:rsidR="00EA45F9" w:rsidRPr="009B5734" w:rsidRDefault="00EA45F9" w:rsidP="00981615">
            <w:pPr>
              <w:ind w:left="0" w:firstLine="0"/>
              <w:jc w:val="left"/>
              <w:rPr>
                <w:noProof/>
                <w:sz w:val="16"/>
                <w:szCs w:val="16"/>
              </w:rPr>
            </w:pPr>
          </w:p>
          <w:p w:rsidR="00EA45F9" w:rsidRPr="009B5734" w:rsidRDefault="00EA45F9" w:rsidP="00981615">
            <w:pPr>
              <w:shd w:val="clear" w:color="auto" w:fill="C9D6FF"/>
              <w:ind w:left="0" w:firstLine="0"/>
              <w:jc w:val="center"/>
              <w:rPr>
                <w:b/>
                <w:bCs/>
                <w:noProof/>
                <w:sz w:val="16"/>
                <w:szCs w:val="16"/>
              </w:rPr>
            </w:pPr>
            <w:r w:rsidRPr="009B5734">
              <w:rPr>
                <w:b/>
                <w:bCs/>
                <w:noProof/>
                <w:sz w:val="16"/>
                <w:szCs w:val="16"/>
              </w:rPr>
              <w:t>Reparability index</w:t>
            </w:r>
          </w:p>
          <w:p w:rsidR="00EA45F9" w:rsidRPr="009B5734" w:rsidRDefault="00EA45F9" w:rsidP="00981615">
            <w:pPr>
              <w:ind w:left="0" w:firstLine="0"/>
              <w:jc w:val="left"/>
              <w:rPr>
                <w:b/>
                <w:bCs/>
                <w:noProof/>
                <w:sz w:val="16"/>
                <w:szCs w:val="16"/>
              </w:rPr>
            </w:pPr>
          </w:p>
          <w:p w:rsidR="00EA45F9" w:rsidRPr="009B5734" w:rsidRDefault="00EA45F9" w:rsidP="00981615">
            <w:pPr>
              <w:ind w:left="0" w:firstLine="0"/>
              <w:jc w:val="left"/>
              <w:rPr>
                <w:noProof/>
                <w:sz w:val="16"/>
                <w:szCs w:val="16"/>
              </w:rPr>
            </w:pPr>
            <w:r w:rsidRPr="009B5734">
              <w:rPr>
                <w:b/>
                <w:bCs/>
                <w:noProof/>
                <w:sz w:val="16"/>
                <w:szCs w:val="16"/>
              </w:rPr>
              <w:t xml:space="preserve">France – </w:t>
            </w:r>
            <w:r w:rsidR="004555D8" w:rsidRPr="009B5734">
              <w:rPr>
                <w:b/>
                <w:bCs/>
                <w:noProof/>
                <w:sz w:val="16"/>
                <w:szCs w:val="16"/>
              </w:rPr>
              <w:t>Reparability</w:t>
            </w:r>
            <w:r w:rsidRPr="009B5734">
              <w:rPr>
                <w:b/>
                <w:bCs/>
                <w:noProof/>
                <w:sz w:val="16"/>
                <w:szCs w:val="16"/>
              </w:rPr>
              <w:t xml:space="preserve"> Index: </w:t>
            </w:r>
            <w:r w:rsidRPr="009B5734">
              <w:rPr>
                <w:noProof/>
                <w:sz w:val="16"/>
                <w:szCs w:val="16"/>
              </w:rPr>
              <w:t xml:space="preserve"> The Circular Economy Law obliges producers, importers, distributors or any other person placing electrical and electronic products on the market to provide the </w:t>
            </w:r>
            <w:r w:rsidR="004555D8" w:rsidRPr="009B5734">
              <w:rPr>
                <w:noProof/>
                <w:sz w:val="16"/>
                <w:szCs w:val="16"/>
              </w:rPr>
              <w:t>reparability</w:t>
            </w:r>
            <w:r w:rsidRPr="009B5734">
              <w:rPr>
                <w:noProof/>
                <w:sz w:val="16"/>
                <w:szCs w:val="16"/>
              </w:rPr>
              <w:t xml:space="preserve"> index of their product to sellers of their products or any other person requesting it. The aim is to inform consumers about the ability to repair five groups of products (televisions, smartphones, laptops, lawnmowers and washing machine)</w:t>
            </w:r>
          </w:p>
          <w:p w:rsidR="00EA45F9" w:rsidRPr="009B5734" w:rsidRDefault="00EA45F9" w:rsidP="00981615">
            <w:pPr>
              <w:ind w:left="0" w:firstLine="0"/>
              <w:jc w:val="left"/>
              <w:rPr>
                <w:noProof/>
                <w:sz w:val="16"/>
                <w:szCs w:val="16"/>
              </w:rPr>
            </w:pPr>
          </w:p>
          <w:p w:rsidR="00EA45F9" w:rsidRPr="009B5734" w:rsidRDefault="00EA45F9" w:rsidP="00981615">
            <w:pPr>
              <w:shd w:val="clear" w:color="auto" w:fill="C9D6FF"/>
              <w:ind w:left="0" w:firstLine="0"/>
              <w:jc w:val="center"/>
              <w:rPr>
                <w:b/>
                <w:bCs/>
                <w:noProof/>
                <w:sz w:val="16"/>
                <w:szCs w:val="16"/>
              </w:rPr>
            </w:pPr>
            <w:r w:rsidRPr="009B5734">
              <w:rPr>
                <w:b/>
                <w:bCs/>
                <w:noProof/>
                <w:sz w:val="16"/>
                <w:szCs w:val="16"/>
              </w:rPr>
              <w:t>Information on spare parts and/or repair manuals and/or software updates</w:t>
            </w:r>
          </w:p>
          <w:p w:rsidR="00EA45F9" w:rsidRPr="009B5734" w:rsidRDefault="00EA45F9" w:rsidP="00981615">
            <w:pPr>
              <w:ind w:left="0" w:firstLine="0"/>
              <w:jc w:val="left"/>
              <w:rPr>
                <w:noProof/>
                <w:sz w:val="16"/>
                <w:szCs w:val="16"/>
              </w:rPr>
            </w:pPr>
          </w:p>
          <w:p w:rsidR="00EA45F9" w:rsidRPr="009B5734" w:rsidRDefault="00EA45F9" w:rsidP="00981615">
            <w:pPr>
              <w:ind w:left="0" w:firstLine="0"/>
              <w:jc w:val="left"/>
              <w:rPr>
                <w:noProof/>
                <w:sz w:val="16"/>
                <w:szCs w:val="16"/>
              </w:rPr>
            </w:pPr>
            <w:r w:rsidRPr="009B5734">
              <w:rPr>
                <w:b/>
                <w:bCs/>
                <w:noProof/>
                <w:sz w:val="16"/>
                <w:szCs w:val="16"/>
              </w:rPr>
              <w:t>France – Obligation to inform consumers on the availability of spare parts</w:t>
            </w:r>
            <w:r w:rsidRPr="009B5734">
              <w:rPr>
                <w:noProof/>
                <w:sz w:val="16"/>
                <w:szCs w:val="16"/>
              </w:rPr>
              <w:t>: The Circular Economy Law</w:t>
            </w:r>
            <w:r w:rsidRPr="009B5734">
              <w:rPr>
                <w:b/>
                <w:bCs/>
                <w:noProof/>
                <w:sz w:val="16"/>
                <w:szCs w:val="16"/>
              </w:rPr>
              <w:t xml:space="preserve"> </w:t>
            </w:r>
            <w:r w:rsidRPr="009B5734">
              <w:rPr>
                <w:noProof/>
                <w:sz w:val="16"/>
                <w:szCs w:val="16"/>
              </w:rPr>
              <w:t>establishes that manufacturers</w:t>
            </w:r>
            <w:r w:rsidRPr="009B5734">
              <w:rPr>
                <w:noProof/>
              </w:rPr>
              <w:t xml:space="preserve"> </w:t>
            </w:r>
            <w:r w:rsidRPr="009B5734">
              <w:rPr>
                <w:noProof/>
                <w:sz w:val="16"/>
                <w:szCs w:val="16"/>
              </w:rPr>
              <w:t>and importers have the obligation to</w:t>
            </w:r>
            <w:r w:rsidRPr="009B5734" w:rsidDel="00747B58">
              <w:rPr>
                <w:noProof/>
                <w:sz w:val="16"/>
                <w:szCs w:val="16"/>
              </w:rPr>
              <w:t xml:space="preserve"> </w:t>
            </w:r>
            <w:r w:rsidRPr="009B5734">
              <w:rPr>
                <w:noProof/>
                <w:sz w:val="16"/>
                <w:szCs w:val="16"/>
              </w:rPr>
              <w:t>inform retailers on the availability or non-availability of essential spare parts and of the time period during which they will be available.</w:t>
            </w:r>
            <w:r w:rsidRPr="009B5734">
              <w:rPr>
                <w:b/>
                <w:bCs/>
                <w:noProof/>
                <w:sz w:val="16"/>
                <w:szCs w:val="16"/>
              </w:rPr>
              <w:t xml:space="preserve"> </w:t>
            </w:r>
            <w:r w:rsidRPr="009B5734">
              <w:rPr>
                <w:bCs/>
                <w:noProof/>
                <w:sz w:val="16"/>
                <w:szCs w:val="16"/>
              </w:rPr>
              <w:t>It also</w:t>
            </w:r>
            <w:r w:rsidRPr="009B5734">
              <w:rPr>
                <w:noProof/>
                <w:sz w:val="16"/>
                <w:szCs w:val="16"/>
              </w:rPr>
              <w:t xml:space="preserve"> establishes that the retailer has the obligation to inform consumers on the updates necessary to maintain the conformity of the product, how to install these updates and the consequences of refusing to install them. </w:t>
            </w:r>
          </w:p>
          <w:p w:rsidR="00EA45F9" w:rsidRPr="009B5734" w:rsidRDefault="00EA45F9" w:rsidP="00981615">
            <w:pPr>
              <w:ind w:left="0" w:firstLine="0"/>
              <w:jc w:val="left"/>
              <w:rPr>
                <w:noProof/>
                <w:sz w:val="16"/>
                <w:szCs w:val="16"/>
              </w:rPr>
            </w:pPr>
          </w:p>
          <w:p w:rsidR="00EA45F9" w:rsidRPr="009B5734" w:rsidRDefault="00EA45F9" w:rsidP="00981615">
            <w:pPr>
              <w:ind w:left="0" w:firstLine="0"/>
              <w:jc w:val="left"/>
              <w:rPr>
                <w:noProof/>
                <w:sz w:val="16"/>
                <w:szCs w:val="16"/>
              </w:rPr>
            </w:pPr>
            <w:r w:rsidRPr="009B5734">
              <w:rPr>
                <w:b/>
                <w:bCs/>
                <w:noProof/>
                <w:sz w:val="16"/>
                <w:szCs w:val="16"/>
              </w:rPr>
              <w:t>Slovenia – Consumer Protection Act:</w:t>
            </w:r>
            <w:r w:rsidRPr="009B5734">
              <w:rPr>
                <w:noProof/>
                <w:sz w:val="16"/>
                <w:szCs w:val="16"/>
              </w:rPr>
              <w:t xml:space="preserve"> It obliges the producer and/or seller, in case of obligatory conformity guarantee for certain types of technical goods</w:t>
            </w:r>
            <w:r w:rsidRPr="009B5734">
              <w:rPr>
                <w:rStyle w:val="FootnoteReference"/>
                <w:noProof/>
                <w:sz w:val="16"/>
                <w:szCs w:val="16"/>
              </w:rPr>
              <w:footnoteReference w:id="214"/>
            </w:r>
            <w:r w:rsidRPr="009B5734">
              <w:rPr>
                <w:noProof/>
                <w:sz w:val="16"/>
                <w:szCs w:val="16"/>
              </w:rPr>
              <w:t xml:space="preserve"> to provide information on the duration of services for maintenance of goods, spare parts, and supplementary devices (at least 3 years after the elapse of the guarantee). </w:t>
            </w:r>
          </w:p>
          <w:p w:rsidR="00EA45F9" w:rsidRPr="009B5734" w:rsidRDefault="00EA45F9" w:rsidP="00981615">
            <w:pPr>
              <w:ind w:left="0" w:firstLine="0"/>
              <w:jc w:val="left"/>
              <w:rPr>
                <w:noProof/>
                <w:sz w:val="16"/>
                <w:szCs w:val="16"/>
              </w:rPr>
            </w:pPr>
            <w:r w:rsidRPr="009B5734">
              <w:rPr>
                <w:noProof/>
                <w:sz w:val="16"/>
                <w:szCs w:val="16"/>
              </w:rPr>
              <w:t>It also obliges the producer and/or seller, in case of obligatory conformity guarantee for certain types of technical goods</w:t>
            </w:r>
            <w:r w:rsidRPr="009B5734">
              <w:rPr>
                <w:rStyle w:val="FootnoteReference"/>
                <w:noProof/>
                <w:sz w:val="16"/>
                <w:szCs w:val="16"/>
              </w:rPr>
              <w:footnoteReference w:id="215"/>
            </w:r>
            <w:r w:rsidRPr="009B5734">
              <w:rPr>
                <w:noProof/>
                <w:sz w:val="16"/>
                <w:szCs w:val="16"/>
              </w:rPr>
              <w:t>, to provide an assembly manual and a list of authorised services centres (at least 3 years after the elapse of the guarantee). This guarantee is provided on top of EU harmonised 2-year guarantee.</w:t>
            </w:r>
          </w:p>
          <w:p w:rsidR="00EA45F9" w:rsidRPr="009B5734" w:rsidRDefault="00EA45F9" w:rsidP="00981615">
            <w:pPr>
              <w:ind w:left="0" w:firstLine="0"/>
              <w:jc w:val="left"/>
              <w:rPr>
                <w:noProof/>
                <w:sz w:val="16"/>
                <w:szCs w:val="16"/>
              </w:rPr>
            </w:pPr>
          </w:p>
          <w:p w:rsidR="00EA45F9" w:rsidRPr="009B5734" w:rsidRDefault="00EA45F9" w:rsidP="00981615">
            <w:pPr>
              <w:ind w:left="0" w:firstLine="0"/>
              <w:jc w:val="left"/>
              <w:rPr>
                <w:noProof/>
                <w:sz w:val="16"/>
                <w:szCs w:val="16"/>
              </w:rPr>
            </w:pPr>
            <w:r w:rsidRPr="009B5734">
              <w:rPr>
                <w:b/>
                <w:bCs/>
                <w:noProof/>
                <w:sz w:val="16"/>
                <w:szCs w:val="16"/>
              </w:rPr>
              <w:t xml:space="preserve">Finland – Legislative ban on untrue or misleading information: </w:t>
            </w:r>
            <w:r w:rsidRPr="009B5734">
              <w:rPr>
                <w:noProof/>
                <w:sz w:val="16"/>
                <w:szCs w:val="16"/>
              </w:rPr>
              <w:t>the Finnish Consumer Protection legislation introduces a ban to provide untrue or misleading information in marketing or during the course of the customer relationship including information especially relating to 'the availability and need for maintenance, repairs and spare parts'.</w:t>
            </w:r>
            <w:r w:rsidRPr="009B5734">
              <w:rPr>
                <w:b/>
                <w:bCs/>
                <w:noProof/>
                <w:sz w:val="16"/>
                <w:szCs w:val="16"/>
              </w:rPr>
              <w:t xml:space="preserve"> </w:t>
            </w:r>
          </w:p>
          <w:p w:rsidR="00EA45F9" w:rsidRPr="009B5734" w:rsidRDefault="00EA45F9" w:rsidP="00981615">
            <w:pPr>
              <w:ind w:left="0" w:firstLine="0"/>
              <w:jc w:val="left"/>
              <w:rPr>
                <w:b/>
                <w:noProof/>
                <w:sz w:val="16"/>
                <w:szCs w:val="16"/>
              </w:rPr>
            </w:pPr>
          </w:p>
          <w:p w:rsidR="00EA45F9" w:rsidRPr="009B5734" w:rsidRDefault="00EA45F9" w:rsidP="00981615">
            <w:pPr>
              <w:ind w:left="0" w:firstLine="0"/>
              <w:jc w:val="left"/>
              <w:rPr>
                <w:b/>
                <w:noProof/>
                <w:sz w:val="16"/>
                <w:szCs w:val="16"/>
              </w:rPr>
            </w:pPr>
          </w:p>
        </w:tc>
        <w:tc>
          <w:tcPr>
            <w:tcW w:w="1737" w:type="dxa"/>
            <w:shd w:val="clear" w:color="auto" w:fill="FFFFFF" w:themeFill="background1"/>
          </w:tcPr>
          <w:p w:rsidR="00EA45F9" w:rsidRPr="009B5734" w:rsidRDefault="00EA45F9" w:rsidP="00981615">
            <w:pPr>
              <w:jc w:val="center"/>
              <w:rPr>
                <w:b/>
                <w:bCs/>
                <w:noProof/>
                <w:sz w:val="16"/>
                <w:szCs w:val="16"/>
              </w:rPr>
            </w:pPr>
          </w:p>
          <w:tbl>
            <w:tblPr>
              <w:tblStyle w:val="TableGrid"/>
              <w:tblW w:w="0" w:type="auto"/>
              <w:tblLayout w:type="fixed"/>
              <w:tblLook w:val="04A0" w:firstRow="1" w:lastRow="0" w:firstColumn="1" w:lastColumn="0" w:noHBand="0" w:noVBand="1"/>
            </w:tblPr>
            <w:tblGrid>
              <w:gridCol w:w="1518"/>
            </w:tblGrid>
            <w:tr w:rsidR="00EA45F9" w:rsidRPr="009B5734" w:rsidTr="00981615">
              <w:trPr>
                <w:trHeight w:val="827"/>
              </w:trPr>
              <w:tc>
                <w:tcPr>
                  <w:tcW w:w="1518" w:type="dxa"/>
                </w:tcPr>
                <w:p w:rsidR="00EA45F9" w:rsidRPr="009B5734" w:rsidRDefault="00EA45F9" w:rsidP="00CF264A">
                  <w:pPr>
                    <w:framePr w:hSpace="141" w:wrap="around" w:vAnchor="text" w:hAnchor="text" w:xAlign="center" w:y="1"/>
                    <w:suppressOverlap/>
                    <w:jc w:val="center"/>
                    <w:rPr>
                      <w:b/>
                      <w:bCs/>
                      <w:noProof/>
                      <w:sz w:val="16"/>
                      <w:szCs w:val="16"/>
                    </w:rPr>
                  </w:pPr>
                  <w:r w:rsidRPr="009B5734">
                    <w:rPr>
                      <w:b/>
                      <w:bCs/>
                      <w:noProof/>
                      <w:sz w:val="16"/>
                      <w:szCs w:val="16"/>
                    </w:rPr>
                    <w:t xml:space="preserve">Not identified </w:t>
                  </w:r>
                </w:p>
              </w:tc>
            </w:tr>
          </w:tbl>
          <w:p w:rsidR="00EA45F9" w:rsidRPr="009B5734" w:rsidRDefault="00EA45F9" w:rsidP="00981615">
            <w:pPr>
              <w:jc w:val="center"/>
              <w:rPr>
                <w:b/>
                <w:bCs/>
                <w:noProof/>
                <w:sz w:val="16"/>
                <w:szCs w:val="16"/>
              </w:rPr>
            </w:pPr>
          </w:p>
          <w:p w:rsidR="00EA45F9" w:rsidRPr="009B5734" w:rsidRDefault="00EA45F9" w:rsidP="00981615">
            <w:pPr>
              <w:jc w:val="center"/>
              <w:rPr>
                <w:b/>
                <w:bCs/>
                <w:noProof/>
                <w:sz w:val="16"/>
                <w:szCs w:val="16"/>
              </w:rPr>
            </w:pPr>
          </w:p>
          <w:p w:rsidR="00EA45F9" w:rsidRPr="009B5734" w:rsidRDefault="00EA45F9" w:rsidP="00981615">
            <w:pPr>
              <w:jc w:val="center"/>
              <w:rPr>
                <w:b/>
                <w:noProof/>
                <w:sz w:val="16"/>
                <w:szCs w:val="16"/>
              </w:rPr>
            </w:pPr>
          </w:p>
          <w:p w:rsidR="00EA45F9" w:rsidRPr="009B5734" w:rsidRDefault="00EA45F9" w:rsidP="00981615">
            <w:pPr>
              <w:jc w:val="center"/>
              <w:rPr>
                <w:b/>
                <w:noProof/>
                <w:sz w:val="16"/>
                <w:szCs w:val="16"/>
              </w:rPr>
            </w:pPr>
          </w:p>
        </w:tc>
        <w:tc>
          <w:tcPr>
            <w:tcW w:w="1737" w:type="dxa"/>
            <w:shd w:val="clear" w:color="auto" w:fill="FFFFFF" w:themeFill="background1"/>
          </w:tcPr>
          <w:p w:rsidR="00EA45F9" w:rsidRPr="009B5734" w:rsidRDefault="00EA45F9" w:rsidP="00981615">
            <w:pPr>
              <w:ind w:left="17" w:firstLine="0"/>
              <w:jc w:val="left"/>
              <w:rPr>
                <w:b/>
                <w:bCs/>
                <w:noProof/>
                <w:sz w:val="16"/>
                <w:szCs w:val="16"/>
              </w:rPr>
            </w:pPr>
          </w:p>
          <w:tbl>
            <w:tblPr>
              <w:tblStyle w:val="TableGrid"/>
              <w:tblW w:w="0" w:type="auto"/>
              <w:tblLayout w:type="fixed"/>
              <w:tblLook w:val="04A0" w:firstRow="1" w:lastRow="0" w:firstColumn="1" w:lastColumn="0" w:noHBand="0" w:noVBand="1"/>
            </w:tblPr>
            <w:tblGrid>
              <w:gridCol w:w="1518"/>
            </w:tblGrid>
            <w:tr w:rsidR="00EA45F9" w:rsidRPr="009B5734" w:rsidTr="00981615">
              <w:trPr>
                <w:trHeight w:val="827"/>
              </w:trPr>
              <w:tc>
                <w:tcPr>
                  <w:tcW w:w="1518" w:type="dxa"/>
                </w:tcPr>
                <w:p w:rsidR="00EA45F9" w:rsidRPr="009B5734" w:rsidRDefault="00EA45F9" w:rsidP="00CF264A">
                  <w:pPr>
                    <w:framePr w:hSpace="141" w:wrap="around" w:vAnchor="text" w:hAnchor="text" w:xAlign="center" w:y="1"/>
                    <w:ind w:left="17" w:firstLine="0"/>
                    <w:suppressOverlap/>
                    <w:jc w:val="center"/>
                    <w:rPr>
                      <w:b/>
                      <w:bCs/>
                      <w:noProof/>
                      <w:sz w:val="16"/>
                      <w:szCs w:val="16"/>
                    </w:rPr>
                  </w:pPr>
                  <w:r w:rsidRPr="009B5734">
                    <w:rPr>
                      <w:b/>
                      <w:bCs/>
                      <w:noProof/>
                      <w:sz w:val="16"/>
                      <w:szCs w:val="16"/>
                    </w:rPr>
                    <w:t>France and Greece</w:t>
                  </w:r>
                </w:p>
              </w:tc>
            </w:tr>
          </w:tbl>
          <w:p w:rsidR="00EA45F9" w:rsidRPr="009B5734" w:rsidRDefault="00EA45F9" w:rsidP="00981615">
            <w:pPr>
              <w:ind w:left="17" w:firstLine="0"/>
              <w:jc w:val="left"/>
              <w:rPr>
                <w:noProof/>
                <w:sz w:val="16"/>
                <w:szCs w:val="16"/>
              </w:rPr>
            </w:pPr>
          </w:p>
          <w:p w:rsidR="00EA45F9" w:rsidRPr="009B5734" w:rsidRDefault="00EA45F9" w:rsidP="00981615">
            <w:pPr>
              <w:shd w:val="clear" w:color="auto" w:fill="C9D6FF"/>
              <w:ind w:left="17" w:firstLine="0"/>
              <w:jc w:val="center"/>
              <w:rPr>
                <w:b/>
                <w:bCs/>
                <w:noProof/>
                <w:sz w:val="16"/>
                <w:szCs w:val="16"/>
              </w:rPr>
            </w:pPr>
            <w:r w:rsidRPr="009B5734">
              <w:rPr>
                <w:b/>
                <w:bCs/>
                <w:noProof/>
                <w:sz w:val="16"/>
                <w:szCs w:val="16"/>
              </w:rPr>
              <w:t>Ban</w:t>
            </w:r>
          </w:p>
          <w:p w:rsidR="00EA45F9" w:rsidRPr="009B5734" w:rsidRDefault="00EA45F9" w:rsidP="00981615">
            <w:pPr>
              <w:ind w:left="17" w:firstLine="0"/>
              <w:jc w:val="left"/>
              <w:rPr>
                <w:noProof/>
                <w:sz w:val="16"/>
                <w:szCs w:val="16"/>
              </w:rPr>
            </w:pPr>
          </w:p>
          <w:p w:rsidR="00EA45F9" w:rsidRPr="009B5734" w:rsidRDefault="00EA45F9" w:rsidP="00981615">
            <w:pPr>
              <w:ind w:left="17" w:firstLine="0"/>
              <w:jc w:val="left"/>
              <w:rPr>
                <w:noProof/>
                <w:sz w:val="16"/>
                <w:szCs w:val="16"/>
              </w:rPr>
            </w:pPr>
            <w:r w:rsidRPr="009B5734">
              <w:rPr>
                <w:b/>
                <w:bCs/>
                <w:noProof/>
                <w:sz w:val="16"/>
                <w:szCs w:val="16"/>
              </w:rPr>
              <w:t xml:space="preserve">France – Criminalisation of planned obsolescence: </w:t>
            </w:r>
            <w:r w:rsidRPr="009B5734">
              <w:rPr>
                <w:noProof/>
                <w:sz w:val="16"/>
                <w:szCs w:val="16"/>
              </w:rPr>
              <w:t>Consumer Code and Law on energy transition for green growth defines and forbids the practise of planned obsolescence.</w:t>
            </w:r>
          </w:p>
          <w:p w:rsidR="00EA45F9" w:rsidRPr="009B5734" w:rsidRDefault="00EA45F9" w:rsidP="00981615">
            <w:pPr>
              <w:ind w:left="17" w:firstLine="0"/>
              <w:jc w:val="left"/>
              <w:rPr>
                <w:noProof/>
                <w:sz w:val="16"/>
                <w:szCs w:val="16"/>
              </w:rPr>
            </w:pPr>
            <w:r w:rsidRPr="009B5734">
              <w:rPr>
                <w:noProof/>
                <w:sz w:val="16"/>
                <w:szCs w:val="16"/>
              </w:rPr>
              <w:t>In case of breach of this provision, the person responsible for placing the product on the market can be sentenced to two years' imprisonment and a fine of EUR 300,000.</w:t>
            </w:r>
          </w:p>
          <w:p w:rsidR="00EA45F9" w:rsidRPr="009B5734" w:rsidRDefault="00EA45F9" w:rsidP="00981615">
            <w:pPr>
              <w:ind w:left="17" w:firstLine="0"/>
              <w:jc w:val="left"/>
              <w:rPr>
                <w:b/>
                <w:bCs/>
                <w:noProof/>
                <w:sz w:val="16"/>
                <w:szCs w:val="16"/>
              </w:rPr>
            </w:pPr>
          </w:p>
          <w:p w:rsidR="00EA45F9" w:rsidRPr="009B5734" w:rsidRDefault="00EA45F9" w:rsidP="00981615">
            <w:pPr>
              <w:ind w:left="17" w:firstLine="0"/>
              <w:jc w:val="left"/>
              <w:rPr>
                <w:noProof/>
                <w:sz w:val="16"/>
                <w:szCs w:val="16"/>
              </w:rPr>
            </w:pPr>
            <w:r w:rsidRPr="009B5734">
              <w:rPr>
                <w:b/>
                <w:bCs/>
                <w:noProof/>
                <w:sz w:val="16"/>
                <w:szCs w:val="16"/>
              </w:rPr>
              <w:t xml:space="preserve">France – Criminalisation of intentional irreparability and deliberate obstruction of access to repair information: </w:t>
            </w:r>
            <w:r w:rsidRPr="009B5734">
              <w:rPr>
                <w:noProof/>
                <w:sz w:val="16"/>
                <w:szCs w:val="16"/>
              </w:rPr>
              <w:t>Circular Economy Law criminalise any technique used</w:t>
            </w:r>
            <w:r w:rsidRPr="009B5734">
              <w:rPr>
                <w:noProof/>
              </w:rPr>
              <w:t xml:space="preserve"> </w:t>
            </w:r>
            <w:r w:rsidRPr="009B5734">
              <w:rPr>
                <w:noProof/>
                <w:sz w:val="16"/>
                <w:szCs w:val="16"/>
              </w:rPr>
              <w:t>by the person responsible for placing the product on the market, which makes it impossible to repair or recondition outside its approved/licensed repairers.</w:t>
            </w:r>
          </w:p>
          <w:p w:rsidR="00EA45F9" w:rsidRPr="009B5734" w:rsidRDefault="00EA45F9" w:rsidP="00981615">
            <w:pPr>
              <w:ind w:left="17" w:firstLine="0"/>
              <w:jc w:val="left"/>
              <w:rPr>
                <w:noProof/>
                <w:sz w:val="16"/>
                <w:szCs w:val="16"/>
              </w:rPr>
            </w:pPr>
          </w:p>
          <w:p w:rsidR="00EA45F9" w:rsidRPr="009B5734" w:rsidRDefault="00EA45F9" w:rsidP="00981615">
            <w:pPr>
              <w:shd w:val="clear" w:color="auto" w:fill="C9D6FF"/>
              <w:ind w:left="17" w:firstLine="0"/>
              <w:jc w:val="center"/>
              <w:rPr>
                <w:b/>
                <w:bCs/>
                <w:noProof/>
                <w:sz w:val="16"/>
                <w:szCs w:val="16"/>
              </w:rPr>
            </w:pPr>
            <w:r w:rsidRPr="009B5734">
              <w:rPr>
                <w:b/>
                <w:bCs/>
                <w:noProof/>
                <w:sz w:val="16"/>
                <w:szCs w:val="16"/>
              </w:rPr>
              <w:t>Provision of spare parts and repair service</w:t>
            </w:r>
          </w:p>
          <w:p w:rsidR="00EA45F9" w:rsidRPr="009B5734" w:rsidRDefault="00EA45F9" w:rsidP="00981615">
            <w:pPr>
              <w:ind w:left="17" w:firstLine="0"/>
              <w:jc w:val="left"/>
              <w:rPr>
                <w:noProof/>
                <w:sz w:val="16"/>
                <w:szCs w:val="16"/>
              </w:rPr>
            </w:pPr>
          </w:p>
          <w:p w:rsidR="00EA45F9" w:rsidRPr="009B5734" w:rsidRDefault="00EA45F9" w:rsidP="00981615">
            <w:pPr>
              <w:ind w:left="17" w:firstLine="0"/>
              <w:jc w:val="left"/>
              <w:rPr>
                <w:noProof/>
                <w:sz w:val="16"/>
                <w:szCs w:val="16"/>
              </w:rPr>
            </w:pPr>
            <w:r w:rsidRPr="009B5734">
              <w:rPr>
                <w:b/>
                <w:bCs/>
                <w:noProof/>
                <w:sz w:val="16"/>
                <w:szCs w:val="16"/>
              </w:rPr>
              <w:t>France – Obligation to provide spare parts for a certain time period:</w:t>
            </w:r>
            <w:r w:rsidRPr="009B5734">
              <w:rPr>
                <w:noProof/>
                <w:sz w:val="16"/>
                <w:szCs w:val="16"/>
              </w:rPr>
              <w:t xml:space="preserve"> The Circular Economy Law requires producers of household appliances, small IT and telecommunications equipment, screens and monitors to make spare parts available for a minimum duration of five years. </w:t>
            </w:r>
          </w:p>
          <w:p w:rsidR="00EA45F9" w:rsidRPr="009B5734" w:rsidRDefault="00EA45F9" w:rsidP="00981615">
            <w:pPr>
              <w:ind w:left="17" w:firstLine="0"/>
              <w:jc w:val="left"/>
              <w:rPr>
                <w:noProof/>
                <w:sz w:val="16"/>
                <w:szCs w:val="16"/>
              </w:rPr>
            </w:pPr>
          </w:p>
          <w:p w:rsidR="00EA45F9" w:rsidRPr="009B5734" w:rsidRDefault="00EA45F9" w:rsidP="00981615">
            <w:pPr>
              <w:ind w:left="17" w:firstLine="0"/>
              <w:jc w:val="left"/>
              <w:rPr>
                <w:noProof/>
                <w:sz w:val="16"/>
                <w:szCs w:val="16"/>
              </w:rPr>
            </w:pPr>
            <w:r w:rsidRPr="009B5734">
              <w:rPr>
                <w:b/>
                <w:bCs/>
                <w:noProof/>
                <w:sz w:val="16"/>
                <w:szCs w:val="16"/>
              </w:rPr>
              <w:t xml:space="preserve">Greece – Provision of technical service for repair and maintenance and supply of spare parts: </w:t>
            </w:r>
            <w:r w:rsidRPr="009B5734">
              <w:rPr>
                <w:noProof/>
                <w:sz w:val="16"/>
                <w:szCs w:val="16"/>
              </w:rPr>
              <w:t xml:space="preserve"> Consumer Protection Law establishes that</w:t>
            </w:r>
            <w:r w:rsidRPr="009B5734">
              <w:rPr>
                <w:noProof/>
              </w:rPr>
              <w:t xml:space="preserve"> </w:t>
            </w:r>
            <w:r w:rsidRPr="009B5734">
              <w:rPr>
                <w:noProof/>
                <w:sz w:val="16"/>
                <w:szCs w:val="16"/>
              </w:rPr>
              <w:t xml:space="preserve">the supplier (including both the manufacturer and the retailer) of new durable goods must ensure that consumers are consistently provided with technical services for maintenance and repair of these goods, as well as supply of spare parts, for at least 2 years from delivery. </w:t>
            </w:r>
          </w:p>
          <w:p w:rsidR="00EA45F9" w:rsidRPr="009B5734" w:rsidRDefault="00EA45F9" w:rsidP="00981615">
            <w:pPr>
              <w:ind w:left="17" w:firstLine="0"/>
              <w:jc w:val="left"/>
              <w:rPr>
                <w:noProof/>
                <w:sz w:val="16"/>
                <w:szCs w:val="16"/>
              </w:rPr>
            </w:pPr>
          </w:p>
        </w:tc>
        <w:tc>
          <w:tcPr>
            <w:tcW w:w="1737" w:type="dxa"/>
            <w:shd w:val="clear" w:color="auto" w:fill="FFFFFF" w:themeFill="background1"/>
          </w:tcPr>
          <w:p w:rsidR="00EA45F9" w:rsidRPr="009B5734" w:rsidRDefault="00EA45F9" w:rsidP="00981615">
            <w:pPr>
              <w:jc w:val="center"/>
              <w:rPr>
                <w:b/>
                <w:bCs/>
                <w:noProof/>
                <w:sz w:val="16"/>
                <w:szCs w:val="16"/>
              </w:rPr>
            </w:pPr>
          </w:p>
          <w:tbl>
            <w:tblPr>
              <w:tblStyle w:val="TableGrid"/>
              <w:tblW w:w="0" w:type="auto"/>
              <w:tblLayout w:type="fixed"/>
              <w:tblLook w:val="04A0" w:firstRow="1" w:lastRow="0" w:firstColumn="1" w:lastColumn="0" w:noHBand="0" w:noVBand="1"/>
            </w:tblPr>
            <w:tblGrid>
              <w:gridCol w:w="1518"/>
            </w:tblGrid>
            <w:tr w:rsidR="00EA45F9" w:rsidRPr="009B5734" w:rsidTr="00981615">
              <w:trPr>
                <w:trHeight w:val="827"/>
              </w:trPr>
              <w:tc>
                <w:tcPr>
                  <w:tcW w:w="1518" w:type="dxa"/>
                </w:tcPr>
                <w:p w:rsidR="00EA45F9" w:rsidRPr="009B5734" w:rsidRDefault="00EA45F9" w:rsidP="00CF264A">
                  <w:pPr>
                    <w:framePr w:hSpace="141" w:wrap="around" w:vAnchor="text" w:hAnchor="text" w:xAlign="center" w:y="1"/>
                    <w:suppressOverlap/>
                    <w:jc w:val="center"/>
                    <w:rPr>
                      <w:b/>
                      <w:bCs/>
                      <w:noProof/>
                      <w:sz w:val="16"/>
                      <w:szCs w:val="16"/>
                    </w:rPr>
                  </w:pPr>
                  <w:r w:rsidRPr="009B5734">
                    <w:rPr>
                      <w:b/>
                      <w:bCs/>
                      <w:noProof/>
                      <w:sz w:val="16"/>
                      <w:szCs w:val="16"/>
                    </w:rPr>
                    <w:t>Denmark, Finland and Sweden</w:t>
                  </w:r>
                </w:p>
                <w:p w:rsidR="00EA45F9" w:rsidRPr="009B5734" w:rsidRDefault="00EA45F9" w:rsidP="00CF264A">
                  <w:pPr>
                    <w:framePr w:hSpace="141" w:wrap="around" w:vAnchor="text" w:hAnchor="text" w:xAlign="center" w:y="1"/>
                    <w:suppressOverlap/>
                    <w:jc w:val="center"/>
                    <w:rPr>
                      <w:b/>
                      <w:bCs/>
                      <w:noProof/>
                      <w:sz w:val="16"/>
                      <w:szCs w:val="16"/>
                    </w:rPr>
                  </w:pPr>
                </w:p>
              </w:tc>
            </w:tr>
          </w:tbl>
          <w:p w:rsidR="00EA45F9" w:rsidRPr="009B5734" w:rsidRDefault="00EA45F9" w:rsidP="00981615">
            <w:pPr>
              <w:jc w:val="center"/>
              <w:rPr>
                <w:b/>
                <w:bCs/>
                <w:noProof/>
                <w:sz w:val="16"/>
                <w:szCs w:val="16"/>
              </w:rPr>
            </w:pPr>
          </w:p>
          <w:p w:rsidR="00EA45F9" w:rsidRPr="009B5734" w:rsidRDefault="00EA45F9" w:rsidP="00981615">
            <w:pPr>
              <w:shd w:val="clear" w:color="auto" w:fill="C9D6FF"/>
              <w:jc w:val="center"/>
              <w:rPr>
                <w:b/>
                <w:bCs/>
                <w:noProof/>
                <w:sz w:val="16"/>
                <w:szCs w:val="16"/>
              </w:rPr>
            </w:pPr>
            <w:r w:rsidRPr="009B5734">
              <w:rPr>
                <w:b/>
                <w:bCs/>
                <w:noProof/>
                <w:sz w:val="16"/>
                <w:szCs w:val="16"/>
              </w:rPr>
              <w:t>Ban / Prohibition</w:t>
            </w:r>
          </w:p>
          <w:p w:rsidR="00EA45F9" w:rsidRPr="009B5734" w:rsidRDefault="00EA45F9" w:rsidP="00981615">
            <w:pPr>
              <w:jc w:val="center"/>
              <w:rPr>
                <w:b/>
                <w:bCs/>
                <w:noProof/>
                <w:sz w:val="16"/>
                <w:szCs w:val="16"/>
              </w:rPr>
            </w:pPr>
          </w:p>
          <w:p w:rsidR="00EA45F9" w:rsidRPr="009B5734" w:rsidRDefault="00EA45F9" w:rsidP="00981615">
            <w:pPr>
              <w:ind w:left="0" w:firstLine="0"/>
              <w:jc w:val="left"/>
              <w:rPr>
                <w:b/>
                <w:bCs/>
                <w:noProof/>
                <w:sz w:val="16"/>
                <w:szCs w:val="16"/>
              </w:rPr>
            </w:pPr>
            <w:r w:rsidRPr="009B5734">
              <w:rPr>
                <w:b/>
                <w:bCs/>
                <w:noProof/>
                <w:sz w:val="16"/>
                <w:szCs w:val="16"/>
              </w:rPr>
              <w:t xml:space="preserve">Sweden - Prohibition on misleading statements: </w:t>
            </w:r>
            <w:r w:rsidRPr="009B5734">
              <w:rPr>
                <w:noProof/>
                <w:sz w:val="16"/>
                <w:szCs w:val="16"/>
              </w:rPr>
              <w:t xml:space="preserve">The Swedish Marketing Act prohibits traders from making incorrect statement and other representations that are misleading, specifically statement relating to a 'product's origin, uses and risks such as impact on health or environment. </w:t>
            </w:r>
            <w:r w:rsidRPr="009B5734">
              <w:rPr>
                <w:b/>
                <w:bCs/>
                <w:noProof/>
                <w:sz w:val="16"/>
                <w:szCs w:val="16"/>
              </w:rPr>
              <w:t xml:space="preserve"> </w:t>
            </w:r>
          </w:p>
          <w:p w:rsidR="00EA45F9" w:rsidRPr="009B5734" w:rsidRDefault="00EA45F9" w:rsidP="00981615">
            <w:pPr>
              <w:ind w:left="0" w:firstLine="0"/>
              <w:jc w:val="left"/>
              <w:rPr>
                <w:b/>
                <w:bCs/>
                <w:noProof/>
                <w:sz w:val="16"/>
                <w:szCs w:val="16"/>
              </w:rPr>
            </w:pPr>
          </w:p>
          <w:p w:rsidR="00EA45F9" w:rsidRPr="009B5734" w:rsidRDefault="00EA45F9" w:rsidP="00981615">
            <w:pPr>
              <w:jc w:val="center"/>
              <w:rPr>
                <w:noProof/>
                <w:sz w:val="16"/>
                <w:szCs w:val="16"/>
              </w:rPr>
            </w:pPr>
          </w:p>
        </w:tc>
        <w:tc>
          <w:tcPr>
            <w:tcW w:w="1737" w:type="dxa"/>
            <w:shd w:val="clear" w:color="auto" w:fill="FFFFFF" w:themeFill="background1"/>
          </w:tcPr>
          <w:p w:rsidR="00EA45F9" w:rsidRPr="009B5734" w:rsidRDefault="00EA45F9" w:rsidP="00981615">
            <w:pPr>
              <w:ind w:left="0" w:firstLine="0"/>
              <w:jc w:val="left"/>
              <w:rPr>
                <w:b/>
                <w:bCs/>
                <w:noProof/>
                <w:sz w:val="16"/>
                <w:szCs w:val="16"/>
              </w:rPr>
            </w:pPr>
          </w:p>
          <w:tbl>
            <w:tblPr>
              <w:tblStyle w:val="TableGrid"/>
              <w:tblW w:w="0" w:type="auto"/>
              <w:tblLayout w:type="fixed"/>
              <w:tblLook w:val="04A0" w:firstRow="1" w:lastRow="0" w:firstColumn="1" w:lastColumn="0" w:noHBand="0" w:noVBand="1"/>
            </w:tblPr>
            <w:tblGrid>
              <w:gridCol w:w="1518"/>
            </w:tblGrid>
            <w:tr w:rsidR="00EA45F9" w:rsidRPr="009B5734" w:rsidTr="00981615">
              <w:trPr>
                <w:trHeight w:val="827"/>
              </w:trPr>
              <w:tc>
                <w:tcPr>
                  <w:tcW w:w="1518" w:type="dxa"/>
                </w:tcPr>
                <w:p w:rsidR="00EA45F9" w:rsidRPr="009B5734" w:rsidRDefault="00EA45F9" w:rsidP="00CF264A">
                  <w:pPr>
                    <w:framePr w:hSpace="141" w:wrap="around" w:vAnchor="text" w:hAnchor="text" w:xAlign="center" w:y="1"/>
                    <w:ind w:left="0" w:firstLine="0"/>
                    <w:suppressOverlap/>
                    <w:jc w:val="center"/>
                    <w:rPr>
                      <w:b/>
                      <w:bCs/>
                      <w:noProof/>
                      <w:sz w:val="16"/>
                      <w:szCs w:val="16"/>
                    </w:rPr>
                  </w:pPr>
                  <w:r w:rsidRPr="009B5734">
                    <w:rPr>
                      <w:b/>
                      <w:bCs/>
                      <w:noProof/>
                      <w:sz w:val="16"/>
                      <w:szCs w:val="16"/>
                    </w:rPr>
                    <w:t>Austria, Germany,  and Sweden</w:t>
                  </w:r>
                </w:p>
              </w:tc>
            </w:tr>
          </w:tbl>
          <w:p w:rsidR="00EA45F9" w:rsidRPr="009B5734" w:rsidRDefault="00EA45F9" w:rsidP="00981615">
            <w:pPr>
              <w:ind w:left="0" w:firstLine="0"/>
              <w:jc w:val="center"/>
              <w:rPr>
                <w:b/>
                <w:bCs/>
                <w:noProof/>
                <w:sz w:val="16"/>
                <w:szCs w:val="16"/>
              </w:rPr>
            </w:pPr>
          </w:p>
          <w:p w:rsidR="00EA45F9" w:rsidRPr="009B5734" w:rsidRDefault="00EA45F9" w:rsidP="00981615">
            <w:pPr>
              <w:shd w:val="clear" w:color="auto" w:fill="C9D6FF"/>
              <w:ind w:left="66" w:hanging="66"/>
              <w:jc w:val="center"/>
              <w:rPr>
                <w:b/>
                <w:bCs/>
                <w:noProof/>
                <w:sz w:val="16"/>
                <w:szCs w:val="16"/>
              </w:rPr>
            </w:pPr>
            <w:r w:rsidRPr="009B5734">
              <w:rPr>
                <w:b/>
                <w:bCs/>
                <w:noProof/>
                <w:sz w:val="16"/>
                <w:szCs w:val="16"/>
              </w:rPr>
              <w:t xml:space="preserve">Public websites with feedback labels and logo </w:t>
            </w:r>
          </w:p>
          <w:p w:rsidR="00EA45F9" w:rsidRPr="009B5734" w:rsidRDefault="00EA45F9" w:rsidP="00981615">
            <w:pPr>
              <w:ind w:left="0" w:firstLine="0"/>
              <w:jc w:val="left"/>
              <w:rPr>
                <w:b/>
                <w:bCs/>
                <w:noProof/>
                <w:sz w:val="16"/>
                <w:szCs w:val="16"/>
              </w:rPr>
            </w:pPr>
          </w:p>
          <w:p w:rsidR="00EA45F9" w:rsidRPr="009B5734" w:rsidRDefault="00EA45F9" w:rsidP="00981615">
            <w:pPr>
              <w:ind w:left="0" w:firstLine="0"/>
              <w:jc w:val="left"/>
              <w:rPr>
                <w:bCs/>
                <w:noProof/>
                <w:sz w:val="16"/>
                <w:szCs w:val="16"/>
              </w:rPr>
            </w:pPr>
            <w:r w:rsidRPr="009B5734">
              <w:rPr>
                <w:b/>
                <w:bCs/>
                <w:noProof/>
                <w:sz w:val="16"/>
                <w:szCs w:val="16"/>
              </w:rPr>
              <w:t xml:space="preserve">Austria – Website Buy Consciously: </w:t>
            </w:r>
            <w:r w:rsidRPr="009B5734">
              <w:rPr>
                <w:bCs/>
                <w:noProof/>
                <w:sz w:val="16"/>
                <w:szCs w:val="16"/>
              </w:rPr>
              <w:t>The Federal Ministry for climate protection, energy, mobility, innovation and technology developed a website that provides information on 200 sustainable labels in Austria.</w:t>
            </w:r>
          </w:p>
          <w:p w:rsidR="00EA45F9" w:rsidRPr="009B5734" w:rsidRDefault="00EA45F9" w:rsidP="00981615">
            <w:pPr>
              <w:ind w:left="0" w:firstLine="0"/>
              <w:jc w:val="left"/>
              <w:rPr>
                <w:b/>
                <w:bCs/>
                <w:noProof/>
                <w:sz w:val="16"/>
                <w:szCs w:val="16"/>
              </w:rPr>
            </w:pPr>
          </w:p>
          <w:p w:rsidR="00EA45F9" w:rsidRPr="009B5734" w:rsidRDefault="00EA45F9" w:rsidP="00981615">
            <w:pPr>
              <w:ind w:left="0" w:firstLine="0"/>
              <w:jc w:val="left"/>
              <w:rPr>
                <w:b/>
                <w:bCs/>
                <w:noProof/>
                <w:sz w:val="16"/>
                <w:szCs w:val="16"/>
              </w:rPr>
            </w:pPr>
            <w:r w:rsidRPr="009B5734">
              <w:rPr>
                <w:b/>
                <w:bCs/>
                <w:noProof/>
                <w:sz w:val="16"/>
                <w:szCs w:val="16"/>
              </w:rPr>
              <w:t xml:space="preserve">Germany - Siegelklarheit (label clarity): </w:t>
            </w:r>
            <w:r w:rsidRPr="005D24D2">
              <w:rPr>
                <w:noProof/>
                <w:sz w:val="16"/>
                <w:szCs w:val="16"/>
              </w:rPr>
              <w:t>It is a portal that explains and</w:t>
            </w:r>
            <w:r w:rsidRPr="009B5734">
              <w:rPr>
                <w:b/>
                <w:bCs/>
                <w:noProof/>
                <w:sz w:val="16"/>
                <w:szCs w:val="16"/>
              </w:rPr>
              <w:t xml:space="preserve"> </w:t>
            </w:r>
            <w:r w:rsidRPr="005D24D2">
              <w:rPr>
                <w:noProof/>
                <w:sz w:val="16"/>
                <w:szCs w:val="16"/>
              </w:rPr>
              <w:t>evaluates labels used by manufacturers placing products on the German markets. It considers sustainability and social standards.</w:t>
            </w:r>
          </w:p>
          <w:p w:rsidR="00EA45F9" w:rsidRPr="009B5734" w:rsidRDefault="00EA45F9" w:rsidP="00981615">
            <w:pPr>
              <w:ind w:left="0" w:firstLine="0"/>
              <w:jc w:val="left"/>
              <w:rPr>
                <w:b/>
                <w:bCs/>
                <w:noProof/>
                <w:sz w:val="16"/>
                <w:szCs w:val="16"/>
              </w:rPr>
            </w:pPr>
          </w:p>
          <w:p w:rsidR="00EA45F9" w:rsidRPr="009B5734" w:rsidRDefault="00EA45F9" w:rsidP="00981615">
            <w:pPr>
              <w:ind w:left="0" w:firstLine="0"/>
              <w:jc w:val="left"/>
              <w:rPr>
                <w:bCs/>
                <w:noProof/>
                <w:sz w:val="16"/>
                <w:szCs w:val="16"/>
              </w:rPr>
            </w:pPr>
            <w:r w:rsidRPr="009B5734">
              <w:rPr>
                <w:b/>
                <w:bCs/>
                <w:noProof/>
                <w:sz w:val="16"/>
                <w:szCs w:val="16"/>
              </w:rPr>
              <w:t xml:space="preserve"> Sweden – The Service Hello Consumer of the Swedish Consumer Agency: </w:t>
            </w:r>
            <w:r w:rsidRPr="009B5734">
              <w:rPr>
                <w:bCs/>
                <w:noProof/>
                <w:sz w:val="16"/>
                <w:szCs w:val="16"/>
              </w:rPr>
              <w:t>It provides consumers with information on a number of environmental and sustainability related topics, including information on ecolabels</w:t>
            </w:r>
          </w:p>
          <w:p w:rsidR="00EA45F9" w:rsidRPr="009B5734" w:rsidRDefault="00EA45F9" w:rsidP="00981615">
            <w:pPr>
              <w:ind w:left="0" w:firstLine="0"/>
              <w:jc w:val="left"/>
              <w:rPr>
                <w:b/>
                <w:bCs/>
                <w:noProof/>
                <w:sz w:val="16"/>
                <w:szCs w:val="16"/>
              </w:rPr>
            </w:pPr>
          </w:p>
          <w:p w:rsidR="00EA45F9" w:rsidRPr="009B5734" w:rsidRDefault="00EA45F9" w:rsidP="00981615">
            <w:pPr>
              <w:ind w:left="0" w:firstLine="0"/>
              <w:jc w:val="left"/>
              <w:rPr>
                <w:noProof/>
                <w:sz w:val="16"/>
                <w:szCs w:val="16"/>
              </w:rPr>
            </w:pPr>
          </w:p>
        </w:tc>
      </w:tr>
      <w:tr w:rsidR="00EA45F9" w:rsidRPr="009B5734" w:rsidTr="70D97C89">
        <w:tblPrEx>
          <w:shd w:val="clear" w:color="auto" w:fill="auto"/>
        </w:tblPrEx>
        <w:trPr>
          <w:trHeight w:val="261"/>
        </w:trPr>
        <w:tc>
          <w:tcPr>
            <w:tcW w:w="1736" w:type="dxa"/>
          </w:tcPr>
          <w:p w:rsidR="00EA45F9" w:rsidRPr="009B5734" w:rsidRDefault="00EA45F9" w:rsidP="00981615">
            <w:pPr>
              <w:ind w:left="0" w:firstLine="0"/>
              <w:rPr>
                <w:rFonts w:cs="Arial"/>
                <w:noProof/>
                <w:sz w:val="16"/>
                <w:szCs w:val="18"/>
              </w:rPr>
            </w:pPr>
            <w:r w:rsidRPr="009B5734">
              <w:rPr>
                <w:b/>
                <w:bCs/>
                <w:noProof/>
              </w:rPr>
              <w:t>Legislative proposals at national level</w:t>
            </w:r>
          </w:p>
        </w:tc>
        <w:tc>
          <w:tcPr>
            <w:tcW w:w="1737" w:type="dxa"/>
          </w:tcPr>
          <w:p w:rsidR="00EA45F9" w:rsidRPr="009B5734" w:rsidRDefault="00EA45F9" w:rsidP="00981615">
            <w:pPr>
              <w:jc w:val="center"/>
              <w:rPr>
                <w:b/>
                <w:bCs/>
                <w:noProof/>
                <w:sz w:val="16"/>
                <w:szCs w:val="16"/>
              </w:rPr>
            </w:pPr>
          </w:p>
          <w:tbl>
            <w:tblPr>
              <w:tblStyle w:val="TableGrid"/>
              <w:tblW w:w="0" w:type="auto"/>
              <w:tblLayout w:type="fixed"/>
              <w:tblLook w:val="04A0" w:firstRow="1" w:lastRow="0" w:firstColumn="1" w:lastColumn="0" w:noHBand="0" w:noVBand="1"/>
            </w:tblPr>
            <w:tblGrid>
              <w:gridCol w:w="1518"/>
            </w:tblGrid>
            <w:tr w:rsidR="00EA45F9" w:rsidRPr="009B5734" w:rsidTr="00981615">
              <w:trPr>
                <w:trHeight w:val="827"/>
              </w:trPr>
              <w:tc>
                <w:tcPr>
                  <w:tcW w:w="1518" w:type="dxa"/>
                </w:tcPr>
                <w:p w:rsidR="00EA45F9" w:rsidRPr="009B5734" w:rsidRDefault="00EA45F9" w:rsidP="00CF264A">
                  <w:pPr>
                    <w:framePr w:hSpace="141" w:wrap="around" w:vAnchor="text" w:hAnchor="text" w:xAlign="center" w:y="1"/>
                    <w:suppressOverlap/>
                    <w:rPr>
                      <w:b/>
                      <w:bCs/>
                      <w:noProof/>
                      <w:sz w:val="16"/>
                      <w:szCs w:val="16"/>
                    </w:rPr>
                  </w:pPr>
                  <w:r w:rsidRPr="009B5734">
                    <w:rPr>
                      <w:b/>
                      <w:bCs/>
                      <w:noProof/>
                      <w:sz w:val="16"/>
                      <w:szCs w:val="16"/>
                    </w:rPr>
                    <w:t>Belgium and Italy</w:t>
                  </w:r>
                </w:p>
              </w:tc>
            </w:tr>
          </w:tbl>
          <w:p w:rsidR="00EA45F9" w:rsidRPr="009B5734" w:rsidRDefault="00EA45F9" w:rsidP="00981615">
            <w:pPr>
              <w:jc w:val="center"/>
              <w:rPr>
                <w:b/>
                <w:bCs/>
                <w:noProof/>
                <w:sz w:val="16"/>
                <w:szCs w:val="16"/>
              </w:rPr>
            </w:pPr>
          </w:p>
          <w:p w:rsidR="00EA45F9" w:rsidRPr="009B5734" w:rsidRDefault="00EA45F9" w:rsidP="00981615">
            <w:pPr>
              <w:ind w:left="0" w:firstLine="0"/>
              <w:jc w:val="left"/>
              <w:rPr>
                <w:noProof/>
                <w:color w:val="000000" w:themeColor="text1"/>
                <w:sz w:val="16"/>
                <w:szCs w:val="16"/>
              </w:rPr>
            </w:pPr>
            <w:r w:rsidRPr="009B5734">
              <w:rPr>
                <w:b/>
                <w:bCs/>
                <w:noProof/>
                <w:color w:val="000000" w:themeColor="text1"/>
                <w:sz w:val="16"/>
                <w:szCs w:val="16"/>
              </w:rPr>
              <w:t xml:space="preserve">Belgium – Proposals for a Bill aiming at combating planned and premature obsolescence and increasing the possibilities of repair </w:t>
            </w:r>
            <w:r w:rsidRPr="009B5734">
              <w:rPr>
                <w:noProof/>
                <w:color w:val="000000" w:themeColor="text1"/>
                <w:sz w:val="16"/>
                <w:szCs w:val="16"/>
              </w:rPr>
              <w:t>(9 November 2019</w:t>
            </w:r>
            <w:r w:rsidRPr="009B5734">
              <w:rPr>
                <w:b/>
                <w:bCs/>
                <w:noProof/>
                <w:color w:val="000000" w:themeColor="text1"/>
                <w:sz w:val="16"/>
                <w:szCs w:val="16"/>
              </w:rPr>
              <w:t xml:space="preserve">): </w:t>
            </w:r>
            <w:r w:rsidRPr="009B5734">
              <w:rPr>
                <w:noProof/>
                <w:color w:val="000000" w:themeColor="text1"/>
                <w:sz w:val="16"/>
                <w:szCs w:val="16"/>
              </w:rPr>
              <w:t>it prohibits</w:t>
            </w:r>
            <w:r w:rsidRPr="009B5734">
              <w:rPr>
                <w:noProof/>
              </w:rPr>
              <w:t xml:space="preserve"> </w:t>
            </w:r>
            <w:r w:rsidRPr="009B5734">
              <w:rPr>
                <w:noProof/>
                <w:color w:val="000000" w:themeColor="text1"/>
                <w:sz w:val="16"/>
                <w:szCs w:val="16"/>
              </w:rPr>
              <w:t xml:space="preserve">producers from engaging in planned and premature obsolescence practices; it proposes to include in pre-contractual information the </w:t>
            </w:r>
            <w:r w:rsidR="004555D8" w:rsidRPr="009B5734">
              <w:rPr>
                <w:noProof/>
                <w:color w:val="000000" w:themeColor="text1"/>
                <w:sz w:val="16"/>
                <w:szCs w:val="16"/>
              </w:rPr>
              <w:t>reparability</w:t>
            </w:r>
            <w:r w:rsidRPr="009B5734">
              <w:rPr>
                <w:noProof/>
                <w:color w:val="000000" w:themeColor="text1"/>
                <w:sz w:val="16"/>
                <w:szCs w:val="16"/>
              </w:rPr>
              <w:t xml:space="preserve"> and non-reparability of products, as well as the length of time of spare parts are available; it suggests that all products have on the surface, on the packaging, and on advertisement, an indication of the lifetime of the product and the possibility for repair in a legible, apparent and unequivocal manner. Lifespan is expressed in hours, month or years or, where relevant, in number of operating cycles. </w:t>
            </w:r>
            <w:r w:rsidRPr="009B5734">
              <w:rPr>
                <w:noProof/>
              </w:rPr>
              <w:t xml:space="preserve"> </w:t>
            </w:r>
            <w:r w:rsidRPr="009B5734">
              <w:rPr>
                <w:noProof/>
                <w:color w:val="000000" w:themeColor="text1"/>
                <w:sz w:val="16"/>
                <w:szCs w:val="16"/>
              </w:rPr>
              <w:t>The obligation to provide information on lifespan to consumers and to ensure that the product does not fail earlier than the indicated lifespan is on the producer.</w:t>
            </w:r>
          </w:p>
          <w:p w:rsidR="00EA45F9" w:rsidRPr="009B5734" w:rsidRDefault="00EA45F9" w:rsidP="00981615">
            <w:pPr>
              <w:ind w:left="3" w:hanging="3"/>
              <w:jc w:val="left"/>
              <w:rPr>
                <w:b/>
                <w:bCs/>
                <w:noProof/>
                <w:sz w:val="16"/>
                <w:szCs w:val="16"/>
              </w:rPr>
            </w:pPr>
            <w:r w:rsidRPr="009B5734">
              <w:rPr>
                <w:b/>
                <w:bCs/>
                <w:noProof/>
                <w:sz w:val="16"/>
                <w:szCs w:val="16"/>
              </w:rPr>
              <w:t xml:space="preserve"> </w:t>
            </w:r>
          </w:p>
          <w:p w:rsidR="00EA45F9" w:rsidRPr="009B5734" w:rsidRDefault="00EA45F9" w:rsidP="00981615">
            <w:pPr>
              <w:ind w:left="3" w:hanging="3"/>
              <w:jc w:val="left"/>
              <w:rPr>
                <w:noProof/>
                <w:sz w:val="16"/>
                <w:szCs w:val="16"/>
              </w:rPr>
            </w:pPr>
            <w:r w:rsidRPr="009B5734">
              <w:rPr>
                <w:b/>
                <w:bCs/>
                <w:noProof/>
                <w:sz w:val="16"/>
                <w:szCs w:val="16"/>
              </w:rPr>
              <w:t xml:space="preserve">Italy – information obligation on the durability of the product (9 July 2018): </w:t>
            </w:r>
            <w:r w:rsidRPr="009B5734">
              <w:rPr>
                <w:noProof/>
                <w:sz w:val="16"/>
                <w:szCs w:val="16"/>
              </w:rPr>
              <w:t>This legislative proposal</w:t>
            </w:r>
            <w:r w:rsidRPr="009B5734">
              <w:rPr>
                <w:b/>
                <w:bCs/>
                <w:noProof/>
                <w:sz w:val="16"/>
                <w:szCs w:val="16"/>
              </w:rPr>
              <w:t xml:space="preserve"> </w:t>
            </w:r>
            <w:r w:rsidRPr="009B5734">
              <w:rPr>
                <w:noProof/>
                <w:sz w:val="16"/>
                <w:szCs w:val="16"/>
              </w:rPr>
              <w:t>would introduce an obligation to inform consumers on the "guaranteed lifespan and the presumable lifespan"</w:t>
            </w:r>
            <w:r w:rsidRPr="009B5734">
              <w:rPr>
                <w:rStyle w:val="FootnoteReference"/>
                <w:noProof/>
                <w:sz w:val="16"/>
                <w:szCs w:val="16"/>
              </w:rPr>
              <w:footnoteReference w:id="216"/>
            </w:r>
            <w:r w:rsidRPr="009B5734">
              <w:rPr>
                <w:noProof/>
                <w:sz w:val="16"/>
                <w:szCs w:val="16"/>
              </w:rPr>
              <w:t xml:space="preserve"> of products on the packaging. It is the producer who is in charge of providing the information and guaranteeing the correct durability of the product.</w:t>
            </w:r>
          </w:p>
          <w:p w:rsidR="00EA45F9" w:rsidRPr="009B5734" w:rsidRDefault="00EA45F9" w:rsidP="00981615">
            <w:pPr>
              <w:jc w:val="center"/>
              <w:rPr>
                <w:noProof/>
                <w:sz w:val="16"/>
                <w:szCs w:val="16"/>
              </w:rPr>
            </w:pPr>
          </w:p>
          <w:p w:rsidR="00EA45F9" w:rsidRPr="009B5734" w:rsidRDefault="00EA45F9" w:rsidP="00981615">
            <w:pPr>
              <w:jc w:val="center"/>
              <w:rPr>
                <w:b/>
                <w:bCs/>
                <w:noProof/>
                <w:sz w:val="16"/>
                <w:szCs w:val="16"/>
              </w:rPr>
            </w:pPr>
          </w:p>
          <w:p w:rsidR="00EA45F9" w:rsidRPr="009B5734" w:rsidRDefault="00EA45F9" w:rsidP="00981615">
            <w:pPr>
              <w:jc w:val="center"/>
              <w:rPr>
                <w:b/>
                <w:bCs/>
                <w:noProof/>
                <w:sz w:val="16"/>
                <w:szCs w:val="16"/>
              </w:rPr>
            </w:pPr>
          </w:p>
          <w:p w:rsidR="00EA45F9" w:rsidRPr="009B5734" w:rsidRDefault="00EA45F9" w:rsidP="00981615">
            <w:pPr>
              <w:jc w:val="center"/>
              <w:rPr>
                <w:b/>
                <w:bCs/>
                <w:noProof/>
                <w:sz w:val="16"/>
                <w:szCs w:val="16"/>
              </w:rPr>
            </w:pPr>
          </w:p>
          <w:p w:rsidR="00EA45F9" w:rsidRPr="009B5734" w:rsidRDefault="00EA45F9" w:rsidP="00981615">
            <w:pPr>
              <w:jc w:val="center"/>
              <w:rPr>
                <w:b/>
                <w:bCs/>
                <w:noProof/>
                <w:sz w:val="16"/>
                <w:szCs w:val="16"/>
              </w:rPr>
            </w:pPr>
          </w:p>
        </w:tc>
        <w:tc>
          <w:tcPr>
            <w:tcW w:w="1737" w:type="dxa"/>
          </w:tcPr>
          <w:p w:rsidR="00EA45F9" w:rsidRPr="009B5734" w:rsidRDefault="00EA45F9" w:rsidP="00981615">
            <w:pPr>
              <w:jc w:val="center"/>
              <w:rPr>
                <w:b/>
                <w:bCs/>
                <w:noProof/>
                <w:sz w:val="16"/>
                <w:szCs w:val="16"/>
              </w:rPr>
            </w:pPr>
          </w:p>
          <w:tbl>
            <w:tblPr>
              <w:tblStyle w:val="TableGrid"/>
              <w:tblW w:w="0" w:type="auto"/>
              <w:tblLayout w:type="fixed"/>
              <w:tblLook w:val="04A0" w:firstRow="1" w:lastRow="0" w:firstColumn="1" w:lastColumn="0" w:noHBand="0" w:noVBand="1"/>
            </w:tblPr>
            <w:tblGrid>
              <w:gridCol w:w="1518"/>
            </w:tblGrid>
            <w:tr w:rsidR="00EA45F9" w:rsidRPr="009B5734" w:rsidTr="00981615">
              <w:trPr>
                <w:trHeight w:val="827"/>
              </w:trPr>
              <w:tc>
                <w:tcPr>
                  <w:tcW w:w="1518" w:type="dxa"/>
                </w:tcPr>
                <w:p w:rsidR="00EA45F9" w:rsidRPr="009B5734" w:rsidRDefault="00EA45F9" w:rsidP="00CF264A">
                  <w:pPr>
                    <w:framePr w:hSpace="141" w:wrap="around" w:vAnchor="text" w:hAnchor="text" w:xAlign="center" w:y="1"/>
                    <w:suppressOverlap/>
                    <w:jc w:val="left"/>
                    <w:rPr>
                      <w:b/>
                      <w:bCs/>
                      <w:noProof/>
                      <w:sz w:val="16"/>
                      <w:szCs w:val="16"/>
                    </w:rPr>
                  </w:pPr>
                  <w:r w:rsidRPr="009B5734">
                    <w:rPr>
                      <w:b/>
                      <w:bCs/>
                      <w:noProof/>
                      <w:sz w:val="16"/>
                      <w:szCs w:val="16"/>
                    </w:rPr>
                    <w:t>Belgium, Italy, Spain and Portugal</w:t>
                  </w:r>
                </w:p>
              </w:tc>
            </w:tr>
          </w:tbl>
          <w:p w:rsidR="00EA45F9" w:rsidRPr="009B5734" w:rsidRDefault="00EA45F9" w:rsidP="00981615">
            <w:pPr>
              <w:jc w:val="center"/>
              <w:rPr>
                <w:b/>
                <w:bCs/>
                <w:noProof/>
                <w:sz w:val="16"/>
                <w:szCs w:val="16"/>
              </w:rPr>
            </w:pPr>
          </w:p>
          <w:p w:rsidR="00EA45F9" w:rsidRPr="009B5734" w:rsidRDefault="00EA45F9" w:rsidP="00981615">
            <w:pPr>
              <w:ind w:left="0" w:firstLine="0"/>
              <w:jc w:val="left"/>
              <w:rPr>
                <w:noProof/>
                <w:color w:val="000000" w:themeColor="text1"/>
                <w:sz w:val="16"/>
                <w:szCs w:val="16"/>
              </w:rPr>
            </w:pPr>
            <w:r w:rsidRPr="009B5734">
              <w:rPr>
                <w:b/>
                <w:bCs/>
                <w:noProof/>
                <w:color w:val="000000" w:themeColor="text1"/>
                <w:sz w:val="16"/>
                <w:szCs w:val="16"/>
              </w:rPr>
              <w:t xml:space="preserve">Belgium – Proposals for a Bill aiming at combating planned and premature obsolescence and increasing the possibilities of repair </w:t>
            </w:r>
            <w:r w:rsidRPr="009B5734">
              <w:rPr>
                <w:noProof/>
                <w:color w:val="000000" w:themeColor="text1"/>
                <w:sz w:val="16"/>
                <w:szCs w:val="16"/>
              </w:rPr>
              <w:t>(9 November 2019</w:t>
            </w:r>
            <w:r w:rsidRPr="009B5734">
              <w:rPr>
                <w:b/>
                <w:bCs/>
                <w:noProof/>
                <w:color w:val="000000" w:themeColor="text1"/>
                <w:sz w:val="16"/>
                <w:szCs w:val="16"/>
              </w:rPr>
              <w:t xml:space="preserve">): </w:t>
            </w:r>
            <w:r w:rsidRPr="009B5734">
              <w:rPr>
                <w:noProof/>
                <w:color w:val="000000" w:themeColor="text1"/>
                <w:sz w:val="16"/>
                <w:szCs w:val="16"/>
              </w:rPr>
              <w:t>it prohibits</w:t>
            </w:r>
            <w:r w:rsidRPr="009B5734">
              <w:rPr>
                <w:noProof/>
              </w:rPr>
              <w:t xml:space="preserve"> </w:t>
            </w:r>
            <w:r w:rsidRPr="009B5734">
              <w:rPr>
                <w:noProof/>
                <w:color w:val="000000" w:themeColor="text1"/>
                <w:sz w:val="16"/>
                <w:szCs w:val="16"/>
              </w:rPr>
              <w:t xml:space="preserve">producers from engaging in planned and premature obsolescence practices; it proposes to include in pre-contractual information the </w:t>
            </w:r>
            <w:r w:rsidR="004555D8" w:rsidRPr="009B5734">
              <w:rPr>
                <w:noProof/>
                <w:color w:val="000000" w:themeColor="text1"/>
                <w:sz w:val="16"/>
                <w:szCs w:val="16"/>
              </w:rPr>
              <w:t>reparability</w:t>
            </w:r>
            <w:r w:rsidRPr="009B5734">
              <w:rPr>
                <w:noProof/>
                <w:color w:val="000000" w:themeColor="text1"/>
                <w:sz w:val="16"/>
                <w:szCs w:val="16"/>
              </w:rPr>
              <w:t xml:space="preserve"> and non-reparability of products, as well as the length of time of spare parts are available; it suggests that all products have on the surface, on the packaging, and on advertisement, an indication of the lifetime of the product and the possibility for repair in a legible, apparent and unequivocal manner. Lifespan is expressed in hours, month or years or, where relevant, in number of operating cycles. </w:t>
            </w:r>
            <w:r w:rsidRPr="009B5734">
              <w:rPr>
                <w:noProof/>
              </w:rPr>
              <w:t xml:space="preserve"> </w:t>
            </w:r>
            <w:r w:rsidRPr="009B5734">
              <w:rPr>
                <w:noProof/>
                <w:color w:val="000000" w:themeColor="text1"/>
                <w:sz w:val="16"/>
                <w:szCs w:val="16"/>
              </w:rPr>
              <w:t xml:space="preserve">The obligation to provide information on lifespan to consumers and to ensure that the product does not fail earlier than the indicated </w:t>
            </w:r>
            <w:r w:rsidR="004555D8" w:rsidRPr="009B5734">
              <w:rPr>
                <w:noProof/>
                <w:color w:val="000000" w:themeColor="text1"/>
                <w:sz w:val="16"/>
                <w:szCs w:val="16"/>
              </w:rPr>
              <w:t>lifespan is</w:t>
            </w:r>
            <w:r w:rsidRPr="009B5734">
              <w:rPr>
                <w:noProof/>
                <w:color w:val="000000" w:themeColor="text1"/>
                <w:sz w:val="16"/>
                <w:szCs w:val="16"/>
              </w:rPr>
              <w:t xml:space="preserve"> on the producer.</w:t>
            </w:r>
          </w:p>
          <w:p w:rsidR="00EA45F9" w:rsidRPr="009B5734" w:rsidRDefault="00EA45F9" w:rsidP="00981615">
            <w:pPr>
              <w:ind w:left="0" w:firstLine="0"/>
              <w:jc w:val="left"/>
              <w:rPr>
                <w:noProof/>
                <w:sz w:val="16"/>
                <w:szCs w:val="16"/>
              </w:rPr>
            </w:pPr>
          </w:p>
          <w:p w:rsidR="00EA45F9" w:rsidRPr="009B5734" w:rsidRDefault="00EA45F9" w:rsidP="00981615">
            <w:pPr>
              <w:ind w:left="0" w:firstLine="0"/>
              <w:jc w:val="left"/>
              <w:rPr>
                <w:noProof/>
                <w:sz w:val="16"/>
                <w:szCs w:val="16"/>
              </w:rPr>
            </w:pPr>
            <w:r w:rsidRPr="009B5734">
              <w:rPr>
                <w:b/>
                <w:bCs/>
                <w:noProof/>
                <w:sz w:val="16"/>
                <w:szCs w:val="16"/>
              </w:rPr>
              <w:t xml:space="preserve">Italy – Consumer rights on lifespan and possibility of reparations at accessible prices (9 July 2018): </w:t>
            </w:r>
            <w:r w:rsidRPr="009B5734">
              <w:rPr>
                <w:noProof/>
                <w:sz w:val="16"/>
                <w:szCs w:val="16"/>
              </w:rPr>
              <w:t>This legislative proposal would recognise the consumer's right to</w:t>
            </w:r>
            <w:r w:rsidRPr="009B5734">
              <w:rPr>
                <w:noProof/>
              </w:rPr>
              <w:t xml:space="preserve"> </w:t>
            </w:r>
            <w:r w:rsidRPr="009B5734">
              <w:rPr>
                <w:noProof/>
                <w:sz w:val="16"/>
                <w:szCs w:val="16"/>
              </w:rPr>
              <w:t>be informed by producers on the possibility of reparation at accessible prices.</w:t>
            </w:r>
          </w:p>
          <w:p w:rsidR="00EA45F9" w:rsidRPr="009B5734" w:rsidRDefault="00EA45F9" w:rsidP="00981615">
            <w:pPr>
              <w:ind w:left="0" w:firstLine="0"/>
              <w:jc w:val="left"/>
              <w:rPr>
                <w:noProof/>
                <w:sz w:val="16"/>
                <w:szCs w:val="16"/>
              </w:rPr>
            </w:pPr>
          </w:p>
          <w:p w:rsidR="00EA45F9" w:rsidRPr="009B5734" w:rsidRDefault="00EA45F9" w:rsidP="00981615">
            <w:pPr>
              <w:ind w:left="6" w:hanging="6"/>
              <w:rPr>
                <w:b/>
                <w:noProof/>
                <w:sz w:val="16"/>
                <w:szCs w:val="16"/>
              </w:rPr>
            </w:pPr>
            <w:r w:rsidRPr="009B5734">
              <w:rPr>
                <w:b/>
                <w:noProof/>
                <w:sz w:val="16"/>
                <w:szCs w:val="16"/>
              </w:rPr>
              <w:t xml:space="preserve">Spain – Reparability index (15 March 2021): </w:t>
            </w:r>
            <w:r w:rsidRPr="009B5734">
              <w:rPr>
                <w:noProof/>
                <w:sz w:val="16"/>
                <w:szCs w:val="16"/>
              </w:rPr>
              <w:t xml:space="preserve"> This legislative proposal would consists of a classification of electrical and electronic equipment on a scale of zero to ten points awarded based on five objective criteria. Awareness-raising actions will accompany the Reparability Index. It will create an opportunity for the industry to have a new incentive for innovation in eco-design and repairable, upgradeable, sustainable technology without obsolescence. </w:t>
            </w:r>
          </w:p>
          <w:p w:rsidR="00EA45F9" w:rsidRPr="009B5734" w:rsidRDefault="00EA45F9" w:rsidP="00981615">
            <w:pPr>
              <w:rPr>
                <w:noProof/>
                <w:sz w:val="16"/>
                <w:szCs w:val="16"/>
              </w:rPr>
            </w:pPr>
          </w:p>
          <w:p w:rsidR="00EA45F9" w:rsidRPr="009B5734" w:rsidRDefault="00EA45F9" w:rsidP="00981615">
            <w:pPr>
              <w:ind w:left="0" w:firstLine="0"/>
              <w:jc w:val="left"/>
              <w:rPr>
                <w:noProof/>
                <w:sz w:val="16"/>
                <w:szCs w:val="16"/>
              </w:rPr>
            </w:pPr>
            <w:r w:rsidRPr="009B5734">
              <w:rPr>
                <w:b/>
                <w:bCs/>
                <w:noProof/>
                <w:sz w:val="16"/>
                <w:szCs w:val="16"/>
              </w:rPr>
              <w:t xml:space="preserve">Portugal – reparability (4 November 2019): </w:t>
            </w:r>
            <w:r w:rsidRPr="009B5734">
              <w:rPr>
                <w:noProof/>
                <w:sz w:val="16"/>
                <w:szCs w:val="16"/>
              </w:rPr>
              <w:t>Legislative proposal requiring that producers and importers must ensure the availability of user’s manuals.</w:t>
            </w:r>
          </w:p>
          <w:p w:rsidR="00EA45F9" w:rsidRPr="009B5734" w:rsidRDefault="00EA45F9" w:rsidP="00981615">
            <w:pPr>
              <w:rPr>
                <w:noProof/>
                <w:sz w:val="16"/>
                <w:szCs w:val="16"/>
              </w:rPr>
            </w:pPr>
          </w:p>
          <w:p w:rsidR="00EA45F9" w:rsidRPr="009B5734" w:rsidRDefault="00EA45F9" w:rsidP="00981615">
            <w:pPr>
              <w:jc w:val="center"/>
              <w:rPr>
                <w:b/>
                <w:bCs/>
                <w:noProof/>
                <w:sz w:val="16"/>
                <w:szCs w:val="16"/>
              </w:rPr>
            </w:pPr>
          </w:p>
          <w:p w:rsidR="00EA45F9" w:rsidRPr="009B5734" w:rsidRDefault="00EA45F9" w:rsidP="00981615">
            <w:pPr>
              <w:jc w:val="center"/>
              <w:rPr>
                <w:b/>
                <w:bCs/>
                <w:noProof/>
                <w:sz w:val="16"/>
                <w:szCs w:val="16"/>
              </w:rPr>
            </w:pPr>
          </w:p>
        </w:tc>
        <w:tc>
          <w:tcPr>
            <w:tcW w:w="1737" w:type="dxa"/>
          </w:tcPr>
          <w:p w:rsidR="00EA45F9" w:rsidRPr="009B5734" w:rsidRDefault="00EA45F9" w:rsidP="00981615">
            <w:pPr>
              <w:jc w:val="center"/>
              <w:rPr>
                <w:b/>
                <w:bCs/>
                <w:noProof/>
                <w:sz w:val="16"/>
                <w:szCs w:val="16"/>
              </w:rPr>
            </w:pPr>
          </w:p>
          <w:tbl>
            <w:tblPr>
              <w:tblStyle w:val="TableGrid"/>
              <w:tblW w:w="0" w:type="auto"/>
              <w:tblLayout w:type="fixed"/>
              <w:tblLook w:val="04A0" w:firstRow="1" w:lastRow="0" w:firstColumn="1" w:lastColumn="0" w:noHBand="0" w:noVBand="1"/>
            </w:tblPr>
            <w:tblGrid>
              <w:gridCol w:w="1518"/>
            </w:tblGrid>
            <w:tr w:rsidR="00EA45F9" w:rsidRPr="009B5734" w:rsidTr="00981615">
              <w:trPr>
                <w:trHeight w:val="827"/>
              </w:trPr>
              <w:tc>
                <w:tcPr>
                  <w:tcW w:w="1518" w:type="dxa"/>
                </w:tcPr>
                <w:p w:rsidR="00EA45F9" w:rsidRPr="009B5734" w:rsidRDefault="00EA45F9" w:rsidP="00CF264A">
                  <w:pPr>
                    <w:framePr w:hSpace="141" w:wrap="around" w:vAnchor="text" w:hAnchor="text" w:xAlign="center" w:y="1"/>
                    <w:suppressOverlap/>
                    <w:jc w:val="center"/>
                    <w:rPr>
                      <w:b/>
                      <w:bCs/>
                      <w:noProof/>
                      <w:sz w:val="16"/>
                      <w:szCs w:val="16"/>
                    </w:rPr>
                  </w:pPr>
                  <w:r w:rsidRPr="009B5734">
                    <w:rPr>
                      <w:b/>
                      <w:bCs/>
                      <w:noProof/>
                      <w:sz w:val="16"/>
                      <w:szCs w:val="16"/>
                    </w:rPr>
                    <w:t xml:space="preserve">Not identified </w:t>
                  </w:r>
                </w:p>
              </w:tc>
            </w:tr>
          </w:tbl>
          <w:p w:rsidR="00EA45F9" w:rsidRPr="009B5734" w:rsidRDefault="00EA45F9" w:rsidP="00981615">
            <w:pPr>
              <w:jc w:val="center"/>
              <w:rPr>
                <w:b/>
                <w:bCs/>
                <w:noProof/>
                <w:sz w:val="16"/>
                <w:szCs w:val="16"/>
              </w:rPr>
            </w:pPr>
          </w:p>
          <w:p w:rsidR="00EA45F9" w:rsidRPr="009B5734" w:rsidRDefault="00EA45F9" w:rsidP="00981615">
            <w:pPr>
              <w:jc w:val="center"/>
              <w:rPr>
                <w:b/>
                <w:bCs/>
                <w:noProof/>
                <w:sz w:val="16"/>
                <w:szCs w:val="16"/>
              </w:rPr>
            </w:pPr>
          </w:p>
        </w:tc>
        <w:tc>
          <w:tcPr>
            <w:tcW w:w="1737" w:type="dxa"/>
          </w:tcPr>
          <w:p w:rsidR="00EA45F9" w:rsidRPr="009B5734" w:rsidRDefault="00EA45F9" w:rsidP="00981615">
            <w:pPr>
              <w:jc w:val="center"/>
              <w:rPr>
                <w:b/>
                <w:bCs/>
                <w:noProof/>
                <w:color w:val="000000" w:themeColor="text1"/>
                <w:sz w:val="16"/>
                <w:szCs w:val="16"/>
              </w:rPr>
            </w:pPr>
          </w:p>
          <w:tbl>
            <w:tblPr>
              <w:tblStyle w:val="TableGrid"/>
              <w:tblW w:w="0" w:type="auto"/>
              <w:tblLayout w:type="fixed"/>
              <w:tblLook w:val="04A0" w:firstRow="1" w:lastRow="0" w:firstColumn="1" w:lastColumn="0" w:noHBand="0" w:noVBand="1"/>
            </w:tblPr>
            <w:tblGrid>
              <w:gridCol w:w="1518"/>
            </w:tblGrid>
            <w:tr w:rsidR="00EA45F9" w:rsidRPr="009B5734" w:rsidTr="00981615">
              <w:trPr>
                <w:trHeight w:val="827"/>
              </w:trPr>
              <w:tc>
                <w:tcPr>
                  <w:tcW w:w="1518" w:type="dxa"/>
                </w:tcPr>
                <w:p w:rsidR="00EA45F9" w:rsidRPr="009B5734" w:rsidRDefault="00EA45F9" w:rsidP="00CF264A">
                  <w:pPr>
                    <w:framePr w:hSpace="141" w:wrap="around" w:vAnchor="text" w:hAnchor="text" w:xAlign="center" w:y="1"/>
                    <w:suppressOverlap/>
                    <w:jc w:val="left"/>
                    <w:rPr>
                      <w:b/>
                      <w:bCs/>
                      <w:noProof/>
                      <w:color w:val="000000" w:themeColor="text1"/>
                      <w:sz w:val="16"/>
                      <w:szCs w:val="16"/>
                    </w:rPr>
                  </w:pPr>
                  <w:r w:rsidRPr="009B5734">
                    <w:rPr>
                      <w:b/>
                      <w:bCs/>
                      <w:noProof/>
                      <w:color w:val="000000" w:themeColor="text1"/>
                      <w:sz w:val="16"/>
                      <w:szCs w:val="16"/>
                    </w:rPr>
                    <w:t>Belgium, Italy and Portugal</w:t>
                  </w:r>
                </w:p>
              </w:tc>
            </w:tr>
          </w:tbl>
          <w:p w:rsidR="00EA45F9" w:rsidRPr="009B5734" w:rsidRDefault="00EA45F9" w:rsidP="00981615">
            <w:pPr>
              <w:ind w:left="2" w:firstLine="0"/>
              <w:jc w:val="left"/>
              <w:rPr>
                <w:b/>
                <w:bCs/>
                <w:noProof/>
                <w:color w:val="000000" w:themeColor="text1"/>
                <w:sz w:val="16"/>
                <w:szCs w:val="16"/>
              </w:rPr>
            </w:pPr>
          </w:p>
          <w:p w:rsidR="00EA45F9" w:rsidRPr="009B5734" w:rsidRDefault="00EA45F9" w:rsidP="00981615">
            <w:pPr>
              <w:ind w:left="2" w:firstLine="0"/>
              <w:jc w:val="left"/>
              <w:rPr>
                <w:noProof/>
                <w:color w:val="000000" w:themeColor="text1"/>
                <w:sz w:val="16"/>
                <w:szCs w:val="16"/>
              </w:rPr>
            </w:pPr>
            <w:r w:rsidRPr="009B5734">
              <w:rPr>
                <w:b/>
                <w:bCs/>
                <w:noProof/>
                <w:color w:val="000000" w:themeColor="text1"/>
                <w:sz w:val="16"/>
                <w:szCs w:val="16"/>
              </w:rPr>
              <w:t xml:space="preserve">Belgium – Proposal for a bill to address planned obsolescence and support repair economy </w:t>
            </w:r>
            <w:r w:rsidRPr="009B5734">
              <w:rPr>
                <w:noProof/>
                <w:color w:val="000000" w:themeColor="text1"/>
                <w:sz w:val="16"/>
                <w:szCs w:val="16"/>
              </w:rPr>
              <w:t>(19 July 2019):</w:t>
            </w:r>
            <w:r w:rsidRPr="009B5734">
              <w:rPr>
                <w:b/>
                <w:bCs/>
                <w:noProof/>
                <w:color w:val="000000" w:themeColor="text1"/>
                <w:sz w:val="16"/>
                <w:szCs w:val="16"/>
              </w:rPr>
              <w:t xml:space="preserve"> </w:t>
            </w:r>
            <w:r w:rsidRPr="009B5734">
              <w:rPr>
                <w:noProof/>
                <w:color w:val="000000" w:themeColor="text1"/>
                <w:sz w:val="16"/>
                <w:szCs w:val="16"/>
              </w:rPr>
              <w:t>This proposal introduces a definition of planned obsolescence</w:t>
            </w:r>
            <w:r w:rsidRPr="009B5734">
              <w:rPr>
                <w:noProof/>
              </w:rPr>
              <w:t xml:space="preserve"> </w:t>
            </w:r>
            <w:r w:rsidRPr="009B5734">
              <w:rPr>
                <w:noProof/>
                <w:color w:val="000000" w:themeColor="text1"/>
                <w:sz w:val="16"/>
                <w:szCs w:val="16"/>
              </w:rPr>
              <w:t>and bans it. In case of breach of this provision, it provides a sanction for the producer. It also</w:t>
            </w:r>
            <w:r w:rsidRPr="009B5734" w:rsidDel="00B029FD">
              <w:rPr>
                <w:noProof/>
                <w:color w:val="000000" w:themeColor="text1"/>
                <w:sz w:val="16"/>
                <w:szCs w:val="16"/>
              </w:rPr>
              <w:t xml:space="preserve"> </w:t>
            </w:r>
            <w:r w:rsidRPr="009B5734">
              <w:rPr>
                <w:noProof/>
                <w:color w:val="000000" w:themeColor="text1"/>
                <w:sz w:val="16"/>
                <w:szCs w:val="16"/>
              </w:rPr>
              <w:t>suggests the creation of a product passport, an extension of the legal guarantee to 5 years. It also provides that it can be decided to require manufacturers and importers to provide professional sellers and repairers with essential spare parts.</w:t>
            </w:r>
          </w:p>
          <w:p w:rsidR="00EA45F9" w:rsidRPr="009B5734" w:rsidRDefault="00EA45F9" w:rsidP="00981615">
            <w:pPr>
              <w:ind w:left="2" w:firstLine="0"/>
              <w:jc w:val="left"/>
              <w:rPr>
                <w:noProof/>
                <w:color w:val="000000" w:themeColor="text1"/>
                <w:sz w:val="16"/>
                <w:szCs w:val="16"/>
              </w:rPr>
            </w:pPr>
          </w:p>
          <w:p w:rsidR="00EA45F9" w:rsidRPr="009B5734" w:rsidRDefault="00EA45F9" w:rsidP="00981615">
            <w:pPr>
              <w:ind w:left="17" w:hanging="17"/>
              <w:jc w:val="left"/>
              <w:rPr>
                <w:noProof/>
                <w:color w:val="000000" w:themeColor="text1"/>
                <w:sz w:val="16"/>
                <w:szCs w:val="16"/>
              </w:rPr>
            </w:pPr>
            <w:r w:rsidRPr="009B5734">
              <w:rPr>
                <w:b/>
                <w:bCs/>
                <w:noProof/>
                <w:color w:val="000000" w:themeColor="text1"/>
                <w:sz w:val="16"/>
                <w:szCs w:val="16"/>
              </w:rPr>
              <w:t>Belgium – Proposal for a Bill to address organised obsolescence and support the circular economy</w:t>
            </w:r>
            <w:r w:rsidRPr="009B5734">
              <w:rPr>
                <w:noProof/>
                <w:color w:val="000000" w:themeColor="text1"/>
                <w:sz w:val="16"/>
                <w:szCs w:val="16"/>
              </w:rPr>
              <w:t xml:space="preserve"> (7 January 2020): It introduces a definition of organised obsolescence and prohibits it.</w:t>
            </w:r>
            <w:r w:rsidRPr="009B5734">
              <w:rPr>
                <w:noProof/>
              </w:rPr>
              <w:t xml:space="preserve"> </w:t>
            </w:r>
            <w:r w:rsidRPr="009B5734">
              <w:rPr>
                <w:noProof/>
                <w:color w:val="000000" w:themeColor="text1"/>
                <w:sz w:val="16"/>
                <w:szCs w:val="16"/>
              </w:rPr>
              <w:t>If the product is considered affected by organised obsolescence, it is the producer who is deemed responsible unless the producer is established abroad, in which case the trader is considered responsible.   It proposes to include in the pre-contractual information the lifetime of the products, the period during which spare parts that are essential for the use of the product are available in a visible and equivocal way on the packaging and advertisement of the product. It obliges producers to guarantee the availability of a product's spare parts -which are essential for its use - at a reasonable price.</w:t>
            </w:r>
          </w:p>
          <w:p w:rsidR="00EA45F9" w:rsidRPr="009B5734" w:rsidRDefault="00EA45F9" w:rsidP="00981615">
            <w:pPr>
              <w:ind w:left="17" w:hanging="17"/>
              <w:jc w:val="left"/>
              <w:rPr>
                <w:b/>
                <w:bCs/>
                <w:noProof/>
                <w:color w:val="000000" w:themeColor="text1"/>
                <w:sz w:val="16"/>
                <w:szCs w:val="16"/>
              </w:rPr>
            </w:pPr>
          </w:p>
          <w:p w:rsidR="00EA45F9" w:rsidRPr="009B5734" w:rsidRDefault="00EA45F9" w:rsidP="00981615">
            <w:pPr>
              <w:ind w:left="17" w:hanging="17"/>
              <w:jc w:val="left"/>
              <w:rPr>
                <w:noProof/>
                <w:color w:val="000000" w:themeColor="text1"/>
                <w:sz w:val="16"/>
                <w:szCs w:val="16"/>
              </w:rPr>
            </w:pPr>
            <w:r w:rsidRPr="009B5734">
              <w:rPr>
                <w:b/>
                <w:bCs/>
                <w:noProof/>
                <w:color w:val="000000" w:themeColor="text1"/>
                <w:sz w:val="16"/>
                <w:szCs w:val="16"/>
              </w:rPr>
              <w:t xml:space="preserve">Italy – Definition and prohibition of planned obsolescence (9 July 2020): </w:t>
            </w:r>
            <w:r w:rsidRPr="009B5734">
              <w:rPr>
                <w:noProof/>
                <w:color w:val="000000" w:themeColor="text1"/>
                <w:sz w:val="16"/>
                <w:szCs w:val="16"/>
              </w:rPr>
              <w:t>This legislative proposal would define and ban the practice of planned obsolescence and introduce criminal sanctions for the producer or distributor of goods who mislead the consumers on a number of issues including planned obsolescence.</w:t>
            </w:r>
          </w:p>
          <w:p w:rsidR="00EA45F9" w:rsidRPr="009B5734" w:rsidRDefault="00EA45F9" w:rsidP="00981615">
            <w:pPr>
              <w:ind w:left="17" w:hanging="17"/>
              <w:jc w:val="left"/>
              <w:rPr>
                <w:noProof/>
                <w:color w:val="000000" w:themeColor="text1"/>
                <w:sz w:val="16"/>
                <w:szCs w:val="16"/>
              </w:rPr>
            </w:pPr>
          </w:p>
          <w:p w:rsidR="00EA45F9" w:rsidRPr="009B5734" w:rsidRDefault="00EA45F9" w:rsidP="00981615">
            <w:pPr>
              <w:ind w:left="17" w:hanging="17"/>
              <w:jc w:val="left"/>
              <w:rPr>
                <w:b/>
                <w:bCs/>
                <w:noProof/>
                <w:color w:val="000000" w:themeColor="text1"/>
                <w:sz w:val="16"/>
                <w:szCs w:val="16"/>
              </w:rPr>
            </w:pPr>
            <w:r w:rsidRPr="009B5734">
              <w:rPr>
                <w:b/>
                <w:bCs/>
                <w:noProof/>
                <w:color w:val="000000" w:themeColor="text1"/>
                <w:sz w:val="16"/>
                <w:szCs w:val="16"/>
              </w:rPr>
              <w:t>Portugal – Promoting product durability and combating planned obsolescence</w:t>
            </w:r>
            <w:r w:rsidRPr="009B5734">
              <w:rPr>
                <w:bCs/>
                <w:noProof/>
                <w:color w:val="000000" w:themeColor="text1"/>
                <w:sz w:val="16"/>
                <w:szCs w:val="16"/>
              </w:rPr>
              <w:t xml:space="preserve"> </w:t>
            </w:r>
            <w:r w:rsidRPr="009B5734">
              <w:rPr>
                <w:noProof/>
                <w:color w:val="000000" w:themeColor="text1"/>
                <w:sz w:val="16"/>
                <w:szCs w:val="16"/>
              </w:rPr>
              <w:t>(4 November 2019)</w:t>
            </w:r>
            <w:r w:rsidRPr="009B5734">
              <w:rPr>
                <w:bCs/>
                <w:noProof/>
                <w:color w:val="000000" w:themeColor="text1"/>
                <w:sz w:val="16"/>
                <w:szCs w:val="16"/>
              </w:rPr>
              <w:t>:</w:t>
            </w:r>
            <w:r w:rsidRPr="009B5734">
              <w:rPr>
                <w:b/>
                <w:bCs/>
                <w:noProof/>
                <w:color w:val="000000" w:themeColor="text1"/>
                <w:sz w:val="16"/>
                <w:szCs w:val="16"/>
              </w:rPr>
              <w:t xml:space="preserve"> </w:t>
            </w:r>
            <w:r w:rsidRPr="009B5734">
              <w:rPr>
                <w:noProof/>
                <w:color w:val="000000" w:themeColor="text1"/>
                <w:sz w:val="16"/>
                <w:szCs w:val="16"/>
              </w:rPr>
              <w:t>Legislative proposals to prohibit planned obsolescence by producers.</w:t>
            </w:r>
          </w:p>
          <w:p w:rsidR="00EA45F9" w:rsidRPr="009B5734" w:rsidRDefault="00EA45F9" w:rsidP="00981615">
            <w:pPr>
              <w:jc w:val="center"/>
              <w:rPr>
                <w:noProof/>
                <w:color w:val="000000" w:themeColor="text1"/>
                <w:sz w:val="16"/>
                <w:szCs w:val="16"/>
              </w:rPr>
            </w:pPr>
          </w:p>
        </w:tc>
        <w:tc>
          <w:tcPr>
            <w:tcW w:w="1737" w:type="dxa"/>
          </w:tcPr>
          <w:p w:rsidR="00EA45F9" w:rsidRPr="009B5734" w:rsidRDefault="00EA45F9" w:rsidP="00981615">
            <w:pPr>
              <w:jc w:val="center"/>
              <w:rPr>
                <w:b/>
                <w:bCs/>
                <w:noProof/>
                <w:sz w:val="16"/>
                <w:szCs w:val="16"/>
              </w:rPr>
            </w:pPr>
          </w:p>
          <w:tbl>
            <w:tblPr>
              <w:tblStyle w:val="TableGrid"/>
              <w:tblW w:w="0" w:type="auto"/>
              <w:tblLayout w:type="fixed"/>
              <w:tblLook w:val="04A0" w:firstRow="1" w:lastRow="0" w:firstColumn="1" w:lastColumn="0" w:noHBand="0" w:noVBand="1"/>
            </w:tblPr>
            <w:tblGrid>
              <w:gridCol w:w="1518"/>
            </w:tblGrid>
            <w:tr w:rsidR="00EA45F9" w:rsidRPr="009B5734" w:rsidTr="00981615">
              <w:trPr>
                <w:trHeight w:val="827"/>
              </w:trPr>
              <w:tc>
                <w:tcPr>
                  <w:tcW w:w="1518" w:type="dxa"/>
                </w:tcPr>
                <w:p w:rsidR="00EA45F9" w:rsidRPr="009B5734" w:rsidRDefault="00EA45F9" w:rsidP="00CF264A">
                  <w:pPr>
                    <w:framePr w:hSpace="141" w:wrap="around" w:vAnchor="text" w:hAnchor="text" w:xAlign="center" w:y="1"/>
                    <w:suppressOverlap/>
                    <w:jc w:val="center"/>
                    <w:rPr>
                      <w:b/>
                      <w:bCs/>
                      <w:noProof/>
                      <w:sz w:val="16"/>
                      <w:szCs w:val="16"/>
                    </w:rPr>
                  </w:pPr>
                  <w:r w:rsidRPr="009B5734">
                    <w:rPr>
                      <w:b/>
                      <w:bCs/>
                      <w:noProof/>
                      <w:sz w:val="16"/>
                      <w:szCs w:val="16"/>
                    </w:rPr>
                    <w:t xml:space="preserve">Not identified </w:t>
                  </w:r>
                </w:p>
              </w:tc>
            </w:tr>
          </w:tbl>
          <w:p w:rsidR="00EA45F9" w:rsidRPr="009B5734" w:rsidRDefault="00EA45F9" w:rsidP="00981615">
            <w:pPr>
              <w:jc w:val="center"/>
              <w:rPr>
                <w:b/>
                <w:bCs/>
                <w:noProof/>
                <w:sz w:val="16"/>
                <w:szCs w:val="16"/>
              </w:rPr>
            </w:pPr>
          </w:p>
          <w:p w:rsidR="00EA45F9" w:rsidRPr="009B5734" w:rsidRDefault="00EA45F9" w:rsidP="00981615">
            <w:pPr>
              <w:jc w:val="center"/>
              <w:rPr>
                <w:b/>
                <w:bCs/>
                <w:noProof/>
                <w:sz w:val="16"/>
                <w:szCs w:val="16"/>
              </w:rPr>
            </w:pPr>
          </w:p>
          <w:p w:rsidR="00EA45F9" w:rsidRPr="009B5734" w:rsidRDefault="00EA45F9" w:rsidP="00981615">
            <w:pPr>
              <w:jc w:val="center"/>
              <w:rPr>
                <w:b/>
                <w:bCs/>
                <w:noProof/>
                <w:sz w:val="16"/>
                <w:szCs w:val="16"/>
              </w:rPr>
            </w:pPr>
          </w:p>
          <w:p w:rsidR="00EA45F9" w:rsidRPr="009B5734" w:rsidRDefault="00EA45F9" w:rsidP="00981615">
            <w:pPr>
              <w:jc w:val="center"/>
              <w:rPr>
                <w:b/>
                <w:bCs/>
                <w:noProof/>
                <w:sz w:val="16"/>
                <w:szCs w:val="16"/>
              </w:rPr>
            </w:pPr>
          </w:p>
          <w:p w:rsidR="00EA45F9" w:rsidRPr="009B5734" w:rsidRDefault="00EA45F9" w:rsidP="00981615">
            <w:pPr>
              <w:jc w:val="center"/>
              <w:rPr>
                <w:b/>
                <w:bCs/>
                <w:noProof/>
                <w:sz w:val="16"/>
                <w:szCs w:val="16"/>
              </w:rPr>
            </w:pPr>
          </w:p>
          <w:p w:rsidR="00EA45F9" w:rsidRPr="009B5734" w:rsidRDefault="00EA45F9" w:rsidP="00981615">
            <w:pPr>
              <w:jc w:val="center"/>
              <w:rPr>
                <w:b/>
                <w:bCs/>
                <w:noProof/>
                <w:sz w:val="16"/>
                <w:szCs w:val="16"/>
              </w:rPr>
            </w:pPr>
          </w:p>
        </w:tc>
        <w:tc>
          <w:tcPr>
            <w:tcW w:w="1737" w:type="dxa"/>
          </w:tcPr>
          <w:p w:rsidR="00EA45F9" w:rsidRPr="009B5734" w:rsidRDefault="00EA45F9" w:rsidP="00981615">
            <w:pPr>
              <w:jc w:val="center"/>
              <w:rPr>
                <w:b/>
                <w:bCs/>
                <w:noProof/>
                <w:sz w:val="16"/>
                <w:szCs w:val="16"/>
              </w:rPr>
            </w:pPr>
          </w:p>
          <w:tbl>
            <w:tblPr>
              <w:tblStyle w:val="TableGrid"/>
              <w:tblW w:w="0" w:type="auto"/>
              <w:tblLayout w:type="fixed"/>
              <w:tblLook w:val="04A0" w:firstRow="1" w:lastRow="0" w:firstColumn="1" w:lastColumn="0" w:noHBand="0" w:noVBand="1"/>
            </w:tblPr>
            <w:tblGrid>
              <w:gridCol w:w="1518"/>
            </w:tblGrid>
            <w:tr w:rsidR="00EA45F9" w:rsidRPr="009B5734" w:rsidTr="00981615">
              <w:trPr>
                <w:trHeight w:val="827"/>
              </w:trPr>
              <w:tc>
                <w:tcPr>
                  <w:tcW w:w="1518" w:type="dxa"/>
                </w:tcPr>
                <w:p w:rsidR="00EA45F9" w:rsidRPr="009B5734" w:rsidRDefault="00EA45F9" w:rsidP="00CF264A">
                  <w:pPr>
                    <w:framePr w:hSpace="141" w:wrap="around" w:vAnchor="text" w:hAnchor="text" w:xAlign="center" w:y="1"/>
                    <w:suppressOverlap/>
                    <w:jc w:val="center"/>
                    <w:rPr>
                      <w:b/>
                      <w:bCs/>
                      <w:noProof/>
                      <w:sz w:val="16"/>
                      <w:szCs w:val="16"/>
                    </w:rPr>
                  </w:pPr>
                  <w:r w:rsidRPr="009B5734">
                    <w:rPr>
                      <w:b/>
                      <w:bCs/>
                      <w:noProof/>
                      <w:sz w:val="16"/>
                      <w:szCs w:val="16"/>
                    </w:rPr>
                    <w:t xml:space="preserve">Not identified </w:t>
                  </w:r>
                </w:p>
              </w:tc>
            </w:tr>
          </w:tbl>
          <w:p w:rsidR="00EA45F9" w:rsidRPr="009B5734" w:rsidRDefault="00EA45F9" w:rsidP="00981615">
            <w:pPr>
              <w:jc w:val="center"/>
              <w:rPr>
                <w:b/>
                <w:bCs/>
                <w:noProof/>
                <w:sz w:val="16"/>
                <w:szCs w:val="16"/>
              </w:rPr>
            </w:pPr>
          </w:p>
          <w:p w:rsidR="00EA45F9" w:rsidRPr="009B5734" w:rsidRDefault="00EA45F9" w:rsidP="00981615">
            <w:pPr>
              <w:jc w:val="center"/>
              <w:rPr>
                <w:b/>
                <w:bCs/>
                <w:noProof/>
                <w:sz w:val="16"/>
                <w:szCs w:val="16"/>
              </w:rPr>
            </w:pPr>
          </w:p>
          <w:p w:rsidR="00EA45F9" w:rsidRPr="009B5734" w:rsidRDefault="00EA45F9" w:rsidP="00981615">
            <w:pPr>
              <w:jc w:val="center"/>
              <w:rPr>
                <w:b/>
                <w:bCs/>
                <w:noProof/>
                <w:sz w:val="16"/>
                <w:szCs w:val="16"/>
              </w:rPr>
            </w:pPr>
          </w:p>
          <w:p w:rsidR="00EA45F9" w:rsidRPr="009B5734" w:rsidRDefault="00EA45F9" w:rsidP="00981615">
            <w:pPr>
              <w:jc w:val="center"/>
              <w:rPr>
                <w:b/>
                <w:bCs/>
                <w:noProof/>
                <w:sz w:val="16"/>
                <w:szCs w:val="16"/>
              </w:rPr>
            </w:pPr>
          </w:p>
          <w:p w:rsidR="00EA45F9" w:rsidRPr="009B5734" w:rsidRDefault="00EA45F9" w:rsidP="00981615">
            <w:pPr>
              <w:jc w:val="center"/>
              <w:rPr>
                <w:b/>
                <w:bCs/>
                <w:noProof/>
                <w:sz w:val="16"/>
                <w:szCs w:val="16"/>
              </w:rPr>
            </w:pPr>
          </w:p>
          <w:p w:rsidR="00EA45F9" w:rsidRPr="009B5734" w:rsidRDefault="00EA45F9" w:rsidP="00981615">
            <w:pPr>
              <w:jc w:val="center"/>
              <w:rPr>
                <w:b/>
                <w:bCs/>
                <w:noProof/>
                <w:sz w:val="16"/>
                <w:szCs w:val="16"/>
              </w:rPr>
            </w:pPr>
          </w:p>
        </w:tc>
      </w:tr>
    </w:tbl>
    <w:p w:rsidR="00EA45F9" w:rsidRPr="009B5734" w:rsidRDefault="00EA45F9" w:rsidP="00EA45F9">
      <w:pPr>
        <w:rPr>
          <w:noProof/>
        </w:rPr>
        <w:sectPr w:rsidR="00EA45F9" w:rsidRPr="009B5734" w:rsidSect="00AB460F">
          <w:headerReference w:type="even" r:id="rId92"/>
          <w:headerReference w:type="default" r:id="rId93"/>
          <w:footerReference w:type="even" r:id="rId94"/>
          <w:footerReference w:type="default" r:id="rId95"/>
          <w:headerReference w:type="first" r:id="rId96"/>
          <w:footerReference w:type="first" r:id="rId97"/>
          <w:pgSz w:w="16838" w:h="11906" w:orient="landscape"/>
          <w:pgMar w:top="1588" w:right="1021" w:bottom="1701" w:left="1021" w:header="601" w:footer="1077" w:gutter="0"/>
          <w:cols w:space="720"/>
          <w:titlePg/>
          <w:docGrid w:linePitch="299"/>
        </w:sectPr>
      </w:pPr>
    </w:p>
    <w:p w:rsidR="00EA45F9" w:rsidRPr="009B5734" w:rsidRDefault="00EA45F9" w:rsidP="00EA45F9">
      <w:pPr>
        <w:pStyle w:val="Heading1"/>
        <w:jc w:val="center"/>
        <w:rPr>
          <w:noProof/>
        </w:rPr>
      </w:pPr>
      <w:bookmarkStart w:id="644" w:name="_Annex_7:_Overview"/>
      <w:bookmarkStart w:id="645" w:name="_Toc58149114"/>
      <w:bookmarkStart w:id="646" w:name="_Toc58604149"/>
      <w:bookmarkStart w:id="647" w:name="_Ref59614032"/>
      <w:bookmarkStart w:id="648" w:name="_Toc75440999"/>
      <w:bookmarkStart w:id="649" w:name="_Toc75446998"/>
      <w:bookmarkStart w:id="650" w:name="_Toc75448871"/>
      <w:bookmarkStart w:id="651" w:name="_Toc77844265"/>
      <w:bookmarkStart w:id="652" w:name="_Toc86391768"/>
      <w:bookmarkEnd w:id="644"/>
      <w:r w:rsidRPr="009B5734">
        <w:rPr>
          <w:noProof/>
        </w:rPr>
        <w:t>Annex 7: Overview of EU legislation relevant for the problems the initiative aims to address</w:t>
      </w:r>
      <w:bookmarkEnd w:id="645"/>
      <w:bookmarkEnd w:id="646"/>
      <w:bookmarkEnd w:id="647"/>
      <w:bookmarkEnd w:id="648"/>
      <w:bookmarkEnd w:id="649"/>
      <w:bookmarkEnd w:id="650"/>
      <w:bookmarkEnd w:id="651"/>
      <w:bookmarkEnd w:id="652"/>
    </w:p>
    <w:p w:rsidR="00D9730F" w:rsidRPr="00C84A99" w:rsidRDefault="00D9730F" w:rsidP="00C84A99">
      <w:pPr>
        <w:pStyle w:val="BodyTextEC"/>
        <w:rPr>
          <w:rFonts w:ascii="Times New Roman" w:hAnsi="Times New Roman" w:cs="Times New Roman"/>
          <w:b/>
          <w:bCs/>
          <w:noProof/>
          <w:sz w:val="24"/>
          <w:szCs w:val="24"/>
        </w:rPr>
      </w:pPr>
      <w:r w:rsidRPr="00C84A99">
        <w:rPr>
          <w:rFonts w:ascii="Times New Roman" w:hAnsi="Times New Roman" w:cs="Times New Roman"/>
          <w:noProof/>
          <w:sz w:val="24"/>
          <w:szCs w:val="24"/>
        </w:rPr>
        <w:t xml:space="preserve">This Annex presents </w:t>
      </w:r>
      <w:r>
        <w:rPr>
          <w:rFonts w:ascii="Times New Roman" w:hAnsi="Times New Roman" w:cs="Times New Roman"/>
          <w:noProof/>
          <w:sz w:val="24"/>
          <w:szCs w:val="24"/>
        </w:rPr>
        <w:t xml:space="preserve">in detail </w:t>
      </w:r>
      <w:r w:rsidRPr="00C84A99">
        <w:rPr>
          <w:rFonts w:ascii="Times New Roman" w:hAnsi="Times New Roman" w:cs="Times New Roman"/>
          <w:noProof/>
          <w:sz w:val="24"/>
          <w:szCs w:val="24"/>
        </w:rPr>
        <w:t>the interaction between the initiative subject to this Impact Assessment and existing EU legislation, as well as its interaction with</w:t>
      </w:r>
      <w:r>
        <w:rPr>
          <w:rFonts w:ascii="Times New Roman" w:hAnsi="Times New Roman" w:cs="Times New Roman"/>
          <w:noProof/>
          <w:sz w:val="24"/>
          <w:szCs w:val="24"/>
        </w:rPr>
        <w:t xml:space="preserve"> other</w:t>
      </w:r>
      <w:r w:rsidRPr="00C84A99">
        <w:rPr>
          <w:rFonts w:ascii="Times New Roman" w:hAnsi="Times New Roman" w:cs="Times New Roman"/>
          <w:noProof/>
          <w:sz w:val="24"/>
          <w:szCs w:val="24"/>
        </w:rPr>
        <w:t xml:space="preserve"> </w:t>
      </w:r>
      <w:r>
        <w:rPr>
          <w:rFonts w:ascii="Times New Roman" w:hAnsi="Times New Roman" w:cs="Times New Roman"/>
          <w:noProof/>
          <w:sz w:val="24"/>
          <w:szCs w:val="24"/>
        </w:rPr>
        <w:t xml:space="preserve">EU </w:t>
      </w:r>
      <w:r w:rsidRPr="00C84A99">
        <w:rPr>
          <w:rFonts w:ascii="Times New Roman" w:hAnsi="Times New Roman" w:cs="Times New Roman"/>
          <w:noProof/>
          <w:sz w:val="24"/>
          <w:szCs w:val="24"/>
        </w:rPr>
        <w:t>initiatives which are currently under preparation.</w:t>
      </w:r>
    </w:p>
    <w:p w:rsidR="00D9730F" w:rsidRDefault="00D9730F" w:rsidP="00EA45F9">
      <w:pPr>
        <w:rPr>
          <w:rFonts w:ascii="Times New Roman" w:hAnsi="Times New Roman" w:cs="Times New Roman"/>
          <w:b/>
          <w:noProof/>
          <w:sz w:val="24"/>
          <w:szCs w:val="24"/>
        </w:rPr>
      </w:pPr>
    </w:p>
    <w:p w:rsidR="005443C8" w:rsidRPr="00C84A99" w:rsidRDefault="005443C8">
      <w:pPr>
        <w:rPr>
          <w:rFonts w:ascii="Times New Roman" w:hAnsi="Times New Roman" w:cs="Times New Roman"/>
          <w:b/>
          <w:bCs/>
          <w:noProof/>
          <w:sz w:val="24"/>
          <w:szCs w:val="24"/>
        </w:rPr>
      </w:pPr>
      <w:r w:rsidRPr="005D24D2">
        <w:rPr>
          <w:rFonts w:ascii="Times New Roman" w:hAnsi="Times New Roman" w:cs="Times New Roman"/>
          <w:b/>
          <w:bCs/>
          <w:noProof/>
          <w:sz w:val="24"/>
          <w:szCs w:val="24"/>
        </w:rPr>
        <w:t>Part 1</w:t>
      </w:r>
    </w:p>
    <w:p w:rsidR="00EA45F9" w:rsidRPr="00C84A99" w:rsidRDefault="00D9730F" w:rsidP="00C84A99">
      <w:pPr>
        <w:pStyle w:val="BodyTextEC"/>
        <w:rPr>
          <w:rFonts w:ascii="Times New Roman" w:hAnsi="Times New Roman" w:cs="Times New Roman"/>
          <w:noProof/>
          <w:sz w:val="24"/>
          <w:szCs w:val="24"/>
        </w:rPr>
      </w:pPr>
      <w:r w:rsidRPr="00C84A99">
        <w:rPr>
          <w:rFonts w:ascii="Times New Roman" w:hAnsi="Times New Roman" w:cs="Times New Roman"/>
          <w:noProof/>
          <w:sz w:val="24"/>
          <w:szCs w:val="24"/>
        </w:rPr>
        <w:t>The table below</w:t>
      </w:r>
      <w:r w:rsidR="00EA45F9" w:rsidRPr="00012725">
        <w:rPr>
          <w:rFonts w:ascii="Times New Roman" w:hAnsi="Times New Roman" w:cs="Times New Roman"/>
          <w:noProof/>
          <w:sz w:val="24"/>
          <w:szCs w:val="24"/>
        </w:rPr>
        <w:t xml:space="preserve"> presents in a succinct way whether and to what extent the problems identified in this IA are addressed by other</w:t>
      </w:r>
      <w:r w:rsidR="00EA45F9" w:rsidRPr="008422F4">
        <w:rPr>
          <w:rFonts w:ascii="Times New Roman" w:hAnsi="Times New Roman" w:cs="Times New Roman"/>
          <w:noProof/>
          <w:sz w:val="24"/>
          <w:szCs w:val="24"/>
        </w:rPr>
        <w:t xml:space="preserve"> </w:t>
      </w:r>
      <w:r w:rsidRPr="00C84A99">
        <w:rPr>
          <w:rFonts w:ascii="Times New Roman" w:hAnsi="Times New Roman" w:cs="Times New Roman"/>
          <w:noProof/>
          <w:sz w:val="24"/>
          <w:szCs w:val="24"/>
        </w:rPr>
        <w:t>existing</w:t>
      </w:r>
      <w:r w:rsidR="00EA45F9" w:rsidRPr="00C84A99">
        <w:rPr>
          <w:rFonts w:ascii="Times New Roman" w:hAnsi="Times New Roman" w:cs="Times New Roman"/>
          <w:noProof/>
          <w:sz w:val="24"/>
          <w:szCs w:val="24"/>
        </w:rPr>
        <w:t xml:space="preserve"> </w:t>
      </w:r>
      <w:r w:rsidR="00EA45F9" w:rsidRPr="00012725">
        <w:rPr>
          <w:rFonts w:ascii="Times New Roman" w:hAnsi="Times New Roman" w:cs="Times New Roman"/>
          <w:noProof/>
          <w:sz w:val="24"/>
          <w:szCs w:val="24"/>
        </w:rPr>
        <w:t xml:space="preserve">EU legislation. </w:t>
      </w:r>
    </w:p>
    <w:p w:rsidR="00EA45F9" w:rsidRPr="009B5734" w:rsidRDefault="00EA45F9" w:rsidP="00EA45F9">
      <w:pPr>
        <w:rPr>
          <w:noProof/>
        </w:rPr>
      </w:pPr>
    </w:p>
    <w:p w:rsidR="00EA45F9" w:rsidRPr="009B5734" w:rsidRDefault="00EA45F9" w:rsidP="00EA45F9">
      <w:pPr>
        <w:ind w:left="0" w:firstLine="0"/>
        <w:rPr>
          <w:noProof/>
        </w:rPr>
      </w:pPr>
      <w:r w:rsidRPr="009B5734">
        <w:rPr>
          <w:rFonts w:cs="Arial"/>
          <w:noProof/>
          <w:color w:val="002395"/>
          <w:szCs w:val="20"/>
          <w:lang w:eastAsia="en-GB"/>
        </w:rPr>
        <mc:AlternateContent>
          <mc:Choice Requires="wps">
            <w:drawing>
              <wp:inline distT="0" distB="0" distL="0" distR="0" wp14:anchorId="3C407383" wp14:editId="0F9C2AD4">
                <wp:extent cx="108000" cy="108000"/>
                <wp:effectExtent l="0" t="0" r="25400" b="25400"/>
                <wp:docPr id="2" name="Rectangle 2"/>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bg1"/>
                        </a:solidFill>
                        <a:ln w="3175">
                          <a:solidFill>
                            <a:srgbClr val="0023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607339" id="Rectangle 2"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" fillcolor="white [3212]" strokecolor="#002395" strokeweight=".25pt">
                <w10:anchorlock/>
              </v:rect>
            </w:pict>
          </mc:Fallback>
        </mc:AlternateContent>
      </w:r>
      <w:r w:rsidRPr="009B5734">
        <w:rPr>
          <w:noProof/>
        </w:rPr>
        <w:t xml:space="preserve"> partially addressed for all products</w:t>
      </w:r>
      <w:r w:rsidRPr="009B5734">
        <w:rPr>
          <w:noProof/>
        </w:rPr>
        <w:tab/>
        <w:t xml:space="preserve">      </w:t>
      </w:r>
      <w:r w:rsidRPr="009B5734">
        <w:rPr>
          <w:noProof/>
          <w:lang w:eastAsia="en-GB"/>
        </w:rPr>
        <mc:AlternateContent>
          <mc:Choice Requires="wps">
            <w:drawing>
              <wp:inline distT="0" distB="0" distL="0" distR="0" wp14:anchorId="7523D05E" wp14:editId="79FD9FAE">
                <wp:extent cx="108000" cy="108000"/>
                <wp:effectExtent l="0" t="0" r="25400" b="25400"/>
                <wp:docPr id="3" name="Right Triangle 3"/>
                <wp:cNvGraphicFramePr/>
                <a:graphic xmlns:a="http://schemas.openxmlformats.org/drawingml/2006/main">
                  <a:graphicData uri="http://schemas.microsoft.com/office/word/2010/wordprocessingShape">
                    <wps:wsp>
                      <wps:cNvSpPr/>
                      <wps:spPr>
                        <a:xfrm>
                          <a:off x="0" y="0"/>
                          <a:ext cx="108000" cy="108000"/>
                        </a:xfrm>
                        <a:prstGeom prst="rtTriangle">
                          <a:avLst/>
                        </a:prstGeom>
                        <a:solidFill>
                          <a:srgbClr val="002395"/>
                        </a:solidFill>
                        <a:ln>
                          <a:solidFill>
                            <a:srgbClr val="0023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B251B38" id="_x0000_t6" coordsize="21600,21600" o:spt="6" path="m,l,21600r21600,xe">
                <v:stroke joinstyle="miter"/>
                <v:path gradientshapeok="t" o:connecttype="custom" o:connectlocs="0,0;0,10800;0,21600;10800,21600;21600,21600;10800,10800" textboxrect="1800,12600,12600,19800"/>
              </v:shapetype>
              <v:shape id="Right Triangle 3"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" fillcolor="#002395" strokecolor="#002395" strokeweight="2pt">
                <w10:anchorlock/>
              </v:shape>
            </w:pict>
          </mc:Fallback>
        </mc:AlternateContent>
      </w:r>
      <w:r w:rsidRPr="009B5734">
        <w:rPr>
          <w:noProof/>
        </w:rPr>
        <w:tab/>
        <w:t xml:space="preserve">fully addressed for a set of products       </w:t>
      </w:r>
      <w:r w:rsidRPr="009B5734">
        <w:rPr>
          <w:noProof/>
        </w:rPr>
        <w:tab/>
      </w:r>
      <w:r w:rsidRPr="009B5734">
        <w:rPr>
          <w:noProof/>
          <w:lang w:eastAsia="en-GB"/>
        </w:rPr>
        <mc:AlternateContent>
          <mc:Choice Requires="wps">
            <w:drawing>
              <wp:inline distT="0" distB="0" distL="0" distR="0" wp14:anchorId="11E3C808" wp14:editId="6A7D8B15">
                <wp:extent cx="108000" cy="108000"/>
                <wp:effectExtent l="0" t="0" r="25400" b="25400"/>
                <wp:docPr id="6" name="Right Triangle 6"/>
                <wp:cNvGraphicFramePr/>
                <a:graphic xmlns:a="http://schemas.openxmlformats.org/drawingml/2006/main">
                  <a:graphicData uri="http://schemas.microsoft.com/office/word/2010/wordprocessingShape">
                    <wps:wsp>
                      <wps:cNvSpPr/>
                      <wps:spPr>
                        <a:xfrm>
                          <a:off x="0" y="0"/>
                          <a:ext cx="108000" cy="108000"/>
                        </a:xfrm>
                        <a:prstGeom prst="rtTriangle">
                          <a:avLst/>
                        </a:prstGeom>
                        <a:noFill/>
                        <a:ln w="3175">
                          <a:solidFill>
                            <a:srgbClr val="0023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DE8C04" id="Right Triangle 6"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" filled="f" strokecolor="#002395" strokeweight=".25pt">
                <w10:anchorlock/>
              </v:shape>
            </w:pict>
          </mc:Fallback>
        </mc:AlternateContent>
      </w:r>
      <w:r w:rsidRPr="009B5734">
        <w:rPr>
          <w:noProof/>
        </w:rPr>
        <w:t xml:space="preserve"> partially addressed for a set of products </w:t>
      </w:r>
      <w:r w:rsidRPr="009B5734">
        <w:rPr>
          <w:noProof/>
        </w:rPr>
        <w:tab/>
      </w:r>
      <w:r w:rsidRPr="009B5734">
        <w:rPr>
          <w:rFonts w:cs="Arial"/>
          <w:b/>
          <w:noProof/>
          <w:color w:val="002395"/>
          <w:szCs w:val="20"/>
        </w:rPr>
        <w:t>/</w:t>
      </w:r>
      <w:r w:rsidRPr="009B5734">
        <w:rPr>
          <w:noProof/>
        </w:rPr>
        <w:t xml:space="preserve"> not addressed</w:t>
      </w:r>
    </w:p>
    <w:p w:rsidR="00EA45F9" w:rsidRPr="009B5734" w:rsidRDefault="00EA45F9" w:rsidP="00EA45F9">
      <w:pPr>
        <w:ind w:left="0" w:firstLine="0"/>
        <w:rPr>
          <w:noProof/>
        </w:rPr>
      </w:pPr>
    </w:p>
    <w:p w:rsidR="00EA45F9" w:rsidRPr="009B5734" w:rsidRDefault="00EA45F9" w:rsidP="00EA45F9">
      <w:pPr>
        <w:rPr>
          <w:noProof/>
        </w:rPr>
      </w:pPr>
    </w:p>
    <w:tbl>
      <w:tblPr>
        <w:tblW w:w="4647"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left w:w="0" w:type="dxa"/>
          <w:right w:w="0" w:type="dxa"/>
        </w:tblCellMar>
        <w:tblLook w:val="0000" w:firstRow="0" w:lastRow="0" w:firstColumn="0" w:lastColumn="0" w:noHBand="0" w:noVBand="0"/>
        <w:tblDescription w:val="False|True|False"/>
      </w:tblPr>
      <w:tblGrid>
        <w:gridCol w:w="1437"/>
        <w:gridCol w:w="927"/>
        <w:gridCol w:w="1133"/>
        <w:gridCol w:w="1337"/>
        <w:gridCol w:w="1133"/>
        <w:gridCol w:w="1337"/>
        <w:gridCol w:w="1133"/>
        <w:gridCol w:w="1029"/>
        <w:gridCol w:w="4285"/>
      </w:tblGrid>
      <w:tr w:rsidR="00EA45F9" w:rsidRPr="009B5734" w:rsidTr="00C84A99">
        <w:trPr>
          <w:cantSplit/>
          <w:trHeight w:val="20"/>
          <w:tblHeader/>
        </w:trPr>
        <w:tc>
          <w:tcPr>
            <w:tcW w:w="523" w:type="pct"/>
            <w:tcBorders>
              <w:top w:val="single" w:sz="4" w:space="0" w:color="auto"/>
              <w:left w:val="nil"/>
              <w:bottom w:val="single" w:sz="4" w:space="0" w:color="auto"/>
              <w:right w:val="nil"/>
            </w:tcBorders>
            <w:shd w:val="clear" w:color="auto" w:fill="002395"/>
            <w:vAlign w:val="center"/>
          </w:tcPr>
          <w:p w:rsidR="00EA45F9" w:rsidRPr="009B5734" w:rsidRDefault="00EA45F9" w:rsidP="00981615">
            <w:pPr>
              <w:pStyle w:val="TableHeadingWhite"/>
              <w:rPr>
                <w:noProof/>
                <w:sz w:val="20"/>
              </w:rPr>
            </w:pPr>
          </w:p>
        </w:tc>
        <w:tc>
          <w:tcPr>
            <w:tcW w:w="1235" w:type="pct"/>
            <w:gridSpan w:val="3"/>
            <w:tcBorders>
              <w:top w:val="single" w:sz="4" w:space="0" w:color="auto"/>
              <w:left w:val="nil"/>
              <w:bottom w:val="single" w:sz="4" w:space="0" w:color="auto"/>
              <w:right w:val="nil"/>
            </w:tcBorders>
            <w:shd w:val="clear" w:color="auto" w:fill="002395"/>
            <w:vAlign w:val="center"/>
          </w:tcPr>
          <w:p w:rsidR="00EA45F9" w:rsidRPr="009B5734" w:rsidRDefault="00EA45F9" w:rsidP="00981615">
            <w:pPr>
              <w:pStyle w:val="TableHeadingWhite"/>
              <w:jc w:val="center"/>
              <w:rPr>
                <w:noProof/>
                <w:sz w:val="20"/>
              </w:rPr>
            </w:pPr>
            <w:r w:rsidRPr="009B5734">
              <w:rPr>
                <w:noProof/>
                <w:sz w:val="20"/>
              </w:rPr>
              <w:t>Provision of information</w:t>
            </w:r>
          </w:p>
        </w:tc>
        <w:tc>
          <w:tcPr>
            <w:tcW w:w="412" w:type="pct"/>
            <w:vMerge w:val="restart"/>
            <w:tcBorders>
              <w:top w:val="single" w:sz="4" w:space="0" w:color="auto"/>
              <w:left w:val="nil"/>
              <w:bottom w:val="single" w:sz="4" w:space="0" w:color="auto"/>
              <w:right w:val="nil"/>
            </w:tcBorders>
            <w:shd w:val="clear" w:color="auto" w:fill="002395"/>
            <w:vAlign w:val="center"/>
          </w:tcPr>
          <w:p w:rsidR="00EA45F9" w:rsidRPr="009B5734" w:rsidRDefault="00EA45F9" w:rsidP="00981615">
            <w:pPr>
              <w:pStyle w:val="TableHeadingWhite"/>
              <w:ind w:left="0" w:firstLine="0"/>
              <w:jc w:val="center"/>
              <w:rPr>
                <w:noProof/>
                <w:sz w:val="20"/>
              </w:rPr>
            </w:pPr>
            <w:r w:rsidRPr="009B5734">
              <w:rPr>
                <w:noProof/>
                <w:sz w:val="20"/>
              </w:rPr>
              <w:t>Obsolescence</w:t>
            </w:r>
          </w:p>
        </w:tc>
        <w:tc>
          <w:tcPr>
            <w:tcW w:w="486" w:type="pct"/>
            <w:vMerge w:val="restart"/>
            <w:tcBorders>
              <w:top w:val="single" w:sz="4" w:space="0" w:color="auto"/>
              <w:left w:val="nil"/>
              <w:bottom w:val="single" w:sz="4" w:space="0" w:color="auto"/>
              <w:right w:val="nil"/>
            </w:tcBorders>
            <w:shd w:val="clear" w:color="auto" w:fill="002395"/>
            <w:vAlign w:val="center"/>
          </w:tcPr>
          <w:p w:rsidR="00EA45F9" w:rsidRPr="009B5734" w:rsidRDefault="00EA45F9" w:rsidP="00981615">
            <w:pPr>
              <w:pStyle w:val="TableHeadingWhite"/>
              <w:jc w:val="center"/>
              <w:rPr>
                <w:noProof/>
                <w:sz w:val="20"/>
              </w:rPr>
            </w:pPr>
            <w:r w:rsidRPr="009B5734">
              <w:rPr>
                <w:noProof/>
                <w:sz w:val="20"/>
              </w:rPr>
              <w:t>Greenwashing</w:t>
            </w:r>
          </w:p>
        </w:tc>
        <w:tc>
          <w:tcPr>
            <w:tcW w:w="412" w:type="pct"/>
            <w:vMerge w:val="restart"/>
            <w:tcBorders>
              <w:top w:val="single" w:sz="4" w:space="0" w:color="auto"/>
              <w:left w:val="nil"/>
              <w:bottom w:val="single" w:sz="4" w:space="0" w:color="auto"/>
              <w:right w:val="nil"/>
            </w:tcBorders>
            <w:shd w:val="clear" w:color="auto" w:fill="002395"/>
            <w:vAlign w:val="center"/>
          </w:tcPr>
          <w:p w:rsidR="00EA45F9" w:rsidRPr="009B5734" w:rsidRDefault="00EA45F9" w:rsidP="00981615">
            <w:pPr>
              <w:pStyle w:val="TableHeadingWhite"/>
              <w:ind w:left="71" w:firstLine="0"/>
              <w:jc w:val="center"/>
              <w:rPr>
                <w:noProof/>
                <w:sz w:val="20"/>
              </w:rPr>
            </w:pPr>
            <w:r w:rsidRPr="009B5734">
              <w:rPr>
                <w:noProof/>
                <w:sz w:val="20"/>
              </w:rPr>
              <w:t>Sustainable labels &amp; logos</w:t>
            </w:r>
          </w:p>
        </w:tc>
        <w:tc>
          <w:tcPr>
            <w:tcW w:w="374" w:type="pct"/>
            <w:vMerge w:val="restart"/>
            <w:tcBorders>
              <w:top w:val="single" w:sz="4" w:space="0" w:color="auto"/>
              <w:left w:val="nil"/>
              <w:bottom w:val="single" w:sz="4" w:space="0" w:color="auto"/>
              <w:right w:val="nil"/>
            </w:tcBorders>
            <w:shd w:val="clear" w:color="auto" w:fill="002395"/>
            <w:vAlign w:val="center"/>
          </w:tcPr>
          <w:p w:rsidR="00EA45F9" w:rsidRPr="009B5734" w:rsidRDefault="00EA45F9" w:rsidP="00981615">
            <w:pPr>
              <w:pStyle w:val="TableHeadingWhite"/>
              <w:jc w:val="center"/>
              <w:rPr>
                <w:noProof/>
                <w:sz w:val="20"/>
              </w:rPr>
            </w:pPr>
            <w:r w:rsidRPr="009B5734">
              <w:rPr>
                <w:noProof/>
                <w:sz w:val="20"/>
              </w:rPr>
              <w:t>Product scope</w:t>
            </w:r>
          </w:p>
        </w:tc>
        <w:tc>
          <w:tcPr>
            <w:tcW w:w="1559" w:type="pct"/>
            <w:vMerge w:val="restart"/>
            <w:tcBorders>
              <w:top w:val="single" w:sz="4" w:space="0" w:color="auto"/>
              <w:left w:val="nil"/>
              <w:bottom w:val="single" w:sz="4" w:space="0" w:color="auto"/>
              <w:right w:val="nil"/>
            </w:tcBorders>
            <w:shd w:val="clear" w:color="auto" w:fill="002395"/>
            <w:vAlign w:val="center"/>
          </w:tcPr>
          <w:p w:rsidR="00EA45F9" w:rsidRPr="009B5734" w:rsidRDefault="00EA45F9" w:rsidP="00981615">
            <w:pPr>
              <w:pStyle w:val="TableHeadingWhite"/>
              <w:jc w:val="center"/>
              <w:rPr>
                <w:noProof/>
                <w:sz w:val="20"/>
              </w:rPr>
            </w:pPr>
            <w:r w:rsidRPr="009B5734">
              <w:rPr>
                <w:noProof/>
                <w:sz w:val="20"/>
              </w:rPr>
              <w:t>Gaps</w:t>
            </w:r>
          </w:p>
        </w:tc>
      </w:tr>
      <w:tr w:rsidR="00EA45F9" w:rsidRPr="009B5734" w:rsidTr="00C84A99">
        <w:trPr>
          <w:cantSplit/>
          <w:trHeight w:val="20"/>
          <w:tblHeader/>
        </w:trPr>
        <w:tc>
          <w:tcPr>
            <w:tcW w:w="523" w:type="pct"/>
            <w:tcBorders>
              <w:top w:val="single" w:sz="4" w:space="0" w:color="auto"/>
              <w:left w:val="nil"/>
              <w:bottom w:val="single" w:sz="4" w:space="0" w:color="auto"/>
              <w:right w:val="nil"/>
            </w:tcBorders>
            <w:shd w:val="clear" w:color="auto" w:fill="002395"/>
            <w:vAlign w:val="center"/>
          </w:tcPr>
          <w:p w:rsidR="00EA45F9" w:rsidRPr="009B5734" w:rsidRDefault="00EA45F9" w:rsidP="00981615">
            <w:pPr>
              <w:pStyle w:val="TableHeadingWhite"/>
              <w:ind w:left="142" w:firstLine="0"/>
              <w:rPr>
                <w:noProof/>
                <w:sz w:val="20"/>
              </w:rPr>
            </w:pPr>
            <w:r w:rsidRPr="009B5734">
              <w:rPr>
                <w:noProof/>
                <w:sz w:val="20"/>
              </w:rPr>
              <w:t>EU law/initiative</w:t>
            </w:r>
          </w:p>
        </w:tc>
        <w:tc>
          <w:tcPr>
            <w:tcW w:w="337" w:type="pct"/>
            <w:tcBorders>
              <w:top w:val="single" w:sz="4" w:space="0" w:color="auto"/>
              <w:left w:val="nil"/>
              <w:bottom w:val="single" w:sz="4" w:space="0" w:color="auto"/>
              <w:right w:val="nil"/>
            </w:tcBorders>
            <w:shd w:val="clear" w:color="auto" w:fill="002395"/>
            <w:vAlign w:val="center"/>
          </w:tcPr>
          <w:p w:rsidR="00EA45F9" w:rsidRPr="009B5734" w:rsidRDefault="00EA45F9" w:rsidP="00981615">
            <w:pPr>
              <w:pStyle w:val="TableHeadingWhite"/>
              <w:jc w:val="center"/>
              <w:rPr>
                <w:noProof/>
                <w:sz w:val="20"/>
              </w:rPr>
            </w:pPr>
            <w:r w:rsidRPr="009B5734">
              <w:rPr>
                <w:noProof/>
                <w:sz w:val="20"/>
              </w:rPr>
              <w:t>Durability</w:t>
            </w:r>
          </w:p>
        </w:tc>
        <w:tc>
          <w:tcPr>
            <w:tcW w:w="412" w:type="pct"/>
            <w:tcBorders>
              <w:top w:val="single" w:sz="4" w:space="0" w:color="auto"/>
              <w:left w:val="nil"/>
              <w:bottom w:val="single" w:sz="4" w:space="0" w:color="auto"/>
              <w:right w:val="nil"/>
            </w:tcBorders>
            <w:shd w:val="clear" w:color="auto" w:fill="002395"/>
            <w:vAlign w:val="center"/>
          </w:tcPr>
          <w:p w:rsidR="00EA45F9" w:rsidRPr="009B5734" w:rsidRDefault="004555D8" w:rsidP="00981615">
            <w:pPr>
              <w:pStyle w:val="TableHeadingWhite"/>
              <w:jc w:val="center"/>
              <w:rPr>
                <w:noProof/>
                <w:sz w:val="20"/>
              </w:rPr>
            </w:pPr>
            <w:r w:rsidRPr="009B5734">
              <w:rPr>
                <w:noProof/>
                <w:sz w:val="20"/>
              </w:rPr>
              <w:t>Reparability</w:t>
            </w:r>
          </w:p>
        </w:tc>
        <w:tc>
          <w:tcPr>
            <w:tcW w:w="486" w:type="pct"/>
            <w:tcBorders>
              <w:top w:val="single" w:sz="4" w:space="0" w:color="auto"/>
              <w:left w:val="nil"/>
              <w:bottom w:val="single" w:sz="4" w:space="0" w:color="auto"/>
              <w:right w:val="nil"/>
            </w:tcBorders>
            <w:shd w:val="clear" w:color="auto" w:fill="002395"/>
            <w:vAlign w:val="center"/>
          </w:tcPr>
          <w:p w:rsidR="00EA45F9" w:rsidRPr="009B5734" w:rsidRDefault="00EA45F9" w:rsidP="00981615">
            <w:pPr>
              <w:pStyle w:val="TableHeadingWhite"/>
              <w:ind w:left="50" w:hanging="50"/>
              <w:jc w:val="center"/>
              <w:rPr>
                <w:noProof/>
                <w:sz w:val="20"/>
              </w:rPr>
            </w:pPr>
            <w:r w:rsidRPr="009B5734">
              <w:rPr>
                <w:noProof/>
                <w:sz w:val="20"/>
              </w:rPr>
              <w:t>Environmental characteristics</w:t>
            </w:r>
          </w:p>
        </w:tc>
        <w:tc>
          <w:tcPr>
            <w:tcW w:w="412" w:type="pct"/>
            <w:vMerge/>
            <w:shd w:val="solid" w:color="002395" w:fill="002395"/>
            <w:vAlign w:val="center"/>
          </w:tcPr>
          <w:p w:rsidR="00EA45F9" w:rsidRPr="009B5734" w:rsidRDefault="00EA45F9" w:rsidP="00981615">
            <w:pPr>
              <w:pStyle w:val="TableHeadingWhite"/>
              <w:jc w:val="center"/>
              <w:rPr>
                <w:noProof/>
              </w:rPr>
            </w:pPr>
          </w:p>
        </w:tc>
        <w:tc>
          <w:tcPr>
            <w:tcW w:w="486" w:type="pct"/>
            <w:vMerge/>
            <w:shd w:val="solid" w:color="002395" w:fill="002395"/>
            <w:vAlign w:val="center"/>
          </w:tcPr>
          <w:p w:rsidR="00EA45F9" w:rsidRPr="009B5734" w:rsidRDefault="00EA45F9" w:rsidP="00981615">
            <w:pPr>
              <w:pStyle w:val="TableHeadingWhite"/>
              <w:jc w:val="center"/>
              <w:rPr>
                <w:noProof/>
              </w:rPr>
            </w:pPr>
          </w:p>
        </w:tc>
        <w:tc>
          <w:tcPr>
            <w:tcW w:w="412" w:type="pct"/>
            <w:vMerge/>
            <w:shd w:val="solid" w:color="002395" w:fill="002395"/>
            <w:vAlign w:val="center"/>
          </w:tcPr>
          <w:p w:rsidR="00EA45F9" w:rsidRPr="009B5734" w:rsidRDefault="00EA45F9" w:rsidP="00981615">
            <w:pPr>
              <w:pStyle w:val="TableHeadingWhite"/>
              <w:jc w:val="center"/>
              <w:rPr>
                <w:noProof/>
              </w:rPr>
            </w:pPr>
          </w:p>
        </w:tc>
        <w:tc>
          <w:tcPr>
            <w:tcW w:w="374" w:type="pct"/>
            <w:vMerge/>
            <w:shd w:val="solid" w:color="002395" w:fill="002395"/>
            <w:vAlign w:val="center"/>
          </w:tcPr>
          <w:p w:rsidR="00EA45F9" w:rsidRPr="009B5734" w:rsidRDefault="00EA45F9" w:rsidP="00981615">
            <w:pPr>
              <w:pStyle w:val="TableHeadingWhite"/>
              <w:jc w:val="center"/>
              <w:rPr>
                <w:noProof/>
              </w:rPr>
            </w:pPr>
          </w:p>
        </w:tc>
        <w:tc>
          <w:tcPr>
            <w:tcW w:w="1559" w:type="pct"/>
            <w:vMerge/>
            <w:shd w:val="solid" w:color="002395" w:fill="002395"/>
            <w:vAlign w:val="center"/>
          </w:tcPr>
          <w:p w:rsidR="00EA45F9" w:rsidRPr="009B5734" w:rsidRDefault="00EA45F9" w:rsidP="00981615">
            <w:pPr>
              <w:pStyle w:val="TableHeadingWhite"/>
              <w:jc w:val="center"/>
              <w:rPr>
                <w:noProof/>
              </w:rPr>
            </w:pPr>
          </w:p>
        </w:tc>
      </w:tr>
      <w:tr w:rsidR="00EA45F9" w:rsidRPr="009B5734" w:rsidTr="00C84A99">
        <w:trPr>
          <w:cantSplit/>
          <w:trHeight w:val="1539"/>
        </w:trPr>
        <w:tc>
          <w:tcPr>
            <w:tcW w:w="523" w:type="pct"/>
            <w:tcBorders>
              <w:top w:val="single" w:sz="4" w:space="0" w:color="auto"/>
            </w:tcBorders>
            <w:shd w:val="clear" w:color="auto" w:fill="auto"/>
            <w:vAlign w:val="center"/>
          </w:tcPr>
          <w:p w:rsidR="00EA45F9" w:rsidRPr="009B5734" w:rsidRDefault="00EA45F9" w:rsidP="00981615">
            <w:pPr>
              <w:pStyle w:val="TableHeadingWhite"/>
              <w:ind w:left="142" w:right="151" w:firstLine="0"/>
              <w:rPr>
                <w:rFonts w:cs="Arial"/>
                <w:noProof/>
                <w:sz w:val="18"/>
                <w:szCs w:val="18"/>
              </w:rPr>
            </w:pPr>
            <w:r w:rsidRPr="009B5734">
              <w:rPr>
                <w:rFonts w:cs="Arial"/>
                <w:noProof/>
                <w:sz w:val="18"/>
                <w:szCs w:val="18"/>
              </w:rPr>
              <w:t xml:space="preserve">Consumer Rights Directive 2011/83/EU </w:t>
            </w:r>
          </w:p>
        </w:tc>
        <w:tc>
          <w:tcPr>
            <w:tcW w:w="337" w:type="pct"/>
            <w:tcBorders>
              <w:top w:val="single" w:sz="4" w:space="0" w:color="auto"/>
            </w:tcBorders>
            <w:shd w:val="clear" w:color="auto" w:fill="auto"/>
            <w:vAlign w:val="center"/>
          </w:tcPr>
          <w:p w:rsidR="00EA45F9" w:rsidRPr="009B5734" w:rsidRDefault="00EA45F9" w:rsidP="00981615">
            <w:pPr>
              <w:pStyle w:val="TableHeadingWhite"/>
              <w:ind w:left="0"/>
              <w:jc w:val="center"/>
              <w:rPr>
                <w:rFonts w:cs="Arial"/>
                <w:noProof/>
                <w:color w:val="002395"/>
                <w:szCs w:val="20"/>
              </w:rPr>
            </w:pPr>
          </w:p>
          <w:p w:rsidR="00EA45F9" w:rsidRPr="009B5734" w:rsidRDefault="00EA45F9" w:rsidP="00981615">
            <w:pPr>
              <w:pStyle w:val="TableHeadingWhite"/>
              <w:ind w:left="0"/>
              <w:jc w:val="center"/>
              <w:rPr>
                <w:rFonts w:cs="Arial"/>
                <w:noProof/>
                <w:color w:val="002395"/>
                <w:szCs w:val="20"/>
              </w:rPr>
            </w:pPr>
          </w:p>
          <w:p w:rsidR="00EA45F9" w:rsidRPr="009B5734" w:rsidRDefault="00EA45F9" w:rsidP="00981615">
            <w:pPr>
              <w:pStyle w:val="TableHeadingWhite"/>
              <w:ind w:left="0"/>
              <w:jc w:val="center"/>
              <w:rPr>
                <w:rFonts w:cs="Arial"/>
                <w:noProof/>
                <w:color w:val="002395"/>
                <w:szCs w:val="20"/>
              </w:rPr>
            </w:pPr>
            <w:r w:rsidRPr="009B5734">
              <w:rPr>
                <w:rFonts w:cs="Arial"/>
                <w:noProof/>
                <w:color w:val="002395"/>
                <w:szCs w:val="20"/>
              </w:rPr>
              <w:t>/</w:t>
            </w:r>
          </w:p>
        </w:tc>
        <w:tc>
          <w:tcPr>
            <w:tcW w:w="412" w:type="pct"/>
            <w:tcBorders>
              <w:top w:val="single" w:sz="4" w:space="0" w:color="auto"/>
            </w:tcBorders>
            <w:vAlign w:val="center"/>
          </w:tcPr>
          <w:p w:rsidR="00EA45F9" w:rsidRPr="009B5734" w:rsidRDefault="00EA45F9" w:rsidP="00981615">
            <w:pPr>
              <w:pStyle w:val="TableHeadingWhite"/>
              <w:ind w:left="0"/>
              <w:jc w:val="center"/>
              <w:rPr>
                <w:rFonts w:cs="Arial"/>
                <w:noProof/>
                <w:color w:val="002395"/>
                <w:szCs w:val="20"/>
              </w:rPr>
            </w:pPr>
          </w:p>
          <w:p w:rsidR="00EA45F9" w:rsidRPr="009B5734" w:rsidRDefault="00EA45F9" w:rsidP="00981615">
            <w:pPr>
              <w:pStyle w:val="TableHeadingWhite"/>
              <w:ind w:left="0"/>
              <w:jc w:val="center"/>
              <w:rPr>
                <w:rFonts w:cs="Arial"/>
                <w:noProof/>
                <w:color w:val="002395"/>
                <w:szCs w:val="20"/>
              </w:rPr>
            </w:pPr>
            <w:r w:rsidRPr="009B5734">
              <w:rPr>
                <w:rFonts w:cs="Arial"/>
                <w:noProof/>
                <w:color w:val="002395"/>
                <w:szCs w:val="20"/>
              </w:rPr>
              <w:t>/</w:t>
            </w:r>
          </w:p>
        </w:tc>
        <w:tc>
          <w:tcPr>
            <w:tcW w:w="486" w:type="pct"/>
            <w:tcBorders>
              <w:top w:val="single" w:sz="4" w:space="0" w:color="auto"/>
            </w:tcBorders>
            <w:vAlign w:val="center"/>
          </w:tcPr>
          <w:p w:rsidR="00EA45F9" w:rsidRPr="009B5734" w:rsidRDefault="00EA45F9" w:rsidP="00981615">
            <w:pPr>
              <w:pStyle w:val="TableHeadingWhite"/>
              <w:ind w:left="0"/>
              <w:jc w:val="center"/>
              <w:rPr>
                <w:rFonts w:cs="Arial"/>
                <w:noProof/>
                <w:color w:val="002395"/>
                <w:szCs w:val="20"/>
              </w:rPr>
            </w:pPr>
          </w:p>
          <w:p w:rsidR="00EA45F9" w:rsidRPr="009B5734" w:rsidRDefault="00EA45F9" w:rsidP="00981615">
            <w:pPr>
              <w:pStyle w:val="TableHeadingWhite"/>
              <w:ind w:left="0"/>
              <w:jc w:val="center"/>
              <w:rPr>
                <w:rFonts w:cs="Arial"/>
                <w:noProof/>
                <w:color w:val="002395"/>
                <w:szCs w:val="20"/>
              </w:rPr>
            </w:pPr>
            <w:r w:rsidRPr="009B5734">
              <w:rPr>
                <w:rFonts w:cs="Arial"/>
                <w:noProof/>
                <w:color w:val="002395"/>
                <w:szCs w:val="20"/>
              </w:rPr>
              <w:t>/</w:t>
            </w:r>
          </w:p>
        </w:tc>
        <w:tc>
          <w:tcPr>
            <w:tcW w:w="412" w:type="pct"/>
            <w:tcBorders>
              <w:top w:val="single" w:sz="4" w:space="0" w:color="auto"/>
            </w:tcBorders>
            <w:shd w:val="clear" w:color="auto" w:fill="auto"/>
            <w:vAlign w:val="center"/>
          </w:tcPr>
          <w:p w:rsidR="00EA45F9" w:rsidRPr="009B5734" w:rsidRDefault="00EA45F9" w:rsidP="00981615">
            <w:pPr>
              <w:pStyle w:val="TableHeadingWhite"/>
              <w:ind w:left="0"/>
              <w:jc w:val="center"/>
              <w:rPr>
                <w:rFonts w:cs="Arial"/>
                <w:noProof/>
                <w:color w:val="002395"/>
                <w:szCs w:val="20"/>
              </w:rPr>
            </w:pPr>
          </w:p>
          <w:p w:rsidR="00EA45F9" w:rsidRPr="009B5734" w:rsidRDefault="00EA45F9" w:rsidP="00981615">
            <w:pPr>
              <w:pStyle w:val="TableHeadingWhite"/>
              <w:ind w:left="0"/>
              <w:jc w:val="center"/>
              <w:rPr>
                <w:rFonts w:cs="Arial"/>
                <w:noProof/>
                <w:color w:val="002395"/>
                <w:szCs w:val="20"/>
              </w:rPr>
            </w:pPr>
          </w:p>
          <w:p w:rsidR="00EA45F9" w:rsidRPr="009B5734" w:rsidRDefault="00EA45F9" w:rsidP="00981615">
            <w:pPr>
              <w:pStyle w:val="TableHeadingWhite"/>
              <w:ind w:left="0"/>
              <w:jc w:val="center"/>
              <w:rPr>
                <w:rFonts w:cs="Arial"/>
                <w:noProof/>
                <w:color w:val="002395"/>
                <w:szCs w:val="20"/>
              </w:rPr>
            </w:pPr>
            <w:r w:rsidRPr="009B5734">
              <w:rPr>
                <w:rFonts w:cs="Arial"/>
                <w:noProof/>
                <w:color w:val="002395"/>
                <w:szCs w:val="20"/>
              </w:rPr>
              <w:t>/</w:t>
            </w:r>
          </w:p>
        </w:tc>
        <w:tc>
          <w:tcPr>
            <w:tcW w:w="486" w:type="pct"/>
            <w:tcBorders>
              <w:top w:val="single" w:sz="4" w:space="0" w:color="auto"/>
            </w:tcBorders>
            <w:shd w:val="clear" w:color="auto" w:fill="auto"/>
            <w:vAlign w:val="center"/>
          </w:tcPr>
          <w:p w:rsidR="00EA45F9" w:rsidRPr="009B5734" w:rsidRDefault="00EA45F9" w:rsidP="00981615">
            <w:pPr>
              <w:pStyle w:val="TableHeadingWhite"/>
              <w:ind w:left="0"/>
              <w:jc w:val="center"/>
              <w:rPr>
                <w:rFonts w:cs="Arial"/>
                <w:noProof/>
                <w:color w:val="002395"/>
                <w:szCs w:val="20"/>
              </w:rPr>
            </w:pPr>
          </w:p>
          <w:p w:rsidR="00EA45F9" w:rsidRPr="009B5734" w:rsidRDefault="00EA45F9" w:rsidP="00981615">
            <w:pPr>
              <w:pStyle w:val="TableHeadingWhite"/>
              <w:ind w:left="0"/>
              <w:jc w:val="center"/>
              <w:rPr>
                <w:rFonts w:cs="Arial"/>
                <w:noProof/>
                <w:color w:val="002395"/>
                <w:szCs w:val="20"/>
              </w:rPr>
            </w:pPr>
          </w:p>
          <w:p w:rsidR="00EA45F9" w:rsidRPr="009B5734" w:rsidRDefault="00EA45F9" w:rsidP="00981615">
            <w:pPr>
              <w:pStyle w:val="TableHeadingWhite"/>
              <w:ind w:left="0"/>
              <w:jc w:val="center"/>
              <w:rPr>
                <w:rFonts w:cs="Arial"/>
                <w:noProof/>
                <w:color w:val="002395"/>
                <w:szCs w:val="20"/>
              </w:rPr>
            </w:pPr>
            <w:r w:rsidRPr="009B5734">
              <w:rPr>
                <w:rFonts w:cs="Arial"/>
                <w:noProof/>
                <w:color w:val="002395"/>
                <w:szCs w:val="20"/>
              </w:rPr>
              <w:t>/</w:t>
            </w:r>
          </w:p>
        </w:tc>
        <w:tc>
          <w:tcPr>
            <w:tcW w:w="412" w:type="pct"/>
            <w:tcBorders>
              <w:top w:val="single" w:sz="4" w:space="0" w:color="auto"/>
            </w:tcBorders>
            <w:vAlign w:val="center"/>
          </w:tcPr>
          <w:p w:rsidR="00EA45F9" w:rsidRPr="009B5734" w:rsidRDefault="00EA45F9" w:rsidP="00981615">
            <w:pPr>
              <w:pStyle w:val="TableHeadingWhite"/>
              <w:jc w:val="center"/>
              <w:rPr>
                <w:rFonts w:cs="Arial"/>
                <w:noProof/>
                <w:color w:val="002395"/>
                <w:szCs w:val="20"/>
                <w:lang w:eastAsia="fr-BE"/>
              </w:rPr>
            </w:pPr>
          </w:p>
          <w:p w:rsidR="00EA45F9" w:rsidRPr="009B5734" w:rsidRDefault="00EA45F9" w:rsidP="00981615">
            <w:pPr>
              <w:pStyle w:val="TableHeadingWhite"/>
              <w:jc w:val="center"/>
              <w:rPr>
                <w:rFonts w:cs="Arial"/>
                <w:noProof/>
                <w:color w:val="002395"/>
                <w:szCs w:val="20"/>
                <w:lang w:eastAsia="fr-BE"/>
              </w:rPr>
            </w:pPr>
            <w:r w:rsidRPr="009B5734">
              <w:rPr>
                <w:rFonts w:cs="Arial"/>
                <w:noProof/>
                <w:color w:val="002395"/>
                <w:szCs w:val="20"/>
                <w:lang w:eastAsia="fr-BE"/>
              </w:rPr>
              <w:t>/</w:t>
            </w:r>
          </w:p>
        </w:tc>
        <w:tc>
          <w:tcPr>
            <w:tcW w:w="374" w:type="pct"/>
            <w:tcBorders>
              <w:top w:val="single" w:sz="4" w:space="0" w:color="auto"/>
            </w:tcBorders>
            <w:vAlign w:val="center"/>
          </w:tcPr>
          <w:p w:rsidR="00EA45F9" w:rsidRPr="009B5734" w:rsidRDefault="00EA45F9" w:rsidP="00981615">
            <w:pPr>
              <w:pStyle w:val="TableHeadingWhite"/>
              <w:jc w:val="center"/>
              <w:rPr>
                <w:rFonts w:cs="Arial"/>
                <w:noProof/>
                <w:color w:val="002395"/>
                <w:szCs w:val="20"/>
                <w:lang w:eastAsia="fr-BE"/>
              </w:rPr>
            </w:pPr>
            <w:r w:rsidRPr="009B5734">
              <w:rPr>
                <w:rFonts w:cs="Arial"/>
                <w:noProof/>
                <w:color w:val="002395"/>
                <w:szCs w:val="20"/>
                <w:lang w:eastAsia="fr-BE"/>
              </w:rPr>
              <w:t>Horizontal</w:t>
            </w:r>
          </w:p>
        </w:tc>
        <w:tc>
          <w:tcPr>
            <w:tcW w:w="1559" w:type="pct"/>
            <w:tcBorders>
              <w:top w:val="single" w:sz="4" w:space="0" w:color="auto"/>
            </w:tcBorders>
          </w:tcPr>
          <w:p w:rsidR="00EA45F9" w:rsidRPr="009B5734" w:rsidRDefault="00EA45F9" w:rsidP="00981615">
            <w:pPr>
              <w:pStyle w:val="TableHeadingWhite"/>
              <w:ind w:left="39" w:right="57" w:firstLine="3"/>
              <w:rPr>
                <w:rFonts w:cs="Arial"/>
                <w:b/>
                <w:noProof/>
                <w:color w:val="002395"/>
                <w:sz w:val="18"/>
                <w:szCs w:val="18"/>
                <w:lang w:eastAsia="fr-BE"/>
              </w:rPr>
            </w:pPr>
            <w:r w:rsidRPr="009B5734">
              <w:rPr>
                <w:rFonts w:cs="Arial"/>
                <w:noProof/>
                <w:color w:val="002395"/>
                <w:sz w:val="18"/>
                <w:szCs w:val="18"/>
                <w:lang w:eastAsia="fr-BE"/>
              </w:rPr>
              <w:t>The Directive requires traders to provide consumers with information on, among others, the main characteristics of the goods or services. It includes specific information requirements about the existence of the legal</w:t>
            </w:r>
            <w:r w:rsidRPr="009B5734" w:rsidDel="00506C8A">
              <w:rPr>
                <w:rFonts w:cs="Arial"/>
                <w:noProof/>
                <w:color w:val="002395"/>
                <w:sz w:val="18"/>
                <w:szCs w:val="18"/>
                <w:lang w:eastAsia="fr-BE"/>
              </w:rPr>
              <w:t xml:space="preserve"> </w:t>
            </w:r>
            <w:r w:rsidRPr="009B5734">
              <w:rPr>
                <w:rFonts w:cs="Arial"/>
                <w:noProof/>
                <w:color w:val="002395"/>
                <w:sz w:val="18"/>
                <w:szCs w:val="18"/>
                <w:lang w:eastAsia="fr-BE"/>
              </w:rPr>
              <w:t>guarantee of conformity</w:t>
            </w:r>
            <w:r w:rsidRPr="009B5734">
              <w:rPr>
                <w:noProof/>
              </w:rPr>
              <w:t xml:space="preserve"> </w:t>
            </w:r>
            <w:r w:rsidRPr="009B5734">
              <w:rPr>
                <w:rFonts w:cs="Arial"/>
                <w:noProof/>
                <w:color w:val="002395"/>
                <w:sz w:val="18"/>
                <w:szCs w:val="18"/>
                <w:lang w:eastAsia="fr-BE"/>
              </w:rPr>
              <w:t xml:space="preserve">and commercial guarantees, which are related to “durability”. There are, no explicit requirements regarding the other substantively analysed elements. </w:t>
            </w:r>
          </w:p>
        </w:tc>
      </w:tr>
      <w:tr w:rsidR="00EA45F9" w:rsidRPr="009B5734" w:rsidTr="00C84A99">
        <w:trPr>
          <w:cantSplit/>
          <w:trHeight w:val="261"/>
        </w:trPr>
        <w:tc>
          <w:tcPr>
            <w:tcW w:w="523" w:type="pct"/>
            <w:shd w:val="clear" w:color="auto" w:fill="auto"/>
            <w:vAlign w:val="center"/>
          </w:tcPr>
          <w:p w:rsidR="00EA45F9" w:rsidRPr="009B5734" w:rsidRDefault="00EA45F9" w:rsidP="00981615">
            <w:pPr>
              <w:pStyle w:val="TableHeadingWhite"/>
              <w:ind w:left="142" w:right="151" w:firstLine="0"/>
              <w:rPr>
                <w:rFonts w:cs="Arial"/>
                <w:noProof/>
                <w:sz w:val="18"/>
                <w:szCs w:val="18"/>
              </w:rPr>
            </w:pPr>
            <w:r w:rsidRPr="009B5734">
              <w:rPr>
                <w:rFonts w:cs="Arial"/>
                <w:noProof/>
                <w:sz w:val="18"/>
                <w:szCs w:val="18"/>
              </w:rPr>
              <w:t>Consumer Sales and Guarantees Directive 1999/44/EC, until 1 January 2022 and Sale of Goods Directive 2019/771</w:t>
            </w:r>
          </w:p>
        </w:tc>
        <w:tc>
          <w:tcPr>
            <w:tcW w:w="337" w:type="pct"/>
            <w:shd w:val="clear" w:color="auto" w:fill="auto"/>
            <w:vAlign w:val="center"/>
          </w:tcPr>
          <w:p w:rsidR="00EA45F9" w:rsidRPr="009B5734" w:rsidRDefault="00EA45F9" w:rsidP="00981615">
            <w:pPr>
              <w:pStyle w:val="TableHeadingWhite"/>
              <w:jc w:val="center"/>
              <w:rPr>
                <w:rFonts w:cs="Arial"/>
                <w:noProof/>
                <w:color w:val="002395"/>
                <w:szCs w:val="20"/>
              </w:rPr>
            </w:pPr>
          </w:p>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6D4D9CF6" wp14:editId="558B7EA1">
                      <wp:extent cx="108000" cy="108000"/>
                      <wp:effectExtent l="0" t="0" r="25400" b="25400"/>
                      <wp:docPr id="5" name="Right Triangle 6"/>
                      <wp:cNvGraphicFramePr/>
                      <a:graphic xmlns:a="http://schemas.openxmlformats.org/drawingml/2006/main">
                        <a:graphicData uri="http://schemas.microsoft.com/office/word/2010/wordprocessingShape">
                          <wps:wsp>
                            <wps:cNvSpPr/>
                            <wps:spPr>
                              <a:xfrm>
                                <a:off x="0" y="0"/>
                                <a:ext cx="108000" cy="108000"/>
                              </a:xfrm>
                              <a:prstGeom prst="rtTriangle">
                                <a:avLst/>
                              </a:prstGeom>
                              <a:noFill/>
                              <a:ln w="3175"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210E19" id="Right Triangle 6"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" filled="f" strokecolor="#002395" strokeweight=".25pt">
                      <w10:anchorlock/>
                    </v:shape>
                  </w:pict>
                </mc:Fallback>
              </mc:AlternateContent>
            </w:r>
          </w:p>
        </w:tc>
        <w:tc>
          <w:tcPr>
            <w:tcW w:w="412" w:type="pct"/>
            <w:vAlign w:val="center"/>
          </w:tcPr>
          <w:p w:rsidR="00EA45F9" w:rsidRPr="009B5734" w:rsidRDefault="00EA45F9" w:rsidP="00981615">
            <w:pPr>
              <w:pStyle w:val="TableHeadingWhite"/>
              <w:jc w:val="center"/>
              <w:rPr>
                <w:rFonts w:cs="Arial"/>
                <w:noProof/>
                <w:color w:val="002395"/>
                <w:szCs w:val="20"/>
              </w:rPr>
            </w:pPr>
          </w:p>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6385CAAA" wp14:editId="1EBCD658">
                      <wp:extent cx="108000" cy="108000"/>
                      <wp:effectExtent l="0" t="0" r="25400" b="25400"/>
                      <wp:docPr id="7" name="Right Triangle 6"/>
                      <wp:cNvGraphicFramePr/>
                      <a:graphic xmlns:a="http://schemas.openxmlformats.org/drawingml/2006/main">
                        <a:graphicData uri="http://schemas.microsoft.com/office/word/2010/wordprocessingShape">
                          <wps:wsp>
                            <wps:cNvSpPr/>
                            <wps:spPr>
                              <a:xfrm>
                                <a:off x="0" y="0"/>
                                <a:ext cx="108000" cy="108000"/>
                              </a:xfrm>
                              <a:prstGeom prst="rtTriangle">
                                <a:avLst/>
                              </a:prstGeom>
                              <a:noFill/>
                              <a:ln w="3175"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AF2203" id="Right Triangle 6"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" filled="f" strokecolor="#002395" strokeweight=".25pt">
                      <w10:anchorlock/>
                    </v:shape>
                  </w:pict>
                </mc:Fallback>
              </mc:AlternateContent>
            </w:r>
          </w:p>
        </w:tc>
        <w:tc>
          <w:tcPr>
            <w:tcW w:w="486" w:type="pct"/>
            <w:vAlign w:val="center"/>
          </w:tcPr>
          <w:p w:rsidR="00EA45F9" w:rsidRPr="009B5734" w:rsidRDefault="00EA45F9" w:rsidP="00981615">
            <w:pPr>
              <w:pStyle w:val="TableHeadingWhite"/>
              <w:jc w:val="center"/>
              <w:rPr>
                <w:rFonts w:cs="Arial"/>
                <w:noProof/>
                <w:color w:val="002395"/>
                <w:szCs w:val="20"/>
              </w:rPr>
            </w:pPr>
          </w:p>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4D77A7BD" wp14:editId="026AD93A">
                      <wp:extent cx="108000" cy="108000"/>
                      <wp:effectExtent l="0" t="0" r="25400" b="25400"/>
                      <wp:docPr id="8" name="Right Triangle 6"/>
                      <wp:cNvGraphicFramePr/>
                      <a:graphic xmlns:a="http://schemas.openxmlformats.org/drawingml/2006/main">
                        <a:graphicData uri="http://schemas.microsoft.com/office/word/2010/wordprocessingShape">
                          <wps:wsp>
                            <wps:cNvSpPr/>
                            <wps:spPr>
                              <a:xfrm>
                                <a:off x="0" y="0"/>
                                <a:ext cx="108000" cy="108000"/>
                              </a:xfrm>
                              <a:prstGeom prst="rtTriangle">
                                <a:avLst/>
                              </a:prstGeom>
                              <a:noFill/>
                              <a:ln w="3175" cap="flat" cmpd="sng" algn="ctr">
                                <a:solidFill>
                                  <a:srgbClr val="002395"/>
                                </a:solidFill>
                                <a:prstDash val="solid"/>
                              </a:ln>
                              <a:effectLst/>
                            </wps:spPr>
                            <wps:txbx>
                              <w:txbxContent>
                                <w:p w:rsidR="00164A6B" w:rsidRPr="002C7958" w:rsidRDefault="00164A6B" w:rsidP="00EA45F9">
                                  <w:pPr>
                                    <w:jc w:val="center"/>
                                    <w:rPr>
                                      <w:lang w:val="fr-BE"/>
                                    </w:rPr>
                                  </w:pPr>
                                  <w:r>
                                    <w:rPr>
                                      <w:lang w:val="fr-B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D77A7BD" id="_x0000_t6" coordsize="21600,21600" o:spt="6" path="m,l,21600r21600,xe">
                      <v:stroke joinstyle="miter"/>
                      <v:path gradientshapeok="t" o:connecttype="custom" o:connectlocs="0,0;0,10800;0,21600;10800,21600;21600,21600;10800,10800" textboxrect="1800,12600,12600,19800"/>
                    </v:shapetype>
                    <v:shape id="Right Triangle 6"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" filled="f" strokecolor="#002395" strokeweight=".25pt">
                      <v:textbox>
                        <w:txbxContent>
                          <w:p w:rsidR="00164A6B" w:rsidRPr="002C7958" w:rsidRDefault="00164A6B" w:rsidP="00EA45F9">
                            <w:pPr>
                              <w:jc w:val="center"/>
                              <w:rPr>
                                <w:lang w:val="fr-BE"/>
                              </w:rPr>
                            </w:pPr>
                            <w:r>
                              <w:rPr>
                                <w:lang w:val="fr-BE"/>
                              </w:rPr>
                              <w:t>/</w:t>
                            </w:r>
                          </w:p>
                        </w:txbxContent>
                      </v:textbox>
                      <w10:anchorlock/>
                    </v:shape>
                  </w:pict>
                </mc:Fallback>
              </mc:AlternateContent>
            </w:r>
          </w:p>
        </w:tc>
        <w:tc>
          <w:tcPr>
            <w:tcW w:w="412" w:type="pct"/>
            <w:shd w:val="clear" w:color="auto" w:fill="auto"/>
            <w:vAlign w:val="center"/>
          </w:tcPr>
          <w:p w:rsidR="00EA45F9" w:rsidRPr="009B5734" w:rsidRDefault="00EA45F9" w:rsidP="00981615">
            <w:pPr>
              <w:pStyle w:val="TableHeadingWhite"/>
              <w:jc w:val="center"/>
              <w:rPr>
                <w:rFonts w:cs="Arial"/>
                <w:noProof/>
                <w:color w:val="002395"/>
                <w:szCs w:val="20"/>
              </w:rPr>
            </w:pPr>
          </w:p>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581C3832" wp14:editId="4DA4C3DC">
                      <wp:extent cx="108000" cy="108000"/>
                      <wp:effectExtent l="0" t="0" r="25400" b="25400"/>
                      <wp:docPr id="10" name="Right Triangle 6"/>
                      <wp:cNvGraphicFramePr/>
                      <a:graphic xmlns:a="http://schemas.openxmlformats.org/drawingml/2006/main">
                        <a:graphicData uri="http://schemas.microsoft.com/office/word/2010/wordprocessingShape">
                          <wps:wsp>
                            <wps:cNvSpPr/>
                            <wps:spPr>
                              <a:xfrm>
                                <a:off x="0" y="0"/>
                                <a:ext cx="108000" cy="108000"/>
                              </a:xfrm>
                              <a:prstGeom prst="rtTriangle">
                                <a:avLst/>
                              </a:prstGeom>
                              <a:noFill/>
                              <a:ln w="3175"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3E2797" id="Right Triangle 6"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" filled="f" strokecolor="#002395" strokeweight=".25pt">
                      <w10:anchorlock/>
                    </v:shape>
                  </w:pict>
                </mc:Fallback>
              </mc:AlternateContent>
            </w:r>
          </w:p>
        </w:tc>
        <w:tc>
          <w:tcPr>
            <w:tcW w:w="486" w:type="pct"/>
            <w:shd w:val="clear" w:color="auto" w:fill="auto"/>
            <w:vAlign w:val="center"/>
          </w:tcPr>
          <w:p w:rsidR="00EA45F9" w:rsidRPr="009B5734" w:rsidRDefault="00EA45F9" w:rsidP="00981615">
            <w:pPr>
              <w:pStyle w:val="TableHeadingWhite"/>
              <w:jc w:val="center"/>
              <w:rPr>
                <w:rFonts w:cs="Arial"/>
                <w:noProof/>
                <w:color w:val="002395"/>
                <w:szCs w:val="20"/>
              </w:rPr>
            </w:pPr>
          </w:p>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w:t>
            </w:r>
          </w:p>
        </w:tc>
        <w:tc>
          <w:tcPr>
            <w:tcW w:w="412" w:type="pct"/>
            <w:vAlign w:val="center"/>
          </w:tcPr>
          <w:p w:rsidR="00EA45F9" w:rsidRPr="009B5734" w:rsidRDefault="00EA45F9" w:rsidP="00981615">
            <w:pPr>
              <w:pStyle w:val="TableHeadingWhite"/>
              <w:jc w:val="center"/>
              <w:rPr>
                <w:rFonts w:cs="Arial"/>
                <w:noProof/>
                <w:color w:val="002395"/>
                <w:szCs w:val="20"/>
              </w:rPr>
            </w:pPr>
          </w:p>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w:t>
            </w:r>
          </w:p>
        </w:tc>
        <w:tc>
          <w:tcPr>
            <w:tcW w:w="374" w:type="pct"/>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Horizontal</w:t>
            </w:r>
          </w:p>
        </w:tc>
        <w:tc>
          <w:tcPr>
            <w:tcW w:w="1559" w:type="pct"/>
          </w:tcPr>
          <w:p w:rsidR="00EA45F9" w:rsidRPr="009B5734" w:rsidRDefault="00EA45F9" w:rsidP="00981615">
            <w:pPr>
              <w:pStyle w:val="TableHeadingWhite"/>
              <w:ind w:left="39" w:right="57" w:firstLine="3"/>
              <w:rPr>
                <w:rFonts w:cs="Arial"/>
                <w:b/>
                <w:noProof/>
                <w:color w:val="002395"/>
                <w:sz w:val="18"/>
                <w:szCs w:val="18"/>
              </w:rPr>
            </w:pPr>
            <w:r w:rsidRPr="009B5734">
              <w:rPr>
                <w:rFonts w:cs="Arial"/>
                <w:noProof/>
                <w:color w:val="002395"/>
                <w:sz w:val="18"/>
                <w:szCs w:val="18"/>
              </w:rPr>
              <w:t>While the Directive promotes durability and reparability of products through the legal guarantee, the impact is limited to the minimum 2-years legal guarantee period.</w:t>
            </w:r>
          </w:p>
          <w:p w:rsidR="00EA45F9" w:rsidRPr="009B5734" w:rsidRDefault="00EA45F9" w:rsidP="00981615">
            <w:pPr>
              <w:pStyle w:val="TableHeadingWhite"/>
              <w:spacing w:after="120"/>
              <w:ind w:left="39" w:right="57" w:firstLine="3"/>
              <w:rPr>
                <w:rFonts w:cs="Arial"/>
                <w:b/>
                <w:noProof/>
                <w:color w:val="002395"/>
                <w:sz w:val="18"/>
                <w:szCs w:val="18"/>
              </w:rPr>
            </w:pPr>
          </w:p>
        </w:tc>
      </w:tr>
      <w:tr w:rsidR="00EA45F9" w:rsidRPr="009B5734" w:rsidTr="00C84A99">
        <w:trPr>
          <w:cantSplit/>
          <w:trHeight w:val="187"/>
        </w:trPr>
        <w:tc>
          <w:tcPr>
            <w:tcW w:w="523" w:type="pct"/>
            <w:shd w:val="clear" w:color="auto" w:fill="auto"/>
            <w:vAlign w:val="center"/>
          </w:tcPr>
          <w:p w:rsidR="00EA45F9" w:rsidRPr="009B5734" w:rsidRDefault="00EA45F9" w:rsidP="00981615">
            <w:pPr>
              <w:pStyle w:val="TableHeadingWhite"/>
              <w:ind w:left="142" w:right="151" w:firstLine="0"/>
              <w:rPr>
                <w:rFonts w:cs="Arial"/>
                <w:noProof/>
                <w:sz w:val="18"/>
                <w:szCs w:val="18"/>
              </w:rPr>
            </w:pPr>
            <w:r w:rsidRPr="009B5734">
              <w:rPr>
                <w:rFonts w:cs="Arial"/>
                <w:noProof/>
                <w:sz w:val="18"/>
                <w:szCs w:val="18"/>
              </w:rPr>
              <w:t xml:space="preserve">Unfair Commercial Practices Directive 2005/29/EC </w:t>
            </w:r>
          </w:p>
        </w:tc>
        <w:tc>
          <w:tcPr>
            <w:tcW w:w="337" w:type="pct"/>
            <w:shd w:val="clear" w:color="auto" w:fill="auto"/>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w:t>
            </w:r>
          </w:p>
        </w:tc>
        <w:tc>
          <w:tcPr>
            <w:tcW w:w="412" w:type="pct"/>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w:t>
            </w:r>
          </w:p>
        </w:tc>
        <w:tc>
          <w:tcPr>
            <w:tcW w:w="486" w:type="pct"/>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w:t>
            </w:r>
          </w:p>
        </w:tc>
        <w:tc>
          <w:tcPr>
            <w:tcW w:w="412" w:type="pct"/>
            <w:shd w:val="clear" w:color="auto" w:fill="auto"/>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lang w:eastAsia="en-GB"/>
              </w:rPr>
              <mc:AlternateContent>
                <mc:Choice Requires="wps">
                  <w:drawing>
                    <wp:inline distT="0" distB="0" distL="0" distR="0" wp14:anchorId="44FABCC4" wp14:editId="62288FFB">
                      <wp:extent cx="108000" cy="108000"/>
                      <wp:effectExtent l="0" t="0" r="25400" b="25400"/>
                      <wp:docPr id="23" name="Rectangle 23"/>
                      <wp:cNvGraphicFramePr/>
                      <a:graphic xmlns:a="http://schemas.openxmlformats.org/drawingml/2006/main">
                        <a:graphicData uri="http://schemas.microsoft.com/office/word/2010/wordprocessingShape">
                          <wps:wsp>
                            <wps:cNvSpPr/>
                            <wps:spPr>
                              <a:xfrm>
                                <a:off x="0" y="0"/>
                                <a:ext cx="108000" cy="108000"/>
                              </a:xfrm>
                              <a:prstGeom prst="rect">
                                <a:avLst/>
                              </a:prstGeom>
                              <a:solidFill>
                                <a:sysClr val="window" lastClr="FFFFFF"/>
                              </a:solidFill>
                              <a:ln w="3175"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9387CF" id="Rectangle 23"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" fillcolor="window" strokecolor="#002395" strokeweight=".25pt">
                      <w10:anchorlock/>
                    </v:rect>
                  </w:pict>
                </mc:Fallback>
              </mc:AlternateContent>
            </w:r>
          </w:p>
        </w:tc>
        <w:tc>
          <w:tcPr>
            <w:tcW w:w="486" w:type="pct"/>
            <w:shd w:val="clear" w:color="auto" w:fill="auto"/>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lang w:eastAsia="en-GB"/>
              </w:rPr>
              <mc:AlternateContent>
                <mc:Choice Requires="wps">
                  <w:drawing>
                    <wp:inline distT="0" distB="0" distL="0" distR="0" wp14:anchorId="492875C9" wp14:editId="303B858C">
                      <wp:extent cx="108000" cy="108000"/>
                      <wp:effectExtent l="0" t="0" r="25400" b="25400"/>
                      <wp:docPr id="17" name="Rectangle 17"/>
                      <wp:cNvGraphicFramePr/>
                      <a:graphic xmlns:a="http://schemas.openxmlformats.org/drawingml/2006/main">
                        <a:graphicData uri="http://schemas.microsoft.com/office/word/2010/wordprocessingShape">
                          <wps:wsp>
                            <wps:cNvSpPr/>
                            <wps:spPr>
                              <a:xfrm>
                                <a:off x="0" y="0"/>
                                <a:ext cx="108000" cy="108000"/>
                              </a:xfrm>
                              <a:prstGeom prst="rect">
                                <a:avLst/>
                              </a:prstGeom>
                              <a:solidFill>
                                <a:sysClr val="window" lastClr="FFFFFF"/>
                              </a:solidFill>
                              <a:ln w="3175"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241287" id="Rectangle 1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" fillcolor="window" strokecolor="#002395" strokeweight=".25pt">
                      <w10:anchorlock/>
                    </v:rect>
                  </w:pict>
                </mc:Fallback>
              </mc:AlternateContent>
            </w:r>
          </w:p>
        </w:tc>
        <w:tc>
          <w:tcPr>
            <w:tcW w:w="412" w:type="pct"/>
            <w:vAlign w:val="center"/>
          </w:tcPr>
          <w:p w:rsidR="00EA45F9" w:rsidRPr="009B5734" w:rsidRDefault="00EA45F9" w:rsidP="00981615">
            <w:pPr>
              <w:pStyle w:val="TableHeadingWhite"/>
              <w:jc w:val="center"/>
              <w:rPr>
                <w:rFonts w:cs="Arial"/>
                <w:noProof/>
                <w:color w:val="002395"/>
                <w:szCs w:val="20"/>
                <w:lang w:eastAsia="fr-BE"/>
              </w:rPr>
            </w:pPr>
            <w:r w:rsidRPr="009B5734">
              <w:rPr>
                <w:rFonts w:cs="Arial"/>
                <w:noProof/>
                <w:color w:val="002395"/>
                <w:szCs w:val="20"/>
                <w:lang w:eastAsia="en-GB"/>
              </w:rPr>
              <mc:AlternateContent>
                <mc:Choice Requires="wps">
                  <w:drawing>
                    <wp:inline distT="0" distB="0" distL="0" distR="0" wp14:anchorId="767F2A6A" wp14:editId="078B2D8E">
                      <wp:extent cx="108000" cy="108000"/>
                      <wp:effectExtent l="0" t="0" r="25400" b="25400"/>
                      <wp:docPr id="18" name="Rectangle 18"/>
                      <wp:cNvGraphicFramePr/>
                      <a:graphic xmlns:a="http://schemas.openxmlformats.org/drawingml/2006/main">
                        <a:graphicData uri="http://schemas.microsoft.com/office/word/2010/wordprocessingShape">
                          <wps:wsp>
                            <wps:cNvSpPr/>
                            <wps:spPr>
                              <a:xfrm>
                                <a:off x="0" y="0"/>
                                <a:ext cx="108000" cy="108000"/>
                              </a:xfrm>
                              <a:prstGeom prst="rect">
                                <a:avLst/>
                              </a:prstGeom>
                              <a:solidFill>
                                <a:sysClr val="window" lastClr="FFFFFF"/>
                              </a:solidFill>
                              <a:ln w="3175"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92E5FF" id="Rectangle 18"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" fillcolor="window" strokecolor="#002395" strokeweight=".25pt">
                      <w10:anchorlock/>
                    </v:rect>
                  </w:pict>
                </mc:Fallback>
              </mc:AlternateContent>
            </w:r>
          </w:p>
        </w:tc>
        <w:tc>
          <w:tcPr>
            <w:tcW w:w="374" w:type="pct"/>
            <w:vAlign w:val="center"/>
          </w:tcPr>
          <w:p w:rsidR="00EA45F9" w:rsidRPr="009B5734" w:rsidRDefault="00EA45F9" w:rsidP="00981615">
            <w:pPr>
              <w:pStyle w:val="TableHeadingWhite"/>
              <w:jc w:val="center"/>
              <w:rPr>
                <w:rFonts w:cs="Arial"/>
                <w:noProof/>
                <w:color w:val="002395"/>
                <w:szCs w:val="20"/>
                <w:lang w:eastAsia="fr-BE"/>
              </w:rPr>
            </w:pPr>
            <w:r w:rsidRPr="009B5734">
              <w:rPr>
                <w:rFonts w:cs="Arial"/>
                <w:noProof/>
                <w:color w:val="002395"/>
                <w:szCs w:val="20"/>
                <w:lang w:eastAsia="fr-BE"/>
              </w:rPr>
              <w:t>Horizontal</w:t>
            </w:r>
          </w:p>
        </w:tc>
        <w:tc>
          <w:tcPr>
            <w:tcW w:w="1559" w:type="pct"/>
          </w:tcPr>
          <w:p w:rsidR="00EA45F9" w:rsidRPr="00C84A99" w:rsidRDefault="00EA45F9">
            <w:pPr>
              <w:pStyle w:val="TableHeadingWhite"/>
              <w:ind w:left="39" w:right="57" w:firstLine="3"/>
              <w:rPr>
                <w:rFonts w:cs="Arial"/>
                <w:b/>
                <w:bCs/>
                <w:noProof/>
                <w:color w:val="002395"/>
                <w:sz w:val="18"/>
                <w:szCs w:val="18"/>
                <w:lang w:eastAsia="fr-BE"/>
              </w:rPr>
            </w:pPr>
            <w:r w:rsidRPr="009B5734">
              <w:rPr>
                <w:rFonts w:cs="Arial"/>
                <w:noProof/>
                <w:color w:val="002395"/>
                <w:sz w:val="18"/>
                <w:szCs w:val="18"/>
                <w:lang w:eastAsia="fr-BE"/>
              </w:rPr>
              <w:t>The UCPD is a principle-based instrument prohibiting unfair commercial practices. It operates as a safety net complementing sector and product-specific legal requirements. It generally requires the traders to provide the consumers with information that they need to take informed</w:t>
            </w:r>
            <w:r w:rsidR="00173669">
              <w:rPr>
                <w:rFonts w:cs="Arial"/>
                <w:noProof/>
                <w:color w:val="002395"/>
                <w:sz w:val="18"/>
                <w:szCs w:val="18"/>
                <w:lang w:eastAsia="fr-BE"/>
              </w:rPr>
              <w:t>, independent</w:t>
            </w:r>
            <w:r w:rsidRPr="009B5734">
              <w:rPr>
                <w:rFonts w:cs="Arial"/>
                <w:noProof/>
                <w:color w:val="002395"/>
                <w:sz w:val="18"/>
                <w:szCs w:val="18"/>
                <w:lang w:eastAsia="fr-BE"/>
              </w:rPr>
              <w:t xml:space="preserve"> transactional decisions but it does not contain specific information requirements about product durability or reparability.  Its general provisions on unfair practices apply also to planned obsolescence and greenwashing practices when those are misleading and negatively affect consumers on the basis of a case-by-case assessment. There are no specific provisions in these areas in the Directive or in its Annex I (blacklist) which sets out practices regarded as unfair in all circumstances. Greenwashing is considered in the Guidance to the UCPD as a type of misleading claims that can be prohibited in accordance with the Directive. However, the absence of specific rules on misleading environmental claims in the Directive and the requirement for case-by-case assessment of their effects on the consumers reduces its potential to be enforced in this area. Planned obsolescence could be considered contrary to the professional diligence requirements in Article 5 or information about planned obsolescence practices could be deemed material under Article 7 that, if not provided, could fall under the definition of misleading omission. However, the lack of explicit rules and the need for case-by-case assessment of the effects of the practice on the consumers makes it difficult to enforce in this area.</w:t>
            </w:r>
          </w:p>
        </w:tc>
      </w:tr>
      <w:tr w:rsidR="00EA45F9" w:rsidRPr="009B5734" w:rsidTr="00C84A99">
        <w:trPr>
          <w:cantSplit/>
          <w:trHeight w:val="18"/>
        </w:trPr>
        <w:tc>
          <w:tcPr>
            <w:tcW w:w="523" w:type="pct"/>
            <w:shd w:val="clear" w:color="auto" w:fill="auto"/>
            <w:vAlign w:val="center"/>
          </w:tcPr>
          <w:p w:rsidR="00EA45F9" w:rsidRPr="00A725BA" w:rsidRDefault="00EA45F9" w:rsidP="00981615">
            <w:pPr>
              <w:pStyle w:val="TableHeadingWhite"/>
              <w:ind w:left="142" w:right="151" w:firstLine="0"/>
              <w:rPr>
                <w:noProof/>
                <w:sz w:val="18"/>
                <w:lang w:val="es-ES"/>
              </w:rPr>
            </w:pPr>
            <w:r w:rsidRPr="00A725BA">
              <w:rPr>
                <w:noProof/>
                <w:sz w:val="18"/>
                <w:lang w:val="es-ES"/>
              </w:rPr>
              <w:t>EU Ecolabel Regulation 66/2010/EC and related EU Ecolabel criteria</w:t>
            </w:r>
          </w:p>
        </w:tc>
        <w:tc>
          <w:tcPr>
            <w:tcW w:w="337" w:type="pct"/>
            <w:shd w:val="clear" w:color="auto" w:fill="auto"/>
            <w:vAlign w:val="center"/>
          </w:tcPr>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015F5C9C" wp14:editId="42706CBE">
                      <wp:extent cx="108000" cy="108000"/>
                      <wp:effectExtent l="0" t="0" r="25400" b="25400"/>
                      <wp:docPr id="40" name="Right Triangle 6"/>
                      <wp:cNvGraphicFramePr/>
                      <a:graphic xmlns:a="http://schemas.openxmlformats.org/drawingml/2006/main">
                        <a:graphicData uri="http://schemas.microsoft.com/office/word/2010/wordprocessingShape">
                          <wps:wsp>
                            <wps:cNvSpPr/>
                            <wps:spPr>
                              <a:xfrm>
                                <a:off x="0" y="0"/>
                                <a:ext cx="108000" cy="108000"/>
                              </a:xfrm>
                              <a:prstGeom prst="rtTriangle">
                                <a:avLst/>
                              </a:prstGeom>
                              <a:noFill/>
                              <a:ln w="3175"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47817E6" id="Right Triangle 6"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" filled="f" strokecolor="#002395" strokeweight=".25pt">
                      <w10:anchorlock/>
                    </v:shape>
                  </w:pict>
                </mc:Fallback>
              </mc:AlternateContent>
            </w:r>
          </w:p>
        </w:tc>
        <w:tc>
          <w:tcPr>
            <w:tcW w:w="412" w:type="pct"/>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w:t>
            </w:r>
          </w:p>
        </w:tc>
        <w:tc>
          <w:tcPr>
            <w:tcW w:w="486" w:type="pct"/>
            <w:vAlign w:val="center"/>
          </w:tcPr>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6E0884F8" wp14:editId="57E2227E">
                      <wp:extent cx="108000" cy="108000"/>
                      <wp:effectExtent l="0" t="0" r="25400" b="25400"/>
                      <wp:docPr id="41" name="Right Triangle 3"/>
                      <wp:cNvGraphicFramePr/>
                      <a:graphic xmlns:a="http://schemas.openxmlformats.org/drawingml/2006/main">
                        <a:graphicData uri="http://schemas.microsoft.com/office/word/2010/wordprocessingShape">
                          <wps:wsp>
                            <wps:cNvSpPr/>
                            <wps:spPr>
                              <a:xfrm>
                                <a:off x="0" y="0"/>
                                <a:ext cx="108000" cy="108000"/>
                              </a:xfrm>
                              <a:prstGeom prst="rtTriangle">
                                <a:avLst/>
                              </a:prstGeom>
                              <a:solidFill>
                                <a:srgbClr val="002395"/>
                              </a:solidFill>
                              <a:ln w="25400"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86D6A2A" id="Right Triangle 3"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" fillcolor="#002395" strokecolor="#002395" strokeweight="2pt">
                      <w10:anchorlock/>
                    </v:shape>
                  </w:pict>
                </mc:Fallback>
              </mc:AlternateContent>
            </w:r>
          </w:p>
        </w:tc>
        <w:tc>
          <w:tcPr>
            <w:tcW w:w="412" w:type="pct"/>
            <w:shd w:val="clear" w:color="auto" w:fill="auto"/>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w:t>
            </w:r>
          </w:p>
        </w:tc>
        <w:tc>
          <w:tcPr>
            <w:tcW w:w="486" w:type="pct"/>
            <w:shd w:val="clear" w:color="auto" w:fill="auto"/>
            <w:vAlign w:val="center"/>
          </w:tcPr>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1952141E" wp14:editId="7CDA7C4A">
                      <wp:extent cx="108000" cy="108000"/>
                      <wp:effectExtent l="0" t="0" r="25400" b="25400"/>
                      <wp:docPr id="43" name="Right Triangle 3"/>
                      <wp:cNvGraphicFramePr/>
                      <a:graphic xmlns:a="http://schemas.openxmlformats.org/drawingml/2006/main">
                        <a:graphicData uri="http://schemas.microsoft.com/office/word/2010/wordprocessingShape">
                          <wps:wsp>
                            <wps:cNvSpPr/>
                            <wps:spPr>
                              <a:xfrm>
                                <a:off x="0" y="0"/>
                                <a:ext cx="108000" cy="108000"/>
                              </a:xfrm>
                              <a:prstGeom prst="rtTriangle">
                                <a:avLst/>
                              </a:prstGeom>
                              <a:solidFill>
                                <a:srgbClr val="002395"/>
                              </a:solidFill>
                              <a:ln w="25400"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AB3E4C" id="Right Triangle 3"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" fillcolor="#002395" strokecolor="#002395" strokeweight="2pt">
                      <w10:anchorlock/>
                    </v:shape>
                  </w:pict>
                </mc:Fallback>
              </mc:AlternateContent>
            </w:r>
          </w:p>
        </w:tc>
        <w:tc>
          <w:tcPr>
            <w:tcW w:w="412" w:type="pct"/>
            <w:vAlign w:val="center"/>
          </w:tcPr>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64DF2854" wp14:editId="601B0BAF">
                      <wp:extent cx="108000" cy="108000"/>
                      <wp:effectExtent l="0" t="0" r="25400" b="25400"/>
                      <wp:docPr id="42" name="Right Triangle 3"/>
                      <wp:cNvGraphicFramePr/>
                      <a:graphic xmlns:a="http://schemas.openxmlformats.org/drawingml/2006/main">
                        <a:graphicData uri="http://schemas.microsoft.com/office/word/2010/wordprocessingShape">
                          <wps:wsp>
                            <wps:cNvSpPr/>
                            <wps:spPr>
                              <a:xfrm>
                                <a:off x="0" y="0"/>
                                <a:ext cx="108000" cy="108000"/>
                              </a:xfrm>
                              <a:prstGeom prst="rtTriangle">
                                <a:avLst/>
                              </a:prstGeom>
                              <a:solidFill>
                                <a:srgbClr val="002395"/>
                              </a:solidFill>
                              <a:ln w="25400"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07867D" id="Right Triangle 3"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" fillcolor="#002395" strokecolor="#002395" strokeweight="2pt">
                      <w10:anchorlock/>
                    </v:shape>
                  </w:pict>
                </mc:Fallback>
              </mc:AlternateContent>
            </w:r>
          </w:p>
        </w:tc>
        <w:tc>
          <w:tcPr>
            <w:tcW w:w="374" w:type="pct"/>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Horizontal</w:t>
            </w:r>
          </w:p>
        </w:tc>
        <w:tc>
          <w:tcPr>
            <w:tcW w:w="1559" w:type="pct"/>
          </w:tcPr>
          <w:p w:rsidR="00EA45F9" w:rsidRPr="009B5734" w:rsidRDefault="00EA45F9" w:rsidP="00981615">
            <w:pPr>
              <w:pStyle w:val="TableHeadingWhite"/>
              <w:ind w:left="39" w:right="57" w:firstLine="3"/>
              <w:rPr>
                <w:rFonts w:cs="Arial"/>
                <w:b/>
                <w:noProof/>
                <w:color w:val="002395"/>
                <w:sz w:val="18"/>
                <w:szCs w:val="18"/>
              </w:rPr>
            </w:pPr>
            <w:r w:rsidRPr="009B5734">
              <w:rPr>
                <w:rFonts w:cs="Arial"/>
                <w:noProof/>
                <w:color w:val="002395"/>
                <w:sz w:val="18"/>
                <w:szCs w:val="18"/>
              </w:rPr>
              <w:t>The EU Ecolabel scheme is a voluntary system covering the “best in class” products</w:t>
            </w:r>
            <w:r w:rsidRPr="009B5734" w:rsidDel="00506C8A">
              <w:rPr>
                <w:rFonts w:cs="Arial"/>
                <w:noProof/>
                <w:color w:val="002395"/>
                <w:sz w:val="18"/>
                <w:szCs w:val="18"/>
              </w:rPr>
              <w:t xml:space="preserve"> </w:t>
            </w:r>
            <w:r w:rsidRPr="009B5734">
              <w:rPr>
                <w:rFonts w:cs="Arial"/>
                <w:noProof/>
                <w:color w:val="002395"/>
                <w:sz w:val="18"/>
                <w:szCs w:val="18"/>
              </w:rPr>
              <w:t xml:space="preserve">in terms of environmental performance for a given product category. It the official European Union EU wide labelling scheme for environmental excellence which can be considered as an important tool to avoid the proliferation of environmental labelling schemes. </w:t>
            </w:r>
          </w:p>
          <w:p w:rsidR="00EA45F9" w:rsidRPr="009B5734" w:rsidRDefault="00EA45F9" w:rsidP="00981615">
            <w:pPr>
              <w:pStyle w:val="TableHeadingWhite"/>
              <w:ind w:left="39" w:right="57" w:firstLine="3"/>
              <w:rPr>
                <w:rFonts w:cs="Arial"/>
                <w:b/>
                <w:noProof/>
                <w:color w:val="002395"/>
                <w:sz w:val="18"/>
                <w:szCs w:val="18"/>
              </w:rPr>
            </w:pPr>
            <w:r w:rsidRPr="009B5734">
              <w:rPr>
                <w:rFonts w:cs="Arial"/>
                <w:noProof/>
                <w:color w:val="002395"/>
                <w:sz w:val="18"/>
                <w:szCs w:val="18"/>
              </w:rPr>
              <w:t>Art 6 of the Regulation requires the criteria for environmental performance to consider ‘the potential to reduce environmental impacts due to durability and reusability of the products’. Product durability and reparability, being crucial aspects of the circular economy, are already included in the criteria for relevant product groups. However, the information on how long a product is expected or guaranteed to last is not given through the logo. Often consumers do not have information on the product regarding the extent to which durability has been considered to grant the ecolabel, but they can research in EU Ecolabel webpage.</w:t>
            </w:r>
          </w:p>
        </w:tc>
      </w:tr>
      <w:tr w:rsidR="00EA45F9" w:rsidRPr="009B5734" w:rsidTr="00C84A99">
        <w:trPr>
          <w:cantSplit/>
          <w:trHeight w:val="18"/>
        </w:trPr>
        <w:tc>
          <w:tcPr>
            <w:tcW w:w="523" w:type="pct"/>
            <w:shd w:val="clear" w:color="auto" w:fill="auto"/>
            <w:vAlign w:val="center"/>
          </w:tcPr>
          <w:p w:rsidR="00EA45F9" w:rsidRPr="009B5734" w:rsidRDefault="00EA45F9" w:rsidP="00981615">
            <w:pPr>
              <w:pStyle w:val="TableHeadingWhite"/>
              <w:ind w:left="142" w:right="151" w:firstLine="0"/>
              <w:rPr>
                <w:rFonts w:cs="Arial"/>
                <w:noProof/>
                <w:sz w:val="18"/>
                <w:szCs w:val="18"/>
              </w:rPr>
            </w:pPr>
            <w:r w:rsidRPr="009B5734">
              <w:rPr>
                <w:rFonts w:cs="Arial"/>
                <w:noProof/>
                <w:sz w:val="18"/>
                <w:szCs w:val="18"/>
              </w:rPr>
              <w:t>Ecodesign Directive 2009/125/EC and related Regulations and voluntary agreements</w:t>
            </w:r>
          </w:p>
        </w:tc>
        <w:tc>
          <w:tcPr>
            <w:tcW w:w="337" w:type="pct"/>
            <w:shd w:val="clear" w:color="auto" w:fill="auto"/>
            <w:vAlign w:val="center"/>
          </w:tcPr>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089C2B5E" wp14:editId="6A38731D">
                      <wp:extent cx="108000" cy="108000"/>
                      <wp:effectExtent l="0" t="0" r="25400" b="25400"/>
                      <wp:docPr id="25" name="Right Triangle 6"/>
                      <wp:cNvGraphicFramePr/>
                      <a:graphic xmlns:a="http://schemas.openxmlformats.org/drawingml/2006/main">
                        <a:graphicData uri="http://schemas.microsoft.com/office/word/2010/wordprocessingShape">
                          <wps:wsp>
                            <wps:cNvSpPr/>
                            <wps:spPr>
                              <a:xfrm>
                                <a:off x="0" y="0"/>
                                <a:ext cx="108000" cy="108000"/>
                              </a:xfrm>
                              <a:prstGeom prst="rtTriangle">
                                <a:avLst/>
                              </a:prstGeom>
                              <a:noFill/>
                              <a:ln w="3175"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F5AF343" id="Right Triangle 6"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" filled="f" strokecolor="#002395" strokeweight=".25pt">
                      <w10:anchorlock/>
                    </v:shape>
                  </w:pict>
                </mc:Fallback>
              </mc:AlternateContent>
            </w:r>
          </w:p>
        </w:tc>
        <w:tc>
          <w:tcPr>
            <w:tcW w:w="412" w:type="pct"/>
            <w:vAlign w:val="center"/>
          </w:tcPr>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12A501B2" wp14:editId="5F3EBB31">
                      <wp:extent cx="108000" cy="108000"/>
                      <wp:effectExtent l="0" t="0" r="25400" b="25400"/>
                      <wp:docPr id="26" name="Right Triangle 6"/>
                      <wp:cNvGraphicFramePr/>
                      <a:graphic xmlns:a="http://schemas.openxmlformats.org/drawingml/2006/main">
                        <a:graphicData uri="http://schemas.microsoft.com/office/word/2010/wordprocessingShape">
                          <wps:wsp>
                            <wps:cNvSpPr/>
                            <wps:spPr>
                              <a:xfrm>
                                <a:off x="0" y="0"/>
                                <a:ext cx="108000" cy="108000"/>
                              </a:xfrm>
                              <a:prstGeom prst="rtTriangle">
                                <a:avLst/>
                              </a:prstGeom>
                              <a:noFill/>
                              <a:ln w="3175"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A04149" id="Right Triangle 6"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" filled="f" strokecolor="#002395" strokeweight=".25pt">
                      <w10:anchorlock/>
                    </v:shape>
                  </w:pict>
                </mc:Fallback>
              </mc:AlternateContent>
            </w:r>
          </w:p>
        </w:tc>
        <w:tc>
          <w:tcPr>
            <w:tcW w:w="486" w:type="pct"/>
            <w:vAlign w:val="center"/>
          </w:tcPr>
          <w:p w:rsidR="00EA45F9" w:rsidRPr="009B5734" w:rsidRDefault="00EA45F9" w:rsidP="00981615">
            <w:pPr>
              <w:pStyle w:val="TableHeadingWhite"/>
              <w:jc w:val="center"/>
              <w:rPr>
                <w:rFonts w:cs="Arial"/>
                <w:noProof/>
                <w:color w:val="002395"/>
                <w:szCs w:val="20"/>
              </w:rPr>
            </w:pPr>
          </w:p>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w:t>
            </w:r>
          </w:p>
        </w:tc>
        <w:tc>
          <w:tcPr>
            <w:tcW w:w="412" w:type="pct"/>
            <w:shd w:val="clear" w:color="auto" w:fill="auto"/>
            <w:vAlign w:val="center"/>
          </w:tcPr>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04A0231E" wp14:editId="0E6FE0FC">
                      <wp:extent cx="108000" cy="108000"/>
                      <wp:effectExtent l="0" t="0" r="25400" b="25400"/>
                      <wp:docPr id="28" name="Right Triangle 6"/>
                      <wp:cNvGraphicFramePr/>
                      <a:graphic xmlns:a="http://schemas.openxmlformats.org/drawingml/2006/main">
                        <a:graphicData uri="http://schemas.microsoft.com/office/word/2010/wordprocessingShape">
                          <wps:wsp>
                            <wps:cNvSpPr/>
                            <wps:spPr>
                              <a:xfrm>
                                <a:off x="0" y="0"/>
                                <a:ext cx="108000" cy="108000"/>
                              </a:xfrm>
                              <a:prstGeom prst="rtTriangle">
                                <a:avLst/>
                              </a:prstGeom>
                              <a:noFill/>
                              <a:ln w="3175"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4974D94" id="Right Triangle 6"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" filled="f" strokecolor="#002395" strokeweight=".25pt">
                      <w10:anchorlock/>
                    </v:shape>
                  </w:pict>
                </mc:Fallback>
              </mc:AlternateContent>
            </w:r>
          </w:p>
        </w:tc>
        <w:tc>
          <w:tcPr>
            <w:tcW w:w="486" w:type="pct"/>
            <w:shd w:val="clear" w:color="auto" w:fill="auto"/>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w:t>
            </w:r>
          </w:p>
        </w:tc>
        <w:tc>
          <w:tcPr>
            <w:tcW w:w="412" w:type="pct"/>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w:t>
            </w:r>
          </w:p>
        </w:tc>
        <w:tc>
          <w:tcPr>
            <w:tcW w:w="374" w:type="pct"/>
            <w:vAlign w:val="center"/>
          </w:tcPr>
          <w:p w:rsidR="00EA45F9" w:rsidRPr="009B5734" w:rsidRDefault="00EA45F9" w:rsidP="00981615">
            <w:pPr>
              <w:pStyle w:val="TableHeadingWhite"/>
              <w:ind w:left="73" w:hanging="73"/>
              <w:jc w:val="center"/>
              <w:rPr>
                <w:rFonts w:cs="Arial"/>
                <w:noProof/>
                <w:color w:val="002395"/>
                <w:szCs w:val="20"/>
              </w:rPr>
            </w:pPr>
            <w:r w:rsidRPr="009B5734">
              <w:rPr>
                <w:rFonts w:cs="Arial"/>
                <w:noProof/>
                <w:color w:val="002395"/>
                <w:szCs w:val="20"/>
              </w:rPr>
              <w:t>Energy related products</w:t>
            </w:r>
          </w:p>
        </w:tc>
        <w:tc>
          <w:tcPr>
            <w:tcW w:w="1559" w:type="pct"/>
          </w:tcPr>
          <w:p w:rsidR="00EA45F9" w:rsidRPr="004931D3" w:rsidRDefault="00EA45F9">
            <w:pPr>
              <w:pStyle w:val="TableHeadingWhite"/>
              <w:ind w:left="39" w:right="57" w:firstLine="3"/>
              <w:rPr>
                <w:rFonts w:cs="Arial"/>
                <w:b/>
                <w:noProof/>
                <w:color w:val="002395"/>
                <w:sz w:val="18"/>
                <w:szCs w:val="18"/>
              </w:rPr>
            </w:pPr>
            <w:r w:rsidRPr="009B5734">
              <w:rPr>
                <w:rFonts w:cs="Arial"/>
                <w:noProof/>
                <w:color w:val="002395"/>
                <w:sz w:val="18"/>
                <w:szCs w:val="18"/>
              </w:rPr>
              <w:t xml:space="preserve">The Ecodesign framework establishes minimum requirements on energy efficiency and other environmental aspects via product design requirements and, where relevant, information requirements for various categories of energy related products. This is being operationalised via implementing regulations per product category, in accordance with regular working plans (the latest available is the Working Plan 2016-2019; Working plan 2020-2024 is forthcoming (in 2021) setting out priorities and timelines for product categories. These regulations, when they enter into force,  prevent the worst-performing products in terms of energy efficiency and other environmental aspects (including durability, reparability) to enter the EU market for a given product category. While durability requirements have been very limited due to technological methodological and enforcement challenges (there are durability requirements only for 2 components of a vacuum cleaner; as well information on durability for lightbulbs), a series of reparability requirements will enter into force in March 2021 for a number of product categories. Since the first Circular Economy Action Plan (2015) the Commission considers more systematically durability, reparability, upgrade, reuse, recyclability and recycled content aspects when preparing or revising Ecodesign requirements. </w:t>
            </w:r>
          </w:p>
          <w:p w:rsidR="00EA45F9" w:rsidRPr="009B5734" w:rsidRDefault="00EA45F9" w:rsidP="00981615">
            <w:pPr>
              <w:pStyle w:val="TableHeadingWhite"/>
              <w:ind w:left="39" w:right="57" w:firstLine="3"/>
              <w:rPr>
                <w:rFonts w:cs="Arial"/>
                <w:b/>
                <w:noProof/>
                <w:color w:val="002395"/>
                <w:sz w:val="18"/>
                <w:szCs w:val="18"/>
              </w:rPr>
            </w:pPr>
            <w:r w:rsidRPr="009B5734">
              <w:rPr>
                <w:rFonts w:cs="Arial"/>
                <w:noProof/>
                <w:color w:val="002395"/>
                <w:sz w:val="18"/>
                <w:szCs w:val="18"/>
              </w:rPr>
              <w:t xml:space="preserve">In future, a possible scoring system on products reparability, based on the JRC method, could be considered (see also EU Energy Label below). </w:t>
            </w:r>
          </w:p>
          <w:p w:rsidR="00EA45F9" w:rsidRPr="004931D3" w:rsidRDefault="00EA45F9">
            <w:pPr>
              <w:pStyle w:val="TableHeadingWhite"/>
              <w:ind w:left="39" w:right="57" w:firstLine="3"/>
              <w:rPr>
                <w:rFonts w:cs="Arial"/>
                <w:b/>
                <w:noProof/>
                <w:color w:val="002395"/>
                <w:sz w:val="18"/>
                <w:szCs w:val="18"/>
              </w:rPr>
            </w:pPr>
            <w:r w:rsidRPr="009B5734">
              <w:rPr>
                <w:rFonts w:cs="Arial"/>
                <w:noProof/>
                <w:color w:val="002395"/>
                <w:sz w:val="18"/>
                <w:szCs w:val="18"/>
              </w:rPr>
              <w:t xml:space="preserve">Ecodesign establishes a public enforcement mechanism for non-compliance (including fines and possible withdrawal of the product from EU market) but does not foresee consumer redress/rights in case a product (or component) fails to comply with specific requirements. </w:t>
            </w:r>
          </w:p>
          <w:p w:rsidR="00EA45F9" w:rsidRPr="009B5734" w:rsidRDefault="00EA45F9" w:rsidP="00981615">
            <w:pPr>
              <w:pStyle w:val="TableHeadingWhite"/>
              <w:ind w:left="39" w:right="57" w:firstLine="3"/>
              <w:rPr>
                <w:rFonts w:cs="Arial"/>
                <w:b/>
                <w:noProof/>
                <w:color w:val="002395"/>
                <w:sz w:val="18"/>
                <w:szCs w:val="18"/>
              </w:rPr>
            </w:pPr>
          </w:p>
          <w:p w:rsidR="00EA45F9" w:rsidRPr="004931D3" w:rsidRDefault="00EA45F9">
            <w:pPr>
              <w:pStyle w:val="TableHeadingWhite"/>
              <w:ind w:left="39" w:right="57" w:firstLine="3"/>
              <w:rPr>
                <w:rFonts w:cs="Arial"/>
                <w:b/>
                <w:noProof/>
                <w:color w:val="002395"/>
                <w:sz w:val="18"/>
                <w:szCs w:val="18"/>
              </w:rPr>
            </w:pPr>
            <w:r w:rsidRPr="009B5734">
              <w:rPr>
                <w:rFonts w:cs="Arial"/>
                <w:noProof/>
                <w:color w:val="002395"/>
                <w:sz w:val="18"/>
                <w:szCs w:val="18"/>
              </w:rPr>
              <w:t xml:space="preserve">In Q4 2021, the Commission plans to table a legislative proposal which will aim to widen the scope of the Ecodesign Directive to include the broadest possible range of products and to other aspects of sustainability and circularity. </w:t>
            </w:r>
          </w:p>
          <w:p w:rsidR="00EA45F9" w:rsidRPr="009B5734" w:rsidRDefault="00EA45F9" w:rsidP="00981615">
            <w:pPr>
              <w:pStyle w:val="TableHeadingWhite"/>
              <w:ind w:left="39" w:right="57" w:firstLine="3"/>
              <w:rPr>
                <w:rFonts w:cs="Arial"/>
                <w:b/>
                <w:noProof/>
                <w:color w:val="002395"/>
                <w:sz w:val="18"/>
                <w:szCs w:val="18"/>
              </w:rPr>
            </w:pPr>
          </w:p>
          <w:p w:rsidR="00EA45F9" w:rsidRPr="009B5734" w:rsidRDefault="00EA45F9" w:rsidP="00981615">
            <w:pPr>
              <w:pStyle w:val="TableHeadingWhite"/>
              <w:ind w:left="39" w:right="57" w:firstLine="3"/>
              <w:rPr>
                <w:rFonts w:cs="Arial"/>
                <w:b/>
                <w:noProof/>
                <w:color w:val="002395"/>
                <w:sz w:val="18"/>
                <w:szCs w:val="18"/>
              </w:rPr>
            </w:pPr>
          </w:p>
        </w:tc>
      </w:tr>
      <w:tr w:rsidR="00EA45F9" w:rsidRPr="009B5734" w:rsidTr="00C84A99">
        <w:trPr>
          <w:cantSplit/>
          <w:trHeight w:val="18"/>
        </w:trPr>
        <w:tc>
          <w:tcPr>
            <w:tcW w:w="523" w:type="pct"/>
            <w:shd w:val="clear" w:color="auto" w:fill="auto"/>
            <w:vAlign w:val="center"/>
          </w:tcPr>
          <w:p w:rsidR="00EA45F9" w:rsidRPr="009B5734" w:rsidRDefault="00EA45F9" w:rsidP="00981615">
            <w:pPr>
              <w:pStyle w:val="TableHeadingWhite"/>
              <w:ind w:left="142" w:right="151" w:firstLine="0"/>
              <w:rPr>
                <w:rFonts w:cs="Arial"/>
                <w:noProof/>
                <w:sz w:val="18"/>
                <w:szCs w:val="18"/>
              </w:rPr>
            </w:pPr>
            <w:r w:rsidRPr="009B5734">
              <w:rPr>
                <w:rFonts w:cs="Arial"/>
                <w:noProof/>
                <w:sz w:val="18"/>
                <w:szCs w:val="18"/>
              </w:rPr>
              <w:t>Energy Labelling Framework Regulation EU/2017/1369</w:t>
            </w:r>
          </w:p>
        </w:tc>
        <w:tc>
          <w:tcPr>
            <w:tcW w:w="337" w:type="pct"/>
            <w:shd w:val="clear" w:color="auto" w:fill="auto"/>
            <w:vAlign w:val="center"/>
          </w:tcPr>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7516E807" wp14:editId="0AD05580">
                      <wp:extent cx="108000" cy="108000"/>
                      <wp:effectExtent l="0" t="0" r="25400" b="25400"/>
                      <wp:docPr id="36" name="Right Triangle 6"/>
                      <wp:cNvGraphicFramePr/>
                      <a:graphic xmlns:a="http://schemas.openxmlformats.org/drawingml/2006/main">
                        <a:graphicData uri="http://schemas.microsoft.com/office/word/2010/wordprocessingShape">
                          <wps:wsp>
                            <wps:cNvSpPr/>
                            <wps:spPr>
                              <a:xfrm>
                                <a:off x="0" y="0"/>
                                <a:ext cx="108000" cy="108000"/>
                              </a:xfrm>
                              <a:prstGeom prst="rtTriangle">
                                <a:avLst/>
                              </a:prstGeom>
                              <a:noFill/>
                              <a:ln w="3175"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D9558B" id="Right Triangle 6"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" filled="f" strokecolor="#002395" strokeweight=".25pt">
                      <w10:anchorlock/>
                    </v:shape>
                  </w:pict>
                </mc:Fallback>
              </mc:AlternateContent>
            </w:r>
          </w:p>
        </w:tc>
        <w:tc>
          <w:tcPr>
            <w:tcW w:w="412" w:type="pct"/>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w:t>
            </w:r>
          </w:p>
        </w:tc>
        <w:tc>
          <w:tcPr>
            <w:tcW w:w="486" w:type="pct"/>
            <w:vAlign w:val="center"/>
          </w:tcPr>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756CB3D6" wp14:editId="663C1C9D">
                      <wp:extent cx="108000" cy="108000"/>
                      <wp:effectExtent l="0" t="0" r="25400" b="25400"/>
                      <wp:docPr id="35" name="Right Triangle 3"/>
                      <wp:cNvGraphicFramePr/>
                      <a:graphic xmlns:a="http://schemas.openxmlformats.org/drawingml/2006/main">
                        <a:graphicData uri="http://schemas.microsoft.com/office/word/2010/wordprocessingShape">
                          <wps:wsp>
                            <wps:cNvSpPr/>
                            <wps:spPr>
                              <a:xfrm>
                                <a:off x="0" y="0"/>
                                <a:ext cx="108000" cy="108000"/>
                              </a:xfrm>
                              <a:prstGeom prst="rtTriangle">
                                <a:avLst/>
                              </a:prstGeom>
                              <a:solidFill>
                                <a:srgbClr val="002395"/>
                              </a:solidFill>
                              <a:ln w="25400"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9E6A49" id="Right Triangle 3"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" fillcolor="#002395" strokecolor="#002395" strokeweight="2pt">
                      <w10:anchorlock/>
                    </v:shape>
                  </w:pict>
                </mc:Fallback>
              </mc:AlternateContent>
            </w:r>
          </w:p>
        </w:tc>
        <w:tc>
          <w:tcPr>
            <w:tcW w:w="412" w:type="pct"/>
            <w:shd w:val="clear" w:color="auto" w:fill="auto"/>
            <w:vAlign w:val="center"/>
          </w:tcPr>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2B22A740" wp14:editId="6B771186">
                      <wp:extent cx="108000" cy="108000"/>
                      <wp:effectExtent l="0" t="0" r="25400" b="25400"/>
                      <wp:docPr id="38" name="Right Triangle 6"/>
                      <wp:cNvGraphicFramePr/>
                      <a:graphic xmlns:a="http://schemas.openxmlformats.org/drawingml/2006/main">
                        <a:graphicData uri="http://schemas.microsoft.com/office/word/2010/wordprocessingShape">
                          <wps:wsp>
                            <wps:cNvSpPr/>
                            <wps:spPr>
                              <a:xfrm>
                                <a:off x="0" y="0"/>
                                <a:ext cx="108000" cy="108000"/>
                              </a:xfrm>
                              <a:prstGeom prst="rtTriangle">
                                <a:avLst/>
                              </a:prstGeom>
                              <a:noFill/>
                              <a:ln w="3175"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385B1E" id="Right Triangle 6"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" filled="f" strokecolor="#002395" strokeweight=".25pt">
                      <w10:anchorlock/>
                    </v:shape>
                  </w:pict>
                </mc:Fallback>
              </mc:AlternateContent>
            </w:r>
          </w:p>
        </w:tc>
        <w:tc>
          <w:tcPr>
            <w:tcW w:w="486" w:type="pct"/>
            <w:shd w:val="clear" w:color="auto" w:fill="auto"/>
            <w:vAlign w:val="center"/>
          </w:tcPr>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51E82243" wp14:editId="5177436C">
                      <wp:extent cx="108000" cy="108000"/>
                      <wp:effectExtent l="0" t="0" r="25400" b="25400"/>
                      <wp:docPr id="34" name="Right Triangle 3"/>
                      <wp:cNvGraphicFramePr/>
                      <a:graphic xmlns:a="http://schemas.openxmlformats.org/drawingml/2006/main">
                        <a:graphicData uri="http://schemas.microsoft.com/office/word/2010/wordprocessingShape">
                          <wps:wsp>
                            <wps:cNvSpPr/>
                            <wps:spPr>
                              <a:xfrm>
                                <a:off x="0" y="0"/>
                                <a:ext cx="108000" cy="108000"/>
                              </a:xfrm>
                              <a:prstGeom prst="rtTriangle">
                                <a:avLst/>
                              </a:prstGeom>
                              <a:solidFill>
                                <a:srgbClr val="002395"/>
                              </a:solidFill>
                              <a:ln w="25400"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8716EE4" id="Right Triangle 3"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" fillcolor="#002395" strokecolor="#002395" strokeweight="2pt">
                      <w10:anchorlock/>
                    </v:shape>
                  </w:pict>
                </mc:Fallback>
              </mc:AlternateContent>
            </w:r>
          </w:p>
        </w:tc>
        <w:tc>
          <w:tcPr>
            <w:tcW w:w="412" w:type="pct"/>
            <w:vAlign w:val="center"/>
          </w:tcPr>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67627354" wp14:editId="46EF4956">
                      <wp:extent cx="108000" cy="108000"/>
                      <wp:effectExtent l="0" t="0" r="25400" b="25400"/>
                      <wp:docPr id="1" name="Right Triangle 3"/>
                      <wp:cNvGraphicFramePr/>
                      <a:graphic xmlns:a="http://schemas.openxmlformats.org/drawingml/2006/main">
                        <a:graphicData uri="http://schemas.microsoft.com/office/word/2010/wordprocessingShape">
                          <wps:wsp>
                            <wps:cNvSpPr/>
                            <wps:spPr>
                              <a:xfrm>
                                <a:off x="0" y="0"/>
                                <a:ext cx="108000" cy="108000"/>
                              </a:xfrm>
                              <a:prstGeom prst="rtTriangle">
                                <a:avLst/>
                              </a:prstGeom>
                              <a:solidFill>
                                <a:srgbClr val="002395"/>
                              </a:solidFill>
                              <a:ln w="25400"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80D803A" id="Right Triangle 3"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" fillcolor="#002395" strokecolor="#002395" strokeweight="2pt">
                      <w10:anchorlock/>
                    </v:shape>
                  </w:pict>
                </mc:Fallback>
              </mc:AlternateContent>
            </w:r>
          </w:p>
        </w:tc>
        <w:tc>
          <w:tcPr>
            <w:tcW w:w="374" w:type="pct"/>
            <w:vAlign w:val="center"/>
          </w:tcPr>
          <w:p w:rsidR="00EA45F9" w:rsidRPr="009B5734" w:rsidRDefault="00EA45F9" w:rsidP="00981615">
            <w:pPr>
              <w:pStyle w:val="TableHeadingWhite"/>
              <w:ind w:left="0" w:firstLine="0"/>
              <w:jc w:val="center"/>
              <w:rPr>
                <w:rFonts w:cs="Arial"/>
                <w:noProof/>
                <w:color w:val="002395"/>
                <w:szCs w:val="20"/>
              </w:rPr>
            </w:pPr>
            <w:r w:rsidRPr="009B5734">
              <w:rPr>
                <w:rFonts w:cs="Arial"/>
                <w:noProof/>
                <w:color w:val="002395"/>
                <w:szCs w:val="20"/>
              </w:rPr>
              <w:t>Energy related products</w:t>
            </w:r>
          </w:p>
        </w:tc>
        <w:tc>
          <w:tcPr>
            <w:tcW w:w="1559" w:type="pct"/>
          </w:tcPr>
          <w:p w:rsidR="00EA45F9" w:rsidRPr="004931D3" w:rsidRDefault="00EA45F9">
            <w:pPr>
              <w:pStyle w:val="TableHeadingWhite"/>
              <w:ind w:left="39" w:right="57" w:firstLine="3"/>
              <w:rPr>
                <w:rFonts w:cs="Arial"/>
                <w:b/>
                <w:noProof/>
                <w:color w:val="002395"/>
                <w:sz w:val="18"/>
                <w:szCs w:val="18"/>
              </w:rPr>
            </w:pPr>
            <w:r w:rsidRPr="009B5734">
              <w:rPr>
                <w:rFonts w:cs="Arial"/>
                <w:noProof/>
                <w:color w:val="002395"/>
                <w:sz w:val="18"/>
                <w:szCs w:val="18"/>
              </w:rPr>
              <w:t xml:space="preserve">The Energy labelling Framework legislation has the same product scope and follows a similar approach and timeline like the Ecodesign legislation, with implementing options per product category in accordance with regular working plans. </w:t>
            </w:r>
          </w:p>
          <w:p w:rsidR="00EA45F9" w:rsidRPr="009B5734" w:rsidRDefault="00EA45F9" w:rsidP="00981615">
            <w:pPr>
              <w:pStyle w:val="TableHeadingWhite"/>
              <w:ind w:left="39" w:right="57" w:firstLine="3"/>
              <w:rPr>
                <w:rFonts w:cs="Arial"/>
                <w:b/>
                <w:noProof/>
                <w:color w:val="002395"/>
                <w:sz w:val="18"/>
                <w:szCs w:val="18"/>
              </w:rPr>
            </w:pPr>
            <w:r w:rsidRPr="009B5734">
              <w:rPr>
                <w:rFonts w:cs="Arial"/>
                <w:noProof/>
                <w:color w:val="002395"/>
                <w:sz w:val="18"/>
                <w:szCs w:val="18"/>
              </w:rPr>
              <w:t>It</w:t>
            </w:r>
            <w:r w:rsidRPr="009B5734" w:rsidDel="00506C8A">
              <w:rPr>
                <w:rFonts w:cs="Arial"/>
                <w:noProof/>
                <w:color w:val="002395"/>
                <w:sz w:val="18"/>
                <w:szCs w:val="18"/>
              </w:rPr>
              <w:t xml:space="preserve"> </w:t>
            </w:r>
            <w:r w:rsidRPr="009B5734">
              <w:rPr>
                <w:rFonts w:cs="Arial"/>
                <w:noProof/>
                <w:color w:val="002395"/>
                <w:sz w:val="18"/>
                <w:szCs w:val="18"/>
              </w:rPr>
              <w:t xml:space="preserve">establishes a consistent and for consumers easy to understand EU wide  labelling system with  information on  the energy efficiency of goods (the most prominent feature of the label with A-G scale), its energy use as well other environmental (e.g. water use, noise)  and functional parameters (e.g. washing efficiency) where relevant. Unlike other claims, all energy products must display the claim of how much energy is used based on a consistent labelling system used and comparable across Member States. It aims to encourage consumers to purchase and use goods which use less energy and are more environmentally friendly. </w:t>
            </w:r>
          </w:p>
          <w:p w:rsidR="00EA45F9" w:rsidRPr="009B5734" w:rsidRDefault="00EA45F9" w:rsidP="00981615">
            <w:pPr>
              <w:pStyle w:val="TableHeadingWhite"/>
              <w:ind w:left="39" w:right="57" w:firstLine="3"/>
              <w:rPr>
                <w:rFonts w:cs="Arial"/>
                <w:b/>
                <w:noProof/>
                <w:color w:val="002395"/>
                <w:sz w:val="18"/>
                <w:szCs w:val="18"/>
              </w:rPr>
            </w:pPr>
            <w:r w:rsidRPr="009B5734">
              <w:rPr>
                <w:rFonts w:cs="Arial"/>
                <w:noProof/>
                <w:color w:val="002395"/>
                <w:sz w:val="18"/>
                <w:szCs w:val="18"/>
              </w:rPr>
              <w:t xml:space="preserve">Planned obsolescence is not specifically covered by the Regulation, however, Art 3 refers to planned obsolescence linked to updates that could reduce a product’s energy efficiency and be detrimental to the energy efficiency label. A European product database for energy labels and product information sheets (EPREL) is expected to be available for consumers in 2021. </w:t>
            </w:r>
          </w:p>
          <w:p w:rsidR="00EA45F9" w:rsidRPr="009B5734" w:rsidRDefault="00EA45F9" w:rsidP="00981615">
            <w:pPr>
              <w:pStyle w:val="TableHeadingWhite"/>
              <w:ind w:left="39" w:right="57" w:firstLine="3"/>
              <w:rPr>
                <w:rFonts w:cs="Arial"/>
                <w:b/>
                <w:noProof/>
                <w:color w:val="002395"/>
                <w:sz w:val="18"/>
                <w:szCs w:val="18"/>
              </w:rPr>
            </w:pPr>
            <w:r w:rsidRPr="009B5734">
              <w:rPr>
                <w:rFonts w:cs="Arial"/>
                <w:noProof/>
                <w:color w:val="002395"/>
                <w:sz w:val="18"/>
                <w:szCs w:val="18"/>
              </w:rPr>
              <w:t xml:space="preserve">The possibility of showing a reparability score (based on a JRC method) will be explored in the future. </w:t>
            </w:r>
          </w:p>
          <w:p w:rsidR="00EA45F9" w:rsidRPr="009B5734" w:rsidRDefault="00EA45F9" w:rsidP="00981615">
            <w:pPr>
              <w:pStyle w:val="TableHeadingWhite"/>
              <w:ind w:left="39" w:right="57" w:firstLine="3"/>
              <w:rPr>
                <w:rFonts w:cs="Arial"/>
                <w:b/>
                <w:noProof/>
                <w:color w:val="002395"/>
                <w:sz w:val="18"/>
                <w:szCs w:val="18"/>
              </w:rPr>
            </w:pPr>
          </w:p>
          <w:p w:rsidR="00EA45F9" w:rsidRPr="009B5734" w:rsidRDefault="00EA45F9" w:rsidP="00981615">
            <w:pPr>
              <w:pStyle w:val="TableHeadingWhite"/>
              <w:ind w:left="39" w:right="57" w:firstLine="3"/>
              <w:rPr>
                <w:rFonts w:cs="Arial"/>
                <w:b/>
                <w:noProof/>
                <w:color w:val="002395"/>
                <w:sz w:val="18"/>
                <w:szCs w:val="18"/>
              </w:rPr>
            </w:pPr>
          </w:p>
        </w:tc>
      </w:tr>
      <w:tr w:rsidR="00EA45F9" w:rsidRPr="009B5734" w:rsidTr="00C84A99">
        <w:trPr>
          <w:cantSplit/>
          <w:trHeight w:val="18"/>
        </w:trPr>
        <w:tc>
          <w:tcPr>
            <w:tcW w:w="523" w:type="pct"/>
            <w:shd w:val="clear" w:color="auto" w:fill="auto"/>
            <w:vAlign w:val="center"/>
          </w:tcPr>
          <w:p w:rsidR="00EA45F9" w:rsidRPr="009B5734" w:rsidRDefault="00EA45F9" w:rsidP="00981615">
            <w:pPr>
              <w:pStyle w:val="TableHeadingWhite"/>
              <w:ind w:left="142" w:right="151" w:firstLine="0"/>
              <w:rPr>
                <w:rFonts w:cs="Arial"/>
                <w:noProof/>
                <w:sz w:val="18"/>
                <w:szCs w:val="18"/>
              </w:rPr>
            </w:pPr>
            <w:r w:rsidRPr="009B5734">
              <w:rPr>
                <w:rFonts w:cs="Arial"/>
                <w:noProof/>
                <w:sz w:val="18"/>
                <w:szCs w:val="18"/>
              </w:rPr>
              <w:t xml:space="preserve">Directive 2018/851/EU </w:t>
            </w:r>
            <w:r w:rsidRPr="009B5734">
              <w:rPr>
                <w:noProof/>
                <w:sz w:val="18"/>
                <w:szCs w:val="18"/>
              </w:rPr>
              <w:t xml:space="preserve">on waste </w:t>
            </w:r>
          </w:p>
        </w:tc>
        <w:tc>
          <w:tcPr>
            <w:tcW w:w="337" w:type="pct"/>
            <w:shd w:val="clear" w:color="auto" w:fill="auto"/>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w:t>
            </w:r>
          </w:p>
        </w:tc>
        <w:tc>
          <w:tcPr>
            <w:tcW w:w="412" w:type="pct"/>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w:t>
            </w:r>
          </w:p>
        </w:tc>
        <w:tc>
          <w:tcPr>
            <w:tcW w:w="486" w:type="pct"/>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w:t>
            </w:r>
          </w:p>
        </w:tc>
        <w:tc>
          <w:tcPr>
            <w:tcW w:w="412" w:type="pct"/>
            <w:shd w:val="clear" w:color="auto" w:fill="auto"/>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lang w:eastAsia="en-GB"/>
              </w:rPr>
              <mc:AlternateContent>
                <mc:Choice Requires="wps">
                  <w:drawing>
                    <wp:inline distT="0" distB="0" distL="0" distR="0" wp14:anchorId="64DD50B1" wp14:editId="196D7816">
                      <wp:extent cx="108000" cy="108000"/>
                      <wp:effectExtent l="0" t="0" r="25400" b="25400"/>
                      <wp:docPr id="58" name="Rectangle 58"/>
                      <wp:cNvGraphicFramePr/>
                      <a:graphic xmlns:a="http://schemas.openxmlformats.org/drawingml/2006/main">
                        <a:graphicData uri="http://schemas.microsoft.com/office/word/2010/wordprocessingShape">
                          <wps:wsp>
                            <wps:cNvSpPr/>
                            <wps:spPr>
                              <a:xfrm>
                                <a:off x="0" y="0"/>
                                <a:ext cx="108000" cy="108000"/>
                              </a:xfrm>
                              <a:prstGeom prst="rect">
                                <a:avLst/>
                              </a:prstGeom>
                              <a:solidFill>
                                <a:sysClr val="window" lastClr="FFFFFF"/>
                              </a:solidFill>
                              <a:ln w="3175"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936141" id="Rectangle 58"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" fillcolor="window" strokecolor="#002395" strokeweight=".25pt">
                      <w10:anchorlock/>
                    </v:rect>
                  </w:pict>
                </mc:Fallback>
              </mc:AlternateContent>
            </w:r>
          </w:p>
        </w:tc>
        <w:tc>
          <w:tcPr>
            <w:tcW w:w="486" w:type="pct"/>
            <w:shd w:val="clear" w:color="auto" w:fill="auto"/>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w:t>
            </w:r>
          </w:p>
        </w:tc>
        <w:tc>
          <w:tcPr>
            <w:tcW w:w="412" w:type="pct"/>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w:t>
            </w:r>
          </w:p>
        </w:tc>
        <w:tc>
          <w:tcPr>
            <w:tcW w:w="374" w:type="pct"/>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Horizontal</w:t>
            </w:r>
          </w:p>
        </w:tc>
        <w:tc>
          <w:tcPr>
            <w:tcW w:w="1559" w:type="pct"/>
          </w:tcPr>
          <w:p w:rsidR="00EA45F9" w:rsidRPr="009B5734" w:rsidRDefault="00EA45F9" w:rsidP="00981615">
            <w:pPr>
              <w:pStyle w:val="TableHeadingWhite"/>
              <w:ind w:left="39" w:right="57" w:firstLine="3"/>
              <w:rPr>
                <w:rFonts w:cs="Arial"/>
                <w:b/>
                <w:noProof/>
                <w:color w:val="002395"/>
                <w:sz w:val="18"/>
                <w:szCs w:val="18"/>
              </w:rPr>
            </w:pPr>
            <w:r w:rsidRPr="009B5734">
              <w:rPr>
                <w:rFonts w:cs="Arial"/>
                <w:noProof/>
                <w:color w:val="002395"/>
                <w:sz w:val="18"/>
                <w:szCs w:val="18"/>
              </w:rPr>
              <w:t xml:space="preserve">The Directive aims to improve and transform waste management in the Union into ‘circular material management’ and facilitate the transition to ‘more sustainable material management and to a circular economy.  </w:t>
            </w:r>
          </w:p>
          <w:p w:rsidR="00EA45F9" w:rsidRPr="009B5734" w:rsidRDefault="00EA45F9" w:rsidP="00981615">
            <w:pPr>
              <w:pStyle w:val="TableHeadingWhite"/>
              <w:ind w:left="39" w:right="57" w:firstLine="3"/>
              <w:rPr>
                <w:rFonts w:cs="Arial"/>
                <w:b/>
                <w:noProof/>
                <w:color w:val="002395"/>
                <w:sz w:val="18"/>
                <w:szCs w:val="18"/>
              </w:rPr>
            </w:pPr>
            <w:r w:rsidRPr="009B5734">
              <w:rPr>
                <w:rFonts w:cs="Arial"/>
                <w:noProof/>
                <w:color w:val="002395"/>
                <w:sz w:val="18"/>
                <w:szCs w:val="18"/>
              </w:rPr>
              <w:t>It provides MS with the opportunity to take options to encourage the design of products to reduce their environmental impacts and the generation of waste by developing, producing and marketing of products that are technically durable ‘and easily reparable’. There is an obligation to modulate fees in the collective Extended Producer’s Responsibility  (EPR) schemes based on criteria such as durability, reparability, reusability and recyclability as well as the presence of hazardous substances, which, however, are not harmonized at EU level (Art. 8a).</w:t>
            </w:r>
          </w:p>
          <w:p w:rsidR="00EA45F9" w:rsidRPr="009B5734" w:rsidRDefault="00EA45F9" w:rsidP="00981615">
            <w:pPr>
              <w:pStyle w:val="TableHeadingWhite"/>
              <w:ind w:left="39" w:right="57" w:firstLine="3"/>
              <w:rPr>
                <w:rFonts w:cs="Arial"/>
                <w:b/>
                <w:noProof/>
                <w:color w:val="002395"/>
                <w:sz w:val="18"/>
                <w:szCs w:val="18"/>
              </w:rPr>
            </w:pPr>
            <w:r w:rsidRPr="009B5734">
              <w:rPr>
                <w:rFonts w:cs="Arial"/>
                <w:noProof/>
                <w:color w:val="002395"/>
                <w:sz w:val="18"/>
                <w:szCs w:val="18"/>
              </w:rPr>
              <w:t xml:space="preserve">Member States must take options to prevent waste generation, including options to ‘encourage the design, manufacturing, and use of products that are resource-efficient, durable (including in terms of life span and absence of planned obsolescence), reparable, re-usable and upgradable. </w:t>
            </w:r>
          </w:p>
          <w:p w:rsidR="00EA45F9" w:rsidRPr="009B5734" w:rsidRDefault="00EA45F9" w:rsidP="00981615">
            <w:pPr>
              <w:pStyle w:val="TableHeadingWhite"/>
              <w:ind w:left="39" w:right="57" w:firstLine="3"/>
              <w:rPr>
                <w:rFonts w:cs="Arial"/>
                <w:b/>
                <w:noProof/>
                <w:color w:val="002395"/>
                <w:sz w:val="18"/>
                <w:szCs w:val="18"/>
              </w:rPr>
            </w:pPr>
            <w:r w:rsidRPr="009B5734">
              <w:rPr>
                <w:rFonts w:cs="Arial"/>
                <w:noProof/>
                <w:color w:val="002395"/>
                <w:sz w:val="18"/>
                <w:szCs w:val="18"/>
              </w:rPr>
              <w:t xml:space="preserve">The legislation does not set out harmonized requirements in relation to durability and </w:t>
            </w:r>
            <w:r w:rsidR="004555D8" w:rsidRPr="009B5734">
              <w:rPr>
                <w:rFonts w:cs="Arial"/>
                <w:noProof/>
                <w:color w:val="002395"/>
                <w:sz w:val="18"/>
                <w:szCs w:val="18"/>
              </w:rPr>
              <w:t>reparability</w:t>
            </w:r>
            <w:r w:rsidRPr="009B5734">
              <w:rPr>
                <w:rFonts w:cs="Arial"/>
                <w:noProof/>
                <w:color w:val="002395"/>
                <w:sz w:val="18"/>
                <w:szCs w:val="18"/>
              </w:rPr>
              <w:t>. In addition to criteria suggested for eco-modulation of collective EPR schemes</w:t>
            </w:r>
            <w:r w:rsidRPr="009B5734">
              <w:rPr>
                <w:noProof/>
                <w:color w:val="002395"/>
                <w:sz w:val="18"/>
              </w:rPr>
              <w:t xml:space="preserve"> (</w:t>
            </w:r>
            <w:r w:rsidRPr="009B5734">
              <w:rPr>
                <w:rFonts w:cs="Arial"/>
                <w:noProof/>
                <w:color w:val="002395"/>
                <w:sz w:val="18"/>
                <w:szCs w:val="18"/>
              </w:rPr>
              <w:t>Articles</w:t>
            </w:r>
            <w:r w:rsidRPr="009B5734">
              <w:rPr>
                <w:noProof/>
                <w:color w:val="002395"/>
                <w:sz w:val="18"/>
              </w:rPr>
              <w:t xml:space="preserve"> 8</w:t>
            </w:r>
            <w:r w:rsidRPr="009B5734">
              <w:rPr>
                <w:rFonts w:cs="Arial"/>
                <w:noProof/>
                <w:color w:val="002395"/>
                <w:sz w:val="18"/>
                <w:szCs w:val="18"/>
              </w:rPr>
              <w:t>, 8a), it rather</w:t>
            </w:r>
            <w:r w:rsidRPr="009B5734">
              <w:rPr>
                <w:noProof/>
                <w:color w:val="002395"/>
                <w:sz w:val="18"/>
              </w:rPr>
              <w:t xml:space="preserve"> requires (Article 9) Member States to encourage the production of durable and reparable products.</w:t>
            </w:r>
            <w:r w:rsidRPr="009B5734">
              <w:rPr>
                <w:noProof/>
                <w:color w:val="000000" w:themeColor="text1"/>
              </w:rPr>
              <w:t xml:space="preserve"> </w:t>
            </w:r>
            <w:r w:rsidRPr="009B5734">
              <w:rPr>
                <w:noProof/>
                <w:color w:val="002395"/>
                <w:sz w:val="18"/>
              </w:rPr>
              <w:t>Member States are required to monitor and assess the implementation of options taken to prevent waste.</w:t>
            </w:r>
            <w:r w:rsidRPr="009B5734">
              <w:rPr>
                <w:rFonts w:cs="Arial"/>
                <w:noProof/>
                <w:color w:val="002395"/>
                <w:sz w:val="18"/>
                <w:szCs w:val="18"/>
              </w:rPr>
              <w:t xml:space="preserve"> </w:t>
            </w:r>
          </w:p>
        </w:tc>
      </w:tr>
      <w:tr w:rsidR="00EA45F9" w:rsidRPr="009B5734" w:rsidTr="00C84A99">
        <w:trPr>
          <w:cantSplit/>
          <w:trHeight w:val="18"/>
        </w:trPr>
        <w:tc>
          <w:tcPr>
            <w:tcW w:w="523" w:type="pct"/>
            <w:shd w:val="clear" w:color="auto" w:fill="auto"/>
            <w:vAlign w:val="center"/>
          </w:tcPr>
          <w:p w:rsidR="00EA45F9" w:rsidRPr="009B5734" w:rsidRDefault="00EA45F9" w:rsidP="00981615">
            <w:pPr>
              <w:pStyle w:val="TableHeadingWhite"/>
              <w:ind w:left="142" w:right="151" w:firstLine="0"/>
              <w:rPr>
                <w:rFonts w:cs="Arial"/>
                <w:noProof/>
                <w:sz w:val="18"/>
                <w:szCs w:val="18"/>
              </w:rPr>
            </w:pPr>
            <w:r w:rsidRPr="009B5734">
              <w:rPr>
                <w:rFonts w:cs="Arial"/>
                <w:noProof/>
                <w:sz w:val="18"/>
                <w:szCs w:val="18"/>
              </w:rPr>
              <w:t>Energy Market Directive 2019/944/EU amending the Energy Efficiency Directive 2012/27/EU</w:t>
            </w:r>
          </w:p>
        </w:tc>
        <w:tc>
          <w:tcPr>
            <w:tcW w:w="337" w:type="pct"/>
            <w:shd w:val="clear" w:color="auto" w:fill="auto"/>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w:t>
            </w:r>
          </w:p>
        </w:tc>
        <w:tc>
          <w:tcPr>
            <w:tcW w:w="412" w:type="pct"/>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w:t>
            </w:r>
          </w:p>
        </w:tc>
        <w:tc>
          <w:tcPr>
            <w:tcW w:w="486" w:type="pct"/>
            <w:vAlign w:val="center"/>
          </w:tcPr>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17A4990B" wp14:editId="2090058D">
                      <wp:extent cx="108000" cy="108000"/>
                      <wp:effectExtent l="0" t="0" r="25400" b="25400"/>
                      <wp:docPr id="81" name="Right Triangle 6"/>
                      <wp:cNvGraphicFramePr/>
                      <a:graphic xmlns:a="http://schemas.openxmlformats.org/drawingml/2006/main">
                        <a:graphicData uri="http://schemas.microsoft.com/office/word/2010/wordprocessingShape">
                          <wps:wsp>
                            <wps:cNvSpPr/>
                            <wps:spPr>
                              <a:xfrm>
                                <a:off x="0" y="0"/>
                                <a:ext cx="108000" cy="108000"/>
                              </a:xfrm>
                              <a:prstGeom prst="rtTriangle">
                                <a:avLst/>
                              </a:prstGeom>
                              <a:noFill/>
                              <a:ln w="3175"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4063560" id="Right Triangle 6"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" filled="f" strokecolor="#002395" strokeweight=".25pt">
                      <w10:anchorlock/>
                    </v:shape>
                  </w:pict>
                </mc:Fallback>
              </mc:AlternateContent>
            </w:r>
          </w:p>
        </w:tc>
        <w:tc>
          <w:tcPr>
            <w:tcW w:w="412" w:type="pct"/>
            <w:shd w:val="clear" w:color="auto" w:fill="auto"/>
            <w:vAlign w:val="center"/>
          </w:tcPr>
          <w:p w:rsidR="00EA45F9" w:rsidRPr="009B5734" w:rsidRDefault="00EA45F9" w:rsidP="00981615">
            <w:pPr>
              <w:pStyle w:val="TableHeadingWhite"/>
              <w:jc w:val="center"/>
              <w:rPr>
                <w:rFonts w:cs="Arial"/>
                <w:noProof/>
                <w:color w:val="002395"/>
                <w:szCs w:val="20"/>
                <w:lang w:eastAsia="fr-BE"/>
              </w:rPr>
            </w:pPr>
            <w:r w:rsidRPr="009B5734">
              <w:rPr>
                <w:rFonts w:cs="Arial"/>
                <w:noProof/>
                <w:color w:val="002395"/>
                <w:szCs w:val="20"/>
                <w:lang w:eastAsia="fr-BE"/>
              </w:rPr>
              <w:t>/</w:t>
            </w:r>
          </w:p>
        </w:tc>
        <w:tc>
          <w:tcPr>
            <w:tcW w:w="486" w:type="pct"/>
            <w:shd w:val="clear" w:color="auto" w:fill="auto"/>
            <w:vAlign w:val="center"/>
          </w:tcPr>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5031C1CC" wp14:editId="1FE48534">
                      <wp:extent cx="108000" cy="108000"/>
                      <wp:effectExtent l="0" t="0" r="25400" b="25400"/>
                      <wp:docPr id="82" name="Right Triangle 6"/>
                      <wp:cNvGraphicFramePr/>
                      <a:graphic xmlns:a="http://schemas.openxmlformats.org/drawingml/2006/main">
                        <a:graphicData uri="http://schemas.microsoft.com/office/word/2010/wordprocessingShape">
                          <wps:wsp>
                            <wps:cNvSpPr/>
                            <wps:spPr>
                              <a:xfrm>
                                <a:off x="0" y="0"/>
                                <a:ext cx="108000" cy="108000"/>
                              </a:xfrm>
                              <a:prstGeom prst="rtTriangle">
                                <a:avLst/>
                              </a:prstGeom>
                              <a:noFill/>
                              <a:ln w="3175"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C3A990F" id="Right Triangle 6"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" filled="f" strokecolor="#002395" strokeweight=".25pt">
                      <w10:anchorlock/>
                    </v:shape>
                  </w:pict>
                </mc:Fallback>
              </mc:AlternateContent>
            </w:r>
          </w:p>
        </w:tc>
        <w:tc>
          <w:tcPr>
            <w:tcW w:w="412" w:type="pct"/>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w:t>
            </w:r>
          </w:p>
        </w:tc>
        <w:tc>
          <w:tcPr>
            <w:tcW w:w="374" w:type="pct"/>
            <w:vAlign w:val="center"/>
          </w:tcPr>
          <w:p w:rsidR="00EA45F9" w:rsidRPr="009B5734" w:rsidRDefault="00EA45F9" w:rsidP="00981615">
            <w:pPr>
              <w:pStyle w:val="TableHeadingWhite"/>
              <w:ind w:left="73" w:hanging="73"/>
              <w:jc w:val="center"/>
              <w:rPr>
                <w:rFonts w:cs="Arial"/>
                <w:noProof/>
                <w:color w:val="002395"/>
                <w:szCs w:val="20"/>
              </w:rPr>
            </w:pPr>
            <w:r w:rsidRPr="009B5734">
              <w:rPr>
                <w:rFonts w:cs="Arial"/>
                <w:noProof/>
                <w:color w:val="002395"/>
                <w:szCs w:val="20"/>
              </w:rPr>
              <w:t>Horizontal</w:t>
            </w:r>
          </w:p>
          <w:p w:rsidR="00EA45F9" w:rsidRPr="009B5734" w:rsidRDefault="00EA45F9" w:rsidP="00981615">
            <w:pPr>
              <w:pStyle w:val="TableHeadingWhite"/>
              <w:ind w:left="73" w:hanging="73"/>
              <w:jc w:val="center"/>
              <w:rPr>
                <w:rFonts w:cs="Arial"/>
                <w:noProof/>
                <w:color w:val="002395"/>
                <w:szCs w:val="20"/>
              </w:rPr>
            </w:pPr>
            <w:r w:rsidRPr="009B5734">
              <w:rPr>
                <w:rFonts w:cs="Arial"/>
                <w:noProof/>
                <w:color w:val="002395"/>
                <w:szCs w:val="20"/>
              </w:rPr>
              <w:t>Energy generation and storage</w:t>
            </w:r>
          </w:p>
        </w:tc>
        <w:tc>
          <w:tcPr>
            <w:tcW w:w="1559" w:type="pct"/>
          </w:tcPr>
          <w:p w:rsidR="00EA45F9" w:rsidRPr="009B5734" w:rsidRDefault="00EA45F9" w:rsidP="00981615">
            <w:pPr>
              <w:pStyle w:val="TableHeadingWhite"/>
              <w:ind w:left="39" w:right="57" w:firstLine="3"/>
              <w:rPr>
                <w:rFonts w:cs="Arial"/>
                <w:b/>
                <w:noProof/>
                <w:color w:val="002395"/>
                <w:sz w:val="18"/>
                <w:szCs w:val="18"/>
              </w:rPr>
            </w:pPr>
            <w:r w:rsidRPr="009B5734">
              <w:rPr>
                <w:rFonts w:cs="Arial"/>
                <w:noProof/>
                <w:color w:val="002395"/>
                <w:sz w:val="18"/>
                <w:szCs w:val="18"/>
              </w:rPr>
              <w:t xml:space="preserve">It establishes common rules for the generation, transmission, distribution, energy storage and supply of electricity, together with consumer protection provisions, with a view to creating truly integrated competitive, consumer-centred, flexible, fair and transparent electricity markets in the Union. </w:t>
            </w:r>
          </w:p>
          <w:p w:rsidR="00EA45F9" w:rsidRPr="009B5734" w:rsidRDefault="00EA45F9" w:rsidP="00981615">
            <w:pPr>
              <w:pStyle w:val="TableHeadingWhite"/>
              <w:spacing w:after="120"/>
              <w:ind w:left="39" w:right="57" w:firstLine="3"/>
              <w:rPr>
                <w:rFonts w:cs="Arial"/>
                <w:b/>
                <w:noProof/>
                <w:color w:val="002395"/>
                <w:sz w:val="18"/>
                <w:szCs w:val="18"/>
              </w:rPr>
            </w:pPr>
            <w:r w:rsidRPr="009B5734">
              <w:rPr>
                <w:rFonts w:cs="Arial"/>
                <w:noProof/>
                <w:color w:val="002395"/>
                <w:sz w:val="18"/>
                <w:szCs w:val="18"/>
              </w:rPr>
              <w:t xml:space="preserve">The Directive does not directly concern the areas of the IA, however, it has strong information elements, especially with regard to consumer rights, for example when choosing an energy supplier. It implicitly contributes to preventing greenwashing, as it ensures consumers are well informed. </w:t>
            </w:r>
          </w:p>
          <w:p w:rsidR="00EA45F9" w:rsidRPr="009B5734" w:rsidRDefault="00EA45F9" w:rsidP="00981615">
            <w:pPr>
              <w:pStyle w:val="TableHeadingWhite"/>
              <w:spacing w:after="120"/>
              <w:ind w:left="39" w:right="57" w:firstLine="3"/>
              <w:rPr>
                <w:rFonts w:cs="Arial"/>
                <w:b/>
                <w:noProof/>
                <w:color w:val="002395"/>
                <w:sz w:val="18"/>
                <w:szCs w:val="18"/>
              </w:rPr>
            </w:pPr>
            <w:r w:rsidRPr="009B5734">
              <w:rPr>
                <w:rFonts w:cs="Arial"/>
                <w:noProof/>
                <w:color w:val="002395"/>
                <w:sz w:val="18"/>
                <w:szCs w:val="18"/>
              </w:rPr>
              <w:t xml:space="preserve">The enforcement system designed to ensure the implementation of the internal market on electricity is applicable. </w:t>
            </w:r>
          </w:p>
        </w:tc>
      </w:tr>
      <w:tr w:rsidR="00EA45F9" w:rsidRPr="009B5734" w:rsidTr="00C84A99">
        <w:trPr>
          <w:cantSplit/>
          <w:trHeight w:val="18"/>
        </w:trPr>
        <w:tc>
          <w:tcPr>
            <w:tcW w:w="523" w:type="pct"/>
            <w:shd w:val="clear" w:color="auto" w:fill="auto"/>
            <w:vAlign w:val="center"/>
          </w:tcPr>
          <w:p w:rsidR="00EA45F9" w:rsidRPr="009B5734" w:rsidRDefault="00EA45F9" w:rsidP="00981615">
            <w:pPr>
              <w:pStyle w:val="TableHeadingWhite"/>
              <w:ind w:left="142" w:right="151" w:firstLine="0"/>
              <w:rPr>
                <w:rFonts w:cs="Arial"/>
                <w:noProof/>
                <w:sz w:val="18"/>
                <w:szCs w:val="18"/>
              </w:rPr>
            </w:pPr>
          </w:p>
          <w:p w:rsidR="00EA45F9" w:rsidRPr="009B5734" w:rsidRDefault="00EA45F9" w:rsidP="00981615">
            <w:pPr>
              <w:pStyle w:val="TableHeadingWhite"/>
              <w:ind w:left="142" w:right="151" w:firstLine="0"/>
              <w:rPr>
                <w:rFonts w:cs="Arial"/>
                <w:noProof/>
                <w:sz w:val="18"/>
                <w:szCs w:val="18"/>
              </w:rPr>
            </w:pPr>
            <w:r w:rsidRPr="009B5734">
              <w:rPr>
                <w:rFonts w:cs="Arial"/>
                <w:noProof/>
                <w:sz w:val="18"/>
                <w:szCs w:val="18"/>
              </w:rPr>
              <w:t xml:space="preserve">Renewable Energy Directive 2018/2001/EU </w:t>
            </w:r>
          </w:p>
          <w:p w:rsidR="00EA45F9" w:rsidRPr="009B5734" w:rsidRDefault="00EA45F9" w:rsidP="00981615">
            <w:pPr>
              <w:pStyle w:val="TableHeadingWhite"/>
              <w:ind w:left="142" w:right="151" w:firstLine="0"/>
              <w:rPr>
                <w:rFonts w:cs="Arial"/>
                <w:noProof/>
                <w:sz w:val="18"/>
                <w:szCs w:val="18"/>
              </w:rPr>
            </w:pPr>
            <w:r w:rsidRPr="009B5734">
              <w:rPr>
                <w:rFonts w:cs="Arial"/>
                <w:noProof/>
                <w:sz w:val="18"/>
                <w:szCs w:val="18"/>
              </w:rPr>
              <w:t>recasting Directive 2009/28/EC, Directive 2015/1513/EU and Directive 2013/18/EU</w:t>
            </w:r>
          </w:p>
          <w:p w:rsidR="00EA45F9" w:rsidRPr="009B5734" w:rsidRDefault="00EA45F9" w:rsidP="00981615">
            <w:pPr>
              <w:pStyle w:val="TableHeadingWhite"/>
              <w:ind w:left="142" w:right="151" w:firstLine="0"/>
              <w:rPr>
                <w:rFonts w:cs="Arial"/>
                <w:noProof/>
                <w:sz w:val="18"/>
                <w:szCs w:val="18"/>
              </w:rPr>
            </w:pPr>
          </w:p>
          <w:p w:rsidR="00EA45F9" w:rsidRPr="009B5734" w:rsidRDefault="00EA45F9" w:rsidP="00981615">
            <w:pPr>
              <w:pStyle w:val="TableHeadingWhite"/>
              <w:ind w:left="142" w:right="151" w:firstLine="0"/>
              <w:rPr>
                <w:rFonts w:cs="Arial"/>
                <w:noProof/>
                <w:sz w:val="18"/>
                <w:szCs w:val="18"/>
              </w:rPr>
            </w:pPr>
          </w:p>
        </w:tc>
        <w:tc>
          <w:tcPr>
            <w:tcW w:w="337" w:type="pct"/>
            <w:shd w:val="clear" w:color="auto" w:fill="auto"/>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w:t>
            </w:r>
          </w:p>
        </w:tc>
        <w:tc>
          <w:tcPr>
            <w:tcW w:w="412" w:type="pct"/>
            <w:vAlign w:val="center"/>
          </w:tcPr>
          <w:p w:rsidR="00EA45F9" w:rsidRPr="009B5734" w:rsidRDefault="00EA45F9" w:rsidP="00981615">
            <w:pPr>
              <w:pStyle w:val="TableHeadingWhite"/>
              <w:jc w:val="center"/>
              <w:rPr>
                <w:rFonts w:cs="Arial"/>
                <w:noProof/>
                <w:color w:val="002395"/>
                <w:szCs w:val="20"/>
              </w:rPr>
            </w:pPr>
          </w:p>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w:t>
            </w:r>
          </w:p>
          <w:p w:rsidR="00EA45F9" w:rsidRPr="009B5734" w:rsidRDefault="00EA45F9" w:rsidP="00981615">
            <w:pPr>
              <w:pStyle w:val="TableHeadingWhite"/>
              <w:jc w:val="center"/>
              <w:rPr>
                <w:rFonts w:cs="Arial"/>
                <w:noProof/>
                <w:color w:val="002395"/>
                <w:szCs w:val="20"/>
              </w:rPr>
            </w:pPr>
          </w:p>
        </w:tc>
        <w:tc>
          <w:tcPr>
            <w:tcW w:w="486" w:type="pct"/>
            <w:vAlign w:val="center"/>
          </w:tcPr>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1CD6EA6B" wp14:editId="7BEBCC21">
                      <wp:extent cx="108000" cy="108000"/>
                      <wp:effectExtent l="0" t="0" r="25400" b="25400"/>
                      <wp:docPr id="84" name="Right Triangle 6"/>
                      <wp:cNvGraphicFramePr/>
                      <a:graphic xmlns:a="http://schemas.openxmlformats.org/drawingml/2006/main">
                        <a:graphicData uri="http://schemas.microsoft.com/office/word/2010/wordprocessingShape">
                          <wps:wsp>
                            <wps:cNvSpPr/>
                            <wps:spPr>
                              <a:xfrm>
                                <a:off x="0" y="0"/>
                                <a:ext cx="108000" cy="108000"/>
                              </a:xfrm>
                              <a:prstGeom prst="rtTriangle">
                                <a:avLst/>
                              </a:prstGeom>
                              <a:noFill/>
                              <a:ln w="3175"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6C8806" id="Right Triangle 6"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" filled="f" strokecolor="#002395" strokeweight=".25pt">
                      <w10:anchorlock/>
                    </v:shape>
                  </w:pict>
                </mc:Fallback>
              </mc:AlternateContent>
            </w:r>
          </w:p>
        </w:tc>
        <w:tc>
          <w:tcPr>
            <w:tcW w:w="412" w:type="pct"/>
            <w:shd w:val="clear" w:color="auto" w:fill="auto"/>
            <w:vAlign w:val="center"/>
          </w:tcPr>
          <w:p w:rsidR="00EA45F9" w:rsidRPr="009B5734" w:rsidRDefault="00EA45F9" w:rsidP="00981615">
            <w:pPr>
              <w:pStyle w:val="TableHeadingWhite"/>
              <w:jc w:val="center"/>
              <w:rPr>
                <w:rFonts w:cs="Arial"/>
                <w:noProof/>
                <w:color w:val="002395"/>
                <w:szCs w:val="20"/>
                <w:lang w:eastAsia="fr-BE"/>
              </w:rPr>
            </w:pPr>
            <w:r w:rsidRPr="009B5734">
              <w:rPr>
                <w:rFonts w:cs="Arial"/>
                <w:noProof/>
                <w:color w:val="002395"/>
                <w:szCs w:val="20"/>
                <w:lang w:eastAsia="fr-BE"/>
              </w:rPr>
              <w:t>/</w:t>
            </w:r>
          </w:p>
        </w:tc>
        <w:tc>
          <w:tcPr>
            <w:tcW w:w="486" w:type="pct"/>
            <w:shd w:val="clear" w:color="auto" w:fill="auto"/>
            <w:vAlign w:val="center"/>
          </w:tcPr>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20031636" wp14:editId="3177D1C9">
                      <wp:extent cx="108000" cy="108000"/>
                      <wp:effectExtent l="0" t="0" r="25400" b="25400"/>
                      <wp:docPr id="85" name="Right Triangle 6"/>
                      <wp:cNvGraphicFramePr/>
                      <a:graphic xmlns:a="http://schemas.openxmlformats.org/drawingml/2006/main">
                        <a:graphicData uri="http://schemas.microsoft.com/office/word/2010/wordprocessingShape">
                          <wps:wsp>
                            <wps:cNvSpPr/>
                            <wps:spPr>
                              <a:xfrm>
                                <a:off x="0" y="0"/>
                                <a:ext cx="108000" cy="108000"/>
                              </a:xfrm>
                              <a:prstGeom prst="rtTriangle">
                                <a:avLst/>
                              </a:prstGeom>
                              <a:noFill/>
                              <a:ln w="3175"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F23349A" id="Right Triangle 6"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" filled="f" strokecolor="#002395" strokeweight=".25pt">
                      <w10:anchorlock/>
                    </v:shape>
                  </w:pict>
                </mc:Fallback>
              </mc:AlternateContent>
            </w:r>
          </w:p>
        </w:tc>
        <w:tc>
          <w:tcPr>
            <w:tcW w:w="412" w:type="pct"/>
            <w:vAlign w:val="center"/>
          </w:tcPr>
          <w:p w:rsidR="00EA45F9" w:rsidRPr="009B5734" w:rsidRDefault="00EA45F9" w:rsidP="00981615">
            <w:pPr>
              <w:pStyle w:val="TableHeadingWhite"/>
              <w:jc w:val="center"/>
              <w:rPr>
                <w:rFonts w:cs="Arial"/>
                <w:noProof/>
                <w:color w:val="002395"/>
                <w:szCs w:val="20"/>
              </w:rPr>
            </w:pPr>
          </w:p>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5CB7E063" wp14:editId="1528240A">
                      <wp:extent cx="108000" cy="108000"/>
                      <wp:effectExtent l="0" t="0" r="25400" b="25400"/>
                      <wp:docPr id="86" name="Right Triangle 6"/>
                      <wp:cNvGraphicFramePr/>
                      <a:graphic xmlns:a="http://schemas.openxmlformats.org/drawingml/2006/main">
                        <a:graphicData uri="http://schemas.microsoft.com/office/word/2010/wordprocessingShape">
                          <wps:wsp>
                            <wps:cNvSpPr/>
                            <wps:spPr>
                              <a:xfrm>
                                <a:off x="0" y="0"/>
                                <a:ext cx="108000" cy="108000"/>
                              </a:xfrm>
                              <a:prstGeom prst="rtTriangle">
                                <a:avLst/>
                              </a:prstGeom>
                              <a:noFill/>
                              <a:ln w="3175"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E25EEB3" id="Right Triangle 6"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" filled="f" strokecolor="#002395" strokeweight=".25pt">
                      <w10:anchorlock/>
                    </v:shape>
                  </w:pict>
                </mc:Fallback>
              </mc:AlternateContent>
            </w:r>
          </w:p>
          <w:p w:rsidR="00EA45F9" w:rsidRPr="009B5734" w:rsidRDefault="00EA45F9" w:rsidP="00981615">
            <w:pPr>
              <w:pStyle w:val="TableHeadingWhite"/>
              <w:jc w:val="center"/>
              <w:rPr>
                <w:rFonts w:cs="Arial"/>
                <w:noProof/>
                <w:color w:val="002395"/>
                <w:szCs w:val="20"/>
              </w:rPr>
            </w:pPr>
          </w:p>
        </w:tc>
        <w:tc>
          <w:tcPr>
            <w:tcW w:w="374" w:type="pct"/>
            <w:vAlign w:val="center"/>
          </w:tcPr>
          <w:p w:rsidR="00EA45F9" w:rsidRPr="009B5734" w:rsidRDefault="00EA45F9" w:rsidP="00981615">
            <w:pPr>
              <w:pStyle w:val="TableHeadingWhite"/>
              <w:ind w:left="73" w:hanging="73"/>
              <w:jc w:val="center"/>
              <w:rPr>
                <w:rFonts w:cs="Arial"/>
                <w:noProof/>
                <w:color w:val="002395"/>
                <w:szCs w:val="20"/>
              </w:rPr>
            </w:pPr>
            <w:r w:rsidRPr="009B5734">
              <w:rPr>
                <w:rFonts w:cs="Arial"/>
                <w:noProof/>
                <w:color w:val="002395"/>
                <w:szCs w:val="20"/>
              </w:rPr>
              <w:t>Horizontal</w:t>
            </w:r>
          </w:p>
          <w:p w:rsidR="00EA45F9" w:rsidRPr="009B5734" w:rsidRDefault="00EA45F9" w:rsidP="00981615">
            <w:pPr>
              <w:pStyle w:val="TableHeadingWhite"/>
              <w:ind w:left="73" w:hanging="73"/>
              <w:jc w:val="center"/>
              <w:rPr>
                <w:rFonts w:cs="Arial"/>
                <w:noProof/>
                <w:color w:val="002395"/>
                <w:szCs w:val="20"/>
              </w:rPr>
            </w:pPr>
            <w:r w:rsidRPr="009B5734">
              <w:rPr>
                <w:rFonts w:cs="Arial"/>
                <w:noProof/>
                <w:color w:val="002395"/>
                <w:szCs w:val="20"/>
              </w:rPr>
              <w:t>Energy sources</w:t>
            </w:r>
          </w:p>
        </w:tc>
        <w:tc>
          <w:tcPr>
            <w:tcW w:w="1559" w:type="pct"/>
          </w:tcPr>
          <w:p w:rsidR="00EA45F9" w:rsidRPr="009B5734" w:rsidRDefault="00EA45F9" w:rsidP="00981615">
            <w:pPr>
              <w:pStyle w:val="TableHeadingWhite"/>
              <w:ind w:left="39" w:right="57" w:firstLine="3"/>
              <w:rPr>
                <w:rFonts w:cs="Arial"/>
                <w:b/>
                <w:noProof/>
                <w:color w:val="002395"/>
                <w:sz w:val="18"/>
                <w:szCs w:val="18"/>
              </w:rPr>
            </w:pPr>
            <w:r w:rsidRPr="009B5734">
              <w:rPr>
                <w:rFonts w:cs="Arial"/>
                <w:noProof/>
                <w:color w:val="002395"/>
                <w:sz w:val="18"/>
                <w:szCs w:val="18"/>
              </w:rPr>
              <w:t xml:space="preserve">The Renewable Energy Directive promotes the use of renewable energy sources by consumers. It primarily concerns the sustainability of energy – both in terms of reducing the need for conventional energy by promoting and facilitating the use of renewable energy, but also ensures the sustainability of renewable energy itself, through the guarantee of origin and certification systems. </w:t>
            </w:r>
          </w:p>
          <w:p w:rsidR="00EA45F9" w:rsidRPr="009B5734" w:rsidRDefault="00EA45F9" w:rsidP="00981615">
            <w:pPr>
              <w:pStyle w:val="TableHeadingWhite"/>
              <w:ind w:left="39" w:right="57" w:firstLine="3"/>
              <w:rPr>
                <w:rFonts w:cs="Arial"/>
                <w:b/>
                <w:noProof/>
                <w:color w:val="002395"/>
                <w:sz w:val="18"/>
                <w:szCs w:val="18"/>
              </w:rPr>
            </w:pPr>
            <w:r w:rsidRPr="009B5734">
              <w:rPr>
                <w:rFonts w:cs="Arial"/>
                <w:noProof/>
                <w:color w:val="002395"/>
                <w:sz w:val="18"/>
                <w:szCs w:val="18"/>
              </w:rPr>
              <w:t xml:space="preserve">The Directive has a strong information requirement, which, coupled with the certifications, reduces the amount of greenwashing. It requires consumers, as well as other stakeholders, are clearly and accurately informed, with regard to the energy options available to them as well as the origin of the energy. The guarantee of origin ensures suppliers have sourced renewable fuels (e.g. for biofuels). It also facilitates self-consumption by clarifying the legal and regulatory framework and ensuring that justified, fair/and non-discriminatory rules are applied to final or household customers. </w:t>
            </w:r>
          </w:p>
        </w:tc>
      </w:tr>
      <w:tr w:rsidR="00EA45F9" w:rsidRPr="009B5734" w:rsidTr="00C84A99">
        <w:trPr>
          <w:cantSplit/>
          <w:trHeight w:val="18"/>
        </w:trPr>
        <w:tc>
          <w:tcPr>
            <w:tcW w:w="523" w:type="pct"/>
            <w:shd w:val="clear" w:color="auto" w:fill="auto"/>
            <w:vAlign w:val="center"/>
          </w:tcPr>
          <w:p w:rsidR="00EA45F9" w:rsidRPr="009B5734" w:rsidRDefault="00EA45F9" w:rsidP="00981615">
            <w:pPr>
              <w:pStyle w:val="TableHeadingWhite"/>
              <w:ind w:left="142" w:right="151" w:firstLine="0"/>
              <w:rPr>
                <w:rFonts w:cs="Arial"/>
                <w:noProof/>
                <w:sz w:val="18"/>
                <w:szCs w:val="18"/>
              </w:rPr>
            </w:pPr>
            <w:r w:rsidRPr="009B5734">
              <w:rPr>
                <w:rFonts w:cs="Arial"/>
                <w:noProof/>
                <w:sz w:val="18"/>
                <w:szCs w:val="18"/>
              </w:rPr>
              <w:t>Car labelling Directive 1999/94/EC</w:t>
            </w:r>
          </w:p>
          <w:p w:rsidR="00EA45F9" w:rsidRPr="009B5734" w:rsidRDefault="00EA45F9" w:rsidP="00981615">
            <w:pPr>
              <w:pStyle w:val="TableHeadingWhite"/>
              <w:ind w:left="142" w:right="151" w:firstLine="0"/>
              <w:rPr>
                <w:rFonts w:cs="Arial"/>
                <w:noProof/>
                <w:sz w:val="18"/>
                <w:szCs w:val="18"/>
              </w:rPr>
            </w:pPr>
          </w:p>
        </w:tc>
        <w:tc>
          <w:tcPr>
            <w:tcW w:w="337" w:type="pct"/>
            <w:shd w:val="clear" w:color="auto" w:fill="auto"/>
            <w:vAlign w:val="center"/>
          </w:tcPr>
          <w:p w:rsidR="00EA45F9" w:rsidRPr="009B5734" w:rsidRDefault="00EA45F9" w:rsidP="00981615">
            <w:pPr>
              <w:pStyle w:val="TableHeadingWhite"/>
              <w:jc w:val="center"/>
              <w:rPr>
                <w:rFonts w:cs="Arial"/>
                <w:noProof/>
                <w:color w:val="002395"/>
                <w:szCs w:val="20"/>
              </w:rPr>
            </w:pPr>
          </w:p>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3FFB4097" wp14:editId="24E9BA19">
                      <wp:extent cx="108000" cy="108000"/>
                      <wp:effectExtent l="0" t="0" r="25400" b="25400"/>
                      <wp:docPr id="74" name="Right Triangle 6"/>
                      <wp:cNvGraphicFramePr/>
                      <a:graphic xmlns:a="http://schemas.openxmlformats.org/drawingml/2006/main">
                        <a:graphicData uri="http://schemas.microsoft.com/office/word/2010/wordprocessingShape">
                          <wps:wsp>
                            <wps:cNvSpPr/>
                            <wps:spPr>
                              <a:xfrm>
                                <a:off x="0" y="0"/>
                                <a:ext cx="108000" cy="108000"/>
                              </a:xfrm>
                              <a:prstGeom prst="rtTriangle">
                                <a:avLst/>
                              </a:prstGeom>
                              <a:noFill/>
                              <a:ln w="3175"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2CA83D" id="Right Triangle 6"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" filled="f" strokecolor="#002395" strokeweight=".25pt">
                      <w10:anchorlock/>
                    </v:shape>
                  </w:pict>
                </mc:Fallback>
              </mc:AlternateContent>
            </w:r>
          </w:p>
        </w:tc>
        <w:tc>
          <w:tcPr>
            <w:tcW w:w="412" w:type="pct"/>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w:t>
            </w:r>
          </w:p>
        </w:tc>
        <w:tc>
          <w:tcPr>
            <w:tcW w:w="486" w:type="pct"/>
            <w:vAlign w:val="center"/>
          </w:tcPr>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3595115F" wp14:editId="32C83D82">
                      <wp:extent cx="108000" cy="108000"/>
                      <wp:effectExtent l="0" t="0" r="25400" b="25400"/>
                      <wp:docPr id="73" name="Right Triangle 6"/>
                      <wp:cNvGraphicFramePr/>
                      <a:graphic xmlns:a="http://schemas.openxmlformats.org/drawingml/2006/main">
                        <a:graphicData uri="http://schemas.microsoft.com/office/word/2010/wordprocessingShape">
                          <wps:wsp>
                            <wps:cNvSpPr/>
                            <wps:spPr>
                              <a:xfrm>
                                <a:off x="0" y="0"/>
                                <a:ext cx="108000" cy="108000"/>
                              </a:xfrm>
                              <a:prstGeom prst="rtTriangle">
                                <a:avLst/>
                              </a:prstGeom>
                              <a:noFill/>
                              <a:ln w="3175">
                                <a:solidFill>
                                  <a:srgbClr val="0023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0B2C7DE" id="Right Triangle 6"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" filled="f" strokecolor="#002395" strokeweight=".25pt">
                      <w10:anchorlock/>
                    </v:shape>
                  </w:pict>
                </mc:Fallback>
              </mc:AlternateContent>
            </w:r>
          </w:p>
        </w:tc>
        <w:tc>
          <w:tcPr>
            <w:tcW w:w="412" w:type="pct"/>
            <w:shd w:val="clear" w:color="auto" w:fill="auto"/>
            <w:vAlign w:val="center"/>
          </w:tcPr>
          <w:p w:rsidR="00EA45F9" w:rsidRPr="009B5734" w:rsidRDefault="00EA45F9" w:rsidP="00981615">
            <w:pPr>
              <w:pStyle w:val="TableHeadingWhite"/>
              <w:jc w:val="center"/>
              <w:rPr>
                <w:rFonts w:cs="Arial"/>
                <w:noProof/>
                <w:color w:val="002395"/>
                <w:szCs w:val="20"/>
                <w:lang w:eastAsia="fr-BE"/>
              </w:rPr>
            </w:pPr>
          </w:p>
          <w:p w:rsidR="00EA45F9" w:rsidRPr="009B5734" w:rsidRDefault="00EA45F9" w:rsidP="00981615">
            <w:pPr>
              <w:pStyle w:val="TableHeadingWhite"/>
              <w:jc w:val="center"/>
              <w:rPr>
                <w:rFonts w:cs="Arial"/>
                <w:noProof/>
                <w:color w:val="002395"/>
                <w:szCs w:val="20"/>
                <w:lang w:eastAsia="fr-BE"/>
              </w:rPr>
            </w:pPr>
            <w:r w:rsidRPr="009B5734">
              <w:rPr>
                <w:rFonts w:cs="Arial"/>
                <w:noProof/>
                <w:color w:val="002395"/>
                <w:szCs w:val="20"/>
                <w:lang w:eastAsia="fr-BE"/>
              </w:rPr>
              <w:t>/</w:t>
            </w:r>
          </w:p>
        </w:tc>
        <w:tc>
          <w:tcPr>
            <w:tcW w:w="486" w:type="pct"/>
            <w:shd w:val="clear" w:color="auto" w:fill="auto"/>
            <w:vAlign w:val="center"/>
          </w:tcPr>
          <w:p w:rsidR="00EA45F9" w:rsidRPr="009B5734" w:rsidRDefault="00EA45F9" w:rsidP="00981615">
            <w:pPr>
              <w:pStyle w:val="TableHeadingWhite"/>
              <w:jc w:val="center"/>
              <w:rPr>
                <w:rFonts w:cs="Arial"/>
                <w:noProof/>
                <w:color w:val="002395"/>
                <w:szCs w:val="20"/>
              </w:rPr>
            </w:pPr>
          </w:p>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46EC6F74" wp14:editId="777C9D10">
                      <wp:extent cx="108000" cy="108000"/>
                      <wp:effectExtent l="0" t="0" r="25400" b="25400"/>
                      <wp:docPr id="72" name="Right Triangle 6"/>
                      <wp:cNvGraphicFramePr/>
                      <a:graphic xmlns:a="http://schemas.openxmlformats.org/drawingml/2006/main">
                        <a:graphicData uri="http://schemas.microsoft.com/office/word/2010/wordprocessingShape">
                          <wps:wsp>
                            <wps:cNvSpPr/>
                            <wps:spPr>
                              <a:xfrm>
                                <a:off x="0" y="0"/>
                                <a:ext cx="108000" cy="108000"/>
                              </a:xfrm>
                              <a:prstGeom prst="rtTriangle">
                                <a:avLst/>
                              </a:prstGeom>
                              <a:noFill/>
                              <a:ln w="3175"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A6B28F" id="Right Triangle 6"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" filled="f" strokecolor="#002395" strokeweight=".25pt">
                      <w10:anchorlock/>
                    </v:shape>
                  </w:pict>
                </mc:Fallback>
              </mc:AlternateContent>
            </w:r>
          </w:p>
        </w:tc>
        <w:tc>
          <w:tcPr>
            <w:tcW w:w="412" w:type="pct"/>
            <w:vAlign w:val="center"/>
          </w:tcPr>
          <w:p w:rsidR="00EA45F9" w:rsidRPr="009B5734" w:rsidRDefault="00EA45F9" w:rsidP="00981615">
            <w:pPr>
              <w:pStyle w:val="TableHeadingWhite"/>
              <w:jc w:val="center"/>
              <w:rPr>
                <w:rFonts w:cs="Arial"/>
                <w:noProof/>
                <w:color w:val="002395"/>
                <w:szCs w:val="20"/>
              </w:rPr>
            </w:pPr>
          </w:p>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02A26C8C" wp14:editId="2C2AE28B">
                      <wp:extent cx="108000" cy="108000"/>
                      <wp:effectExtent l="0" t="0" r="25400" b="25400"/>
                      <wp:docPr id="71" name="Right Triangle 6"/>
                      <wp:cNvGraphicFramePr/>
                      <a:graphic xmlns:a="http://schemas.openxmlformats.org/drawingml/2006/main">
                        <a:graphicData uri="http://schemas.microsoft.com/office/word/2010/wordprocessingShape">
                          <wps:wsp>
                            <wps:cNvSpPr/>
                            <wps:spPr>
                              <a:xfrm>
                                <a:off x="0" y="0"/>
                                <a:ext cx="108000" cy="108000"/>
                              </a:xfrm>
                              <a:prstGeom prst="rtTriangle">
                                <a:avLst/>
                              </a:prstGeom>
                              <a:noFill/>
                              <a:ln w="3175"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B560DD9" id="Right Triangle 6"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" filled="f" strokecolor="#002395" strokeweight=".25pt">
                      <w10:anchorlock/>
                    </v:shape>
                  </w:pict>
                </mc:Fallback>
              </mc:AlternateContent>
            </w:r>
          </w:p>
        </w:tc>
        <w:tc>
          <w:tcPr>
            <w:tcW w:w="374" w:type="pct"/>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Cars</w:t>
            </w:r>
          </w:p>
        </w:tc>
        <w:tc>
          <w:tcPr>
            <w:tcW w:w="1559" w:type="pct"/>
          </w:tcPr>
          <w:p w:rsidR="00EA45F9" w:rsidRPr="009B5734" w:rsidRDefault="00EA45F9" w:rsidP="00981615">
            <w:pPr>
              <w:pStyle w:val="TableHeadingWhite"/>
              <w:ind w:left="39" w:right="57" w:firstLine="3"/>
              <w:rPr>
                <w:rFonts w:cs="Arial"/>
                <w:b/>
                <w:noProof/>
                <w:color w:val="002395"/>
                <w:sz w:val="18"/>
                <w:szCs w:val="18"/>
              </w:rPr>
            </w:pPr>
            <w:r w:rsidRPr="009B5734">
              <w:rPr>
                <w:rFonts w:cs="Arial"/>
                <w:noProof/>
                <w:color w:val="002395"/>
                <w:sz w:val="18"/>
                <w:szCs w:val="18"/>
              </w:rPr>
              <w:t>The Directive aims to help consumers buy or lease cars which use less fuel and thereby emit less CO</w:t>
            </w:r>
            <w:r w:rsidRPr="009B5734">
              <w:rPr>
                <w:noProof/>
                <w:color w:val="002395"/>
                <w:sz w:val="18"/>
                <w:vertAlign w:val="subscript"/>
              </w:rPr>
              <w:t>2</w:t>
            </w:r>
            <w:r w:rsidRPr="009B5734">
              <w:rPr>
                <w:rFonts w:cs="Arial"/>
                <w:noProof/>
                <w:color w:val="002395"/>
                <w:sz w:val="18"/>
                <w:szCs w:val="18"/>
              </w:rPr>
              <w:t xml:space="preserve"> and to encourage manufacturers to reduce the fuel consumption of new cars. </w:t>
            </w:r>
          </w:p>
          <w:p w:rsidR="00EA45F9" w:rsidRPr="009B5734" w:rsidRDefault="00EA45F9" w:rsidP="00981615">
            <w:pPr>
              <w:pStyle w:val="TableHeadingWhite"/>
              <w:ind w:left="39" w:right="57" w:firstLine="3"/>
              <w:rPr>
                <w:rFonts w:cs="Arial"/>
                <w:b/>
                <w:noProof/>
                <w:color w:val="002395"/>
                <w:sz w:val="18"/>
                <w:szCs w:val="18"/>
              </w:rPr>
            </w:pPr>
            <w:r w:rsidRPr="009B5734">
              <w:rPr>
                <w:rFonts w:cs="Arial"/>
                <w:noProof/>
                <w:color w:val="002395"/>
                <w:sz w:val="18"/>
                <w:szCs w:val="18"/>
              </w:rPr>
              <w:t>The Directive is a complementary option to the CO2 emission standards set under Regulation (EU)</w:t>
            </w:r>
            <w:r w:rsidR="004555D8">
              <w:rPr>
                <w:rFonts w:cs="Arial"/>
                <w:noProof/>
                <w:color w:val="002395"/>
                <w:sz w:val="18"/>
                <w:szCs w:val="18"/>
              </w:rPr>
              <w:t xml:space="preserve"> </w:t>
            </w:r>
            <w:r w:rsidRPr="009B5734">
              <w:rPr>
                <w:rFonts w:cs="Arial"/>
                <w:noProof/>
                <w:color w:val="002395"/>
                <w:sz w:val="18"/>
                <w:szCs w:val="18"/>
              </w:rPr>
              <w:t>2019/631.</w:t>
            </w:r>
          </w:p>
          <w:p w:rsidR="00EA45F9" w:rsidRPr="009B5734" w:rsidRDefault="00EA45F9" w:rsidP="00981615">
            <w:pPr>
              <w:pStyle w:val="TableHeadingWhite"/>
              <w:ind w:left="39" w:right="57" w:firstLine="3"/>
              <w:rPr>
                <w:rFonts w:cs="Arial"/>
                <w:b/>
                <w:noProof/>
                <w:color w:val="002395"/>
                <w:sz w:val="18"/>
                <w:szCs w:val="18"/>
              </w:rPr>
            </w:pPr>
            <w:r w:rsidRPr="009B5734">
              <w:rPr>
                <w:rFonts w:cs="Arial"/>
                <w:noProof/>
                <w:color w:val="002395"/>
                <w:sz w:val="18"/>
                <w:szCs w:val="18"/>
              </w:rPr>
              <w:t>It requires the use of information tools addressed to consumers including a label showing fuel economy and CO</w:t>
            </w:r>
            <w:r w:rsidRPr="009B5734">
              <w:rPr>
                <w:noProof/>
                <w:color w:val="002395"/>
                <w:sz w:val="18"/>
                <w:vertAlign w:val="subscript"/>
              </w:rPr>
              <w:t>2</w:t>
            </w:r>
            <w:r w:rsidRPr="009B5734">
              <w:rPr>
                <w:rFonts w:cs="Arial"/>
                <w:noProof/>
                <w:color w:val="002395"/>
                <w:sz w:val="18"/>
                <w:szCs w:val="18"/>
              </w:rPr>
              <w:t xml:space="preserve"> emissions to be attached to all new cars or displayed nearby at the point of sale and a poster or display showing prominently the official fuel consumption and CO</w:t>
            </w:r>
            <w:r w:rsidRPr="009B5734">
              <w:rPr>
                <w:noProof/>
                <w:color w:val="002395"/>
                <w:sz w:val="18"/>
                <w:vertAlign w:val="subscript"/>
              </w:rPr>
              <w:t>2</w:t>
            </w:r>
            <w:r w:rsidRPr="009B5734">
              <w:rPr>
                <w:rFonts w:cs="Arial"/>
                <w:noProof/>
                <w:color w:val="002395"/>
                <w:sz w:val="18"/>
                <w:szCs w:val="18"/>
              </w:rPr>
              <w:t xml:space="preserve"> emissions data of all new car models displayed or offered for sale. </w:t>
            </w:r>
          </w:p>
        </w:tc>
      </w:tr>
      <w:tr w:rsidR="00EA45F9" w:rsidRPr="009B5734" w:rsidTr="00C84A99">
        <w:trPr>
          <w:cantSplit/>
          <w:trHeight w:val="18"/>
        </w:trPr>
        <w:tc>
          <w:tcPr>
            <w:tcW w:w="523" w:type="pct"/>
            <w:shd w:val="clear" w:color="auto" w:fill="auto"/>
            <w:vAlign w:val="center"/>
          </w:tcPr>
          <w:p w:rsidR="00EA45F9" w:rsidRPr="009B5734" w:rsidRDefault="00EA45F9" w:rsidP="00981615">
            <w:pPr>
              <w:pStyle w:val="TableHeadingWhite"/>
              <w:ind w:left="142" w:right="151" w:firstLine="0"/>
              <w:rPr>
                <w:rFonts w:cs="Arial"/>
                <w:noProof/>
                <w:sz w:val="18"/>
                <w:szCs w:val="18"/>
              </w:rPr>
            </w:pPr>
            <w:r w:rsidRPr="009B5734">
              <w:rPr>
                <w:rFonts w:cs="Arial"/>
                <w:noProof/>
                <w:sz w:val="18"/>
                <w:szCs w:val="18"/>
              </w:rPr>
              <w:t>Regulation (EU) 2020/740 on energy labelling for tyres</w:t>
            </w:r>
          </w:p>
          <w:p w:rsidR="00EA45F9" w:rsidRPr="009B5734" w:rsidRDefault="00EA45F9" w:rsidP="00981615">
            <w:pPr>
              <w:pStyle w:val="TableHeadingWhite"/>
              <w:ind w:left="142" w:right="151" w:firstLine="0"/>
              <w:rPr>
                <w:rFonts w:cs="Arial"/>
                <w:noProof/>
                <w:sz w:val="18"/>
                <w:szCs w:val="18"/>
              </w:rPr>
            </w:pPr>
          </w:p>
        </w:tc>
        <w:tc>
          <w:tcPr>
            <w:tcW w:w="337" w:type="pct"/>
            <w:shd w:val="clear" w:color="auto" w:fill="auto"/>
            <w:vAlign w:val="center"/>
          </w:tcPr>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0441C45F" wp14:editId="6A171AC5">
                      <wp:extent cx="108000" cy="108000"/>
                      <wp:effectExtent l="0" t="0" r="25400" b="25400"/>
                      <wp:docPr id="80" name="Right Triangle 6"/>
                      <wp:cNvGraphicFramePr/>
                      <a:graphic xmlns:a="http://schemas.openxmlformats.org/drawingml/2006/main">
                        <a:graphicData uri="http://schemas.microsoft.com/office/word/2010/wordprocessingShape">
                          <wps:wsp>
                            <wps:cNvSpPr/>
                            <wps:spPr>
                              <a:xfrm>
                                <a:off x="0" y="0"/>
                                <a:ext cx="108000" cy="108000"/>
                              </a:xfrm>
                              <a:prstGeom prst="rtTriangle">
                                <a:avLst/>
                              </a:prstGeom>
                              <a:noFill/>
                              <a:ln w="3175"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8DE29A" id="Right Triangle 6"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" filled="f" strokecolor="#002395" strokeweight=".25pt">
                      <w10:anchorlock/>
                    </v:shape>
                  </w:pict>
                </mc:Fallback>
              </mc:AlternateContent>
            </w:r>
          </w:p>
        </w:tc>
        <w:tc>
          <w:tcPr>
            <w:tcW w:w="412" w:type="pct"/>
            <w:vAlign w:val="center"/>
          </w:tcPr>
          <w:p w:rsidR="00EA45F9" w:rsidRPr="009B5734" w:rsidRDefault="00EA45F9" w:rsidP="00981615">
            <w:pPr>
              <w:pStyle w:val="TableHeadingWhite"/>
              <w:jc w:val="center"/>
              <w:rPr>
                <w:rFonts w:cs="Arial"/>
                <w:noProof/>
                <w:color w:val="002395"/>
                <w:szCs w:val="20"/>
              </w:rPr>
            </w:pPr>
          </w:p>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w:t>
            </w:r>
          </w:p>
        </w:tc>
        <w:tc>
          <w:tcPr>
            <w:tcW w:w="486" w:type="pct"/>
            <w:vAlign w:val="center"/>
          </w:tcPr>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136AE27E" wp14:editId="067FB6F8">
                      <wp:extent cx="108000" cy="108000"/>
                      <wp:effectExtent l="0" t="0" r="25400" b="25400"/>
                      <wp:docPr id="79" name="Right Triangle 6"/>
                      <wp:cNvGraphicFramePr/>
                      <a:graphic xmlns:a="http://schemas.openxmlformats.org/drawingml/2006/main">
                        <a:graphicData uri="http://schemas.microsoft.com/office/word/2010/wordprocessingShape">
                          <wps:wsp>
                            <wps:cNvSpPr/>
                            <wps:spPr>
                              <a:xfrm>
                                <a:off x="0" y="0"/>
                                <a:ext cx="108000" cy="108000"/>
                              </a:xfrm>
                              <a:prstGeom prst="rtTriangle">
                                <a:avLst/>
                              </a:prstGeom>
                              <a:noFill/>
                              <a:ln w="3175"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574CB6" id="Right Triangle 6"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" filled="f" strokecolor="#002395" strokeweight=".25pt">
                      <w10:anchorlock/>
                    </v:shape>
                  </w:pict>
                </mc:Fallback>
              </mc:AlternateContent>
            </w:r>
          </w:p>
        </w:tc>
        <w:tc>
          <w:tcPr>
            <w:tcW w:w="412" w:type="pct"/>
            <w:shd w:val="clear" w:color="auto" w:fill="auto"/>
            <w:vAlign w:val="center"/>
          </w:tcPr>
          <w:p w:rsidR="00EA45F9" w:rsidRPr="009B5734" w:rsidRDefault="00EA45F9" w:rsidP="00981615">
            <w:pPr>
              <w:pStyle w:val="TableHeadingWhite"/>
              <w:jc w:val="center"/>
              <w:rPr>
                <w:rFonts w:cs="Arial"/>
                <w:noProof/>
                <w:color w:val="002395"/>
                <w:szCs w:val="20"/>
                <w:lang w:eastAsia="fr-BE"/>
              </w:rPr>
            </w:pPr>
            <w:r w:rsidRPr="009B5734">
              <w:rPr>
                <w:rFonts w:cs="Arial"/>
                <w:noProof/>
                <w:color w:val="002395"/>
                <w:szCs w:val="20"/>
                <w:lang w:eastAsia="fr-BE"/>
              </w:rPr>
              <w:t>/</w:t>
            </w:r>
          </w:p>
        </w:tc>
        <w:tc>
          <w:tcPr>
            <w:tcW w:w="486" w:type="pct"/>
            <w:shd w:val="clear" w:color="auto" w:fill="auto"/>
            <w:vAlign w:val="center"/>
          </w:tcPr>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6C9B0E99" wp14:editId="138C00DD">
                      <wp:extent cx="108000" cy="108000"/>
                      <wp:effectExtent l="0" t="0" r="25400" b="25400"/>
                      <wp:docPr id="77" name="Right Triangle 6"/>
                      <wp:cNvGraphicFramePr/>
                      <a:graphic xmlns:a="http://schemas.openxmlformats.org/drawingml/2006/main">
                        <a:graphicData uri="http://schemas.microsoft.com/office/word/2010/wordprocessingShape">
                          <wps:wsp>
                            <wps:cNvSpPr/>
                            <wps:spPr>
                              <a:xfrm>
                                <a:off x="0" y="0"/>
                                <a:ext cx="108000" cy="108000"/>
                              </a:xfrm>
                              <a:prstGeom prst="rtTriangle">
                                <a:avLst/>
                              </a:prstGeom>
                              <a:noFill/>
                              <a:ln w="3175"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92761D" id="Right Triangle 6"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" filled="f" strokecolor="#002395" strokeweight=".25pt">
                      <w10:anchorlock/>
                    </v:shape>
                  </w:pict>
                </mc:Fallback>
              </mc:AlternateContent>
            </w:r>
          </w:p>
        </w:tc>
        <w:tc>
          <w:tcPr>
            <w:tcW w:w="412" w:type="pct"/>
            <w:vAlign w:val="center"/>
          </w:tcPr>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7D09ECBB" wp14:editId="00CBC8F5">
                      <wp:extent cx="108000" cy="108000"/>
                      <wp:effectExtent l="0" t="0" r="25400" b="25400"/>
                      <wp:docPr id="76" name="Right Triangle 6"/>
                      <wp:cNvGraphicFramePr/>
                      <a:graphic xmlns:a="http://schemas.openxmlformats.org/drawingml/2006/main">
                        <a:graphicData uri="http://schemas.microsoft.com/office/word/2010/wordprocessingShape">
                          <wps:wsp>
                            <wps:cNvSpPr/>
                            <wps:spPr>
                              <a:xfrm>
                                <a:off x="0" y="0"/>
                                <a:ext cx="108000" cy="108000"/>
                              </a:xfrm>
                              <a:prstGeom prst="rtTriangle">
                                <a:avLst/>
                              </a:prstGeom>
                              <a:noFill/>
                              <a:ln w="3175"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021457" id="Right Triangle 6"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" filled="f" strokecolor="#002395" strokeweight=".25pt">
                      <w10:anchorlock/>
                    </v:shape>
                  </w:pict>
                </mc:Fallback>
              </mc:AlternateContent>
            </w:r>
          </w:p>
        </w:tc>
        <w:tc>
          <w:tcPr>
            <w:tcW w:w="374" w:type="pct"/>
            <w:vAlign w:val="center"/>
          </w:tcPr>
          <w:p w:rsidR="00EA45F9" w:rsidRPr="009B5734" w:rsidRDefault="00EA45F9" w:rsidP="00981615">
            <w:pPr>
              <w:pStyle w:val="TableHeadingWhite"/>
              <w:ind w:left="73" w:hanging="73"/>
              <w:jc w:val="center"/>
              <w:rPr>
                <w:rFonts w:cs="Arial"/>
                <w:noProof/>
                <w:color w:val="002395"/>
                <w:szCs w:val="20"/>
              </w:rPr>
            </w:pPr>
            <w:r w:rsidRPr="009B5734">
              <w:rPr>
                <w:rFonts w:cs="Arial"/>
                <w:noProof/>
                <w:color w:val="002395"/>
                <w:szCs w:val="20"/>
              </w:rPr>
              <w:t>Road transport tyres</w:t>
            </w:r>
          </w:p>
        </w:tc>
        <w:tc>
          <w:tcPr>
            <w:tcW w:w="1559" w:type="pct"/>
          </w:tcPr>
          <w:p w:rsidR="00EA45F9" w:rsidRPr="009B5734" w:rsidRDefault="00EA45F9" w:rsidP="00981615">
            <w:pPr>
              <w:pStyle w:val="TableHeadingWhite"/>
              <w:spacing w:after="120"/>
              <w:ind w:left="39" w:right="57" w:firstLine="3"/>
              <w:rPr>
                <w:rFonts w:cs="Arial"/>
                <w:b/>
                <w:noProof/>
                <w:color w:val="002395"/>
                <w:sz w:val="18"/>
                <w:szCs w:val="18"/>
              </w:rPr>
            </w:pPr>
            <w:r w:rsidRPr="009B5734">
              <w:rPr>
                <w:rFonts w:cs="Arial"/>
                <w:noProof/>
                <w:color w:val="002395"/>
                <w:sz w:val="18"/>
                <w:szCs w:val="18"/>
              </w:rPr>
              <w:t>It establishes a framework for the provision of harmonised information on tyre parameters through labelling to allow end-users to make an informed choice when purchasing tyres, for the purpose of increasing safety, the protection of health, and the economic and environmental efficiency of road transport, by promoting fuel</w:t>
            </w:r>
            <w:r w:rsidRPr="009B5734">
              <w:rPr>
                <w:rFonts w:ascii="Cambria Math" w:hAnsi="Cambria Math" w:cs="Arial"/>
                <w:noProof/>
                <w:color w:val="002395"/>
                <w:sz w:val="18"/>
                <w:szCs w:val="18"/>
              </w:rPr>
              <w:t>‐</w:t>
            </w:r>
            <w:r w:rsidRPr="009B5734">
              <w:rPr>
                <w:rFonts w:cs="Arial"/>
                <w:noProof/>
                <w:color w:val="002395"/>
                <w:sz w:val="18"/>
                <w:szCs w:val="18"/>
              </w:rPr>
              <w:t>efficient, long</w:t>
            </w:r>
            <w:r w:rsidRPr="009B5734">
              <w:rPr>
                <w:rFonts w:ascii="Cambria Math" w:hAnsi="Cambria Math" w:cs="Arial"/>
                <w:noProof/>
                <w:color w:val="002395"/>
                <w:sz w:val="18"/>
                <w:szCs w:val="18"/>
              </w:rPr>
              <w:t>‐</w:t>
            </w:r>
            <w:r w:rsidRPr="009B5734">
              <w:rPr>
                <w:rFonts w:cs="Arial"/>
                <w:noProof/>
                <w:color w:val="002395"/>
                <w:sz w:val="18"/>
                <w:szCs w:val="18"/>
              </w:rPr>
              <w:t xml:space="preserve">lasting and safe tyres with low noise levels. </w:t>
            </w:r>
          </w:p>
        </w:tc>
      </w:tr>
      <w:tr w:rsidR="00EA45F9" w:rsidRPr="009B5734" w:rsidTr="00C84A99">
        <w:trPr>
          <w:cantSplit/>
          <w:trHeight w:val="18"/>
        </w:trPr>
        <w:tc>
          <w:tcPr>
            <w:tcW w:w="523" w:type="pct"/>
            <w:shd w:val="clear" w:color="auto" w:fill="auto"/>
            <w:vAlign w:val="center"/>
          </w:tcPr>
          <w:p w:rsidR="00EA45F9" w:rsidRPr="009B5734" w:rsidRDefault="00EA45F9" w:rsidP="00981615">
            <w:pPr>
              <w:pStyle w:val="TableHeadingWhite"/>
              <w:ind w:left="142" w:right="151" w:firstLine="0"/>
              <w:rPr>
                <w:rFonts w:cs="Arial"/>
                <w:noProof/>
                <w:sz w:val="18"/>
                <w:szCs w:val="18"/>
              </w:rPr>
            </w:pPr>
            <w:r w:rsidRPr="009B5734">
              <w:rPr>
                <w:rFonts w:cs="Arial"/>
                <w:noProof/>
                <w:sz w:val="18"/>
                <w:szCs w:val="18"/>
              </w:rPr>
              <w:t xml:space="preserve">Recommendation 2013/179/EU </w:t>
            </w:r>
            <w:r w:rsidR="004F377D" w:rsidRPr="00BC2A97">
              <w:rPr>
                <w:rStyle w:val="FootnoteReference"/>
                <w:rFonts w:cs="Arial"/>
                <w:noProof/>
                <w:sz w:val="18"/>
                <w:szCs w:val="18"/>
              </w:rPr>
              <w:footnoteReference w:id="217"/>
            </w:r>
            <w:r w:rsidR="000E7B40">
              <w:rPr>
                <w:rFonts w:cs="Arial"/>
                <w:noProof/>
                <w:sz w:val="18"/>
                <w:szCs w:val="18"/>
              </w:rPr>
              <w:t xml:space="preserve"> </w:t>
            </w:r>
            <w:r w:rsidRPr="009B5734">
              <w:rPr>
                <w:rFonts w:cs="Arial"/>
                <w:noProof/>
                <w:sz w:val="18"/>
                <w:szCs w:val="18"/>
              </w:rPr>
              <w:t>on common methods for measuring and communicating the life cycle environmental performance of products and organisations (establishing the Product and Organisation Environmental Footprint (PEF and OEF) methods)</w:t>
            </w:r>
          </w:p>
        </w:tc>
        <w:tc>
          <w:tcPr>
            <w:tcW w:w="337" w:type="pct"/>
            <w:shd w:val="clear" w:color="auto" w:fill="auto"/>
            <w:vAlign w:val="center"/>
          </w:tcPr>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24E91EC5" wp14:editId="1E4E3526">
                      <wp:extent cx="108000" cy="108000"/>
                      <wp:effectExtent l="0" t="0" r="25400" b="25400"/>
                      <wp:docPr id="50" name="Right Triangle 6"/>
                      <wp:cNvGraphicFramePr/>
                      <a:graphic xmlns:a="http://schemas.openxmlformats.org/drawingml/2006/main">
                        <a:graphicData uri="http://schemas.microsoft.com/office/word/2010/wordprocessingShape">
                          <wps:wsp>
                            <wps:cNvSpPr/>
                            <wps:spPr>
                              <a:xfrm>
                                <a:off x="0" y="0"/>
                                <a:ext cx="108000" cy="108000"/>
                              </a:xfrm>
                              <a:prstGeom prst="rtTriangle">
                                <a:avLst/>
                              </a:prstGeom>
                              <a:noFill/>
                              <a:ln w="3175"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E4002A" id="Right Triangle 6"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" filled="f" strokecolor="#002395" strokeweight=".25pt">
                      <w10:anchorlock/>
                    </v:shape>
                  </w:pict>
                </mc:Fallback>
              </mc:AlternateContent>
            </w:r>
          </w:p>
        </w:tc>
        <w:tc>
          <w:tcPr>
            <w:tcW w:w="412" w:type="pct"/>
            <w:vAlign w:val="center"/>
          </w:tcPr>
          <w:p w:rsidR="00EA45F9" w:rsidRPr="009B5734" w:rsidRDefault="00EA45F9" w:rsidP="00981615">
            <w:pPr>
              <w:pStyle w:val="TableHeadingWhite"/>
              <w:jc w:val="center"/>
              <w:rPr>
                <w:rFonts w:cs="Arial"/>
                <w:noProof/>
                <w:color w:val="002395"/>
                <w:szCs w:val="20"/>
              </w:rPr>
            </w:pPr>
          </w:p>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3959C005" wp14:editId="43284D68">
                      <wp:extent cx="108000" cy="108000"/>
                      <wp:effectExtent l="0" t="0" r="25400" b="25400"/>
                      <wp:docPr id="49" name="Right Triangle 6"/>
                      <wp:cNvGraphicFramePr/>
                      <a:graphic xmlns:a="http://schemas.openxmlformats.org/drawingml/2006/main">
                        <a:graphicData uri="http://schemas.microsoft.com/office/word/2010/wordprocessingShape">
                          <wps:wsp>
                            <wps:cNvSpPr/>
                            <wps:spPr>
                              <a:xfrm>
                                <a:off x="0" y="0"/>
                                <a:ext cx="108000" cy="108000"/>
                              </a:xfrm>
                              <a:prstGeom prst="rtTriangle">
                                <a:avLst/>
                              </a:prstGeom>
                              <a:noFill/>
                              <a:ln w="3175"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541D589" id="Right Triangle 6"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" filled="f" strokecolor="#002395" strokeweight=".25pt">
                      <w10:anchorlock/>
                    </v:shape>
                  </w:pict>
                </mc:Fallback>
              </mc:AlternateContent>
            </w:r>
          </w:p>
          <w:p w:rsidR="00EA45F9" w:rsidRPr="009B5734" w:rsidRDefault="00EA45F9" w:rsidP="00981615">
            <w:pPr>
              <w:pStyle w:val="TableHeadingWhite"/>
              <w:jc w:val="center"/>
              <w:rPr>
                <w:rFonts w:cs="Arial"/>
                <w:noProof/>
                <w:color w:val="002395"/>
                <w:szCs w:val="20"/>
              </w:rPr>
            </w:pPr>
          </w:p>
        </w:tc>
        <w:tc>
          <w:tcPr>
            <w:tcW w:w="486" w:type="pct"/>
            <w:vAlign w:val="center"/>
          </w:tcPr>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7C2E58CF" wp14:editId="1911E8B9">
                      <wp:extent cx="108000" cy="108000"/>
                      <wp:effectExtent l="0" t="0" r="25400" b="25400"/>
                      <wp:docPr id="51" name="Right Triangle 6"/>
                      <wp:cNvGraphicFramePr/>
                      <a:graphic xmlns:a="http://schemas.openxmlformats.org/drawingml/2006/main">
                        <a:graphicData uri="http://schemas.microsoft.com/office/word/2010/wordprocessingShape">
                          <wps:wsp>
                            <wps:cNvSpPr/>
                            <wps:spPr>
                              <a:xfrm>
                                <a:off x="0" y="0"/>
                                <a:ext cx="108000" cy="108000"/>
                              </a:xfrm>
                              <a:prstGeom prst="rtTriangle">
                                <a:avLst/>
                              </a:prstGeom>
                              <a:noFill/>
                              <a:ln w="3175"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DA668A" id="Right Triangle 6"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" filled="f" strokecolor="#002395" strokeweight=".25pt">
                      <w10:anchorlock/>
                    </v:shape>
                  </w:pict>
                </mc:Fallback>
              </mc:AlternateContent>
            </w:r>
          </w:p>
        </w:tc>
        <w:tc>
          <w:tcPr>
            <w:tcW w:w="412" w:type="pct"/>
            <w:shd w:val="clear" w:color="auto" w:fill="auto"/>
            <w:vAlign w:val="center"/>
          </w:tcPr>
          <w:p w:rsidR="00EA45F9" w:rsidRPr="009B5734" w:rsidRDefault="00EA45F9" w:rsidP="00981615">
            <w:pPr>
              <w:pStyle w:val="TableHeadingWhite"/>
              <w:jc w:val="center"/>
              <w:rPr>
                <w:rFonts w:cs="Arial"/>
                <w:noProof/>
                <w:color w:val="002395"/>
                <w:szCs w:val="20"/>
                <w:lang w:eastAsia="fr-BE"/>
              </w:rPr>
            </w:pPr>
            <w:r w:rsidRPr="009B5734">
              <w:rPr>
                <w:rFonts w:cs="Arial"/>
                <w:noProof/>
                <w:color w:val="002395"/>
                <w:szCs w:val="20"/>
                <w:lang w:eastAsia="fr-BE"/>
              </w:rPr>
              <w:t>/</w:t>
            </w:r>
          </w:p>
        </w:tc>
        <w:tc>
          <w:tcPr>
            <w:tcW w:w="486" w:type="pct"/>
            <w:shd w:val="clear" w:color="auto" w:fill="auto"/>
            <w:vAlign w:val="center"/>
          </w:tcPr>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5F19CDDB" wp14:editId="7BFB43CA">
                      <wp:extent cx="108000" cy="108000"/>
                      <wp:effectExtent l="0" t="0" r="25400" b="25400"/>
                      <wp:docPr id="47" name="Right Triangle 6"/>
                      <wp:cNvGraphicFramePr/>
                      <a:graphic xmlns:a="http://schemas.openxmlformats.org/drawingml/2006/main">
                        <a:graphicData uri="http://schemas.microsoft.com/office/word/2010/wordprocessingShape">
                          <wps:wsp>
                            <wps:cNvSpPr/>
                            <wps:spPr>
                              <a:xfrm>
                                <a:off x="0" y="0"/>
                                <a:ext cx="108000" cy="108000"/>
                              </a:xfrm>
                              <a:prstGeom prst="rtTriangle">
                                <a:avLst/>
                              </a:prstGeom>
                              <a:noFill/>
                              <a:ln w="3175"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480908B" id="Right Triangle 6"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" filled="f" strokecolor="#002395" strokeweight=".25pt">
                      <w10:anchorlock/>
                    </v:shape>
                  </w:pict>
                </mc:Fallback>
              </mc:AlternateContent>
            </w:r>
          </w:p>
        </w:tc>
        <w:tc>
          <w:tcPr>
            <w:tcW w:w="412" w:type="pct"/>
            <w:vAlign w:val="center"/>
          </w:tcPr>
          <w:p w:rsidR="00EA45F9" w:rsidRPr="009B5734" w:rsidRDefault="00EA45F9" w:rsidP="00981615">
            <w:pPr>
              <w:pStyle w:val="TableHeadingWhite"/>
              <w:jc w:val="center"/>
              <w:rPr>
                <w:rFonts w:cs="Arial"/>
                <w:noProof/>
                <w:color w:val="002395"/>
                <w:szCs w:val="20"/>
              </w:rPr>
            </w:pPr>
            <w:r w:rsidRPr="009B5734">
              <w:rPr>
                <w:noProof/>
                <w:lang w:eastAsia="en-GB"/>
              </w:rPr>
              <mc:AlternateContent>
                <mc:Choice Requires="wps">
                  <w:drawing>
                    <wp:inline distT="0" distB="0" distL="0" distR="0" wp14:anchorId="71649889" wp14:editId="3B3CBF39">
                      <wp:extent cx="108000" cy="108000"/>
                      <wp:effectExtent l="0" t="0" r="25400" b="25400"/>
                      <wp:docPr id="46" name="Right Triangle 6"/>
                      <wp:cNvGraphicFramePr/>
                      <a:graphic xmlns:a="http://schemas.openxmlformats.org/drawingml/2006/main">
                        <a:graphicData uri="http://schemas.microsoft.com/office/word/2010/wordprocessingShape">
                          <wps:wsp>
                            <wps:cNvSpPr/>
                            <wps:spPr>
                              <a:xfrm>
                                <a:off x="0" y="0"/>
                                <a:ext cx="108000" cy="108000"/>
                              </a:xfrm>
                              <a:prstGeom prst="rtTriangle">
                                <a:avLst/>
                              </a:prstGeom>
                              <a:noFill/>
                              <a:ln w="3175" cap="flat" cmpd="sng" algn="ctr">
                                <a:solidFill>
                                  <a:srgbClr val="0023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6D709F9" id="Right Triangle 6" o:spid="_x0000_s1026" type="#_x0000_t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" filled="f" strokecolor="#002395" strokeweight=".25pt">
                      <w10:anchorlock/>
                    </v:shape>
                  </w:pict>
                </mc:Fallback>
              </mc:AlternateContent>
            </w:r>
          </w:p>
        </w:tc>
        <w:tc>
          <w:tcPr>
            <w:tcW w:w="374" w:type="pct"/>
            <w:vAlign w:val="center"/>
          </w:tcPr>
          <w:p w:rsidR="00EA45F9" w:rsidRPr="009B5734" w:rsidRDefault="00EA45F9" w:rsidP="00981615">
            <w:pPr>
              <w:pStyle w:val="TableHeadingWhite"/>
              <w:ind w:left="73" w:hanging="73"/>
              <w:jc w:val="center"/>
              <w:rPr>
                <w:rFonts w:cs="Arial"/>
                <w:noProof/>
                <w:color w:val="002395"/>
                <w:szCs w:val="20"/>
              </w:rPr>
            </w:pPr>
            <w:r w:rsidRPr="009B5734">
              <w:rPr>
                <w:rFonts w:cs="Arial"/>
                <w:noProof/>
                <w:color w:val="002395"/>
                <w:szCs w:val="20"/>
              </w:rPr>
              <w:t>Horizontal</w:t>
            </w:r>
          </w:p>
          <w:p w:rsidR="00EA45F9" w:rsidRPr="009B5734" w:rsidRDefault="00EA45F9" w:rsidP="00981615">
            <w:pPr>
              <w:pStyle w:val="TableHeadingWhite"/>
              <w:ind w:left="73" w:hanging="73"/>
              <w:jc w:val="center"/>
              <w:rPr>
                <w:rFonts w:cs="Arial"/>
                <w:b/>
                <w:noProof/>
                <w:color w:val="002395"/>
                <w:szCs w:val="20"/>
              </w:rPr>
            </w:pPr>
            <w:r w:rsidRPr="009B5734">
              <w:rPr>
                <w:rFonts w:cs="Arial"/>
                <w:noProof/>
                <w:color w:val="002395"/>
                <w:szCs w:val="20"/>
              </w:rPr>
              <w:t xml:space="preserve">Overall method applicable to any product category. 19 product-specific calculation rules were developed. 16 environmental impacts are covered. </w:t>
            </w:r>
          </w:p>
        </w:tc>
        <w:tc>
          <w:tcPr>
            <w:tcW w:w="1559" w:type="pct"/>
          </w:tcPr>
          <w:p w:rsidR="00EA45F9" w:rsidRPr="009B5734" w:rsidRDefault="00EA45F9" w:rsidP="00981615">
            <w:pPr>
              <w:pStyle w:val="TableHeadingWhite"/>
              <w:spacing w:after="120"/>
              <w:ind w:left="39" w:right="57" w:firstLine="3"/>
              <w:rPr>
                <w:rFonts w:cs="Arial"/>
                <w:b/>
                <w:noProof/>
                <w:color w:val="002395"/>
                <w:sz w:val="16"/>
                <w:szCs w:val="16"/>
              </w:rPr>
            </w:pPr>
            <w:r w:rsidRPr="009B5734">
              <w:rPr>
                <w:rFonts w:cs="Arial"/>
                <w:noProof/>
                <w:color w:val="002395"/>
                <w:sz w:val="16"/>
                <w:szCs w:val="16"/>
              </w:rPr>
              <w:t xml:space="preserve">The UCPD Guidance refers to the use of lifecycle environmental performance of products and organisations, referencing also the Commission’s PEF and OEF methods. PEF studies can be carried out both based on the overall PEF method (applicable to any product) and based on Product Environmental Footprint Category Rules (PEFCRs). PEFCRs are quite detailed to guarantee the reproducibility, comparability and reliability of the information. The information that can be derived from a PEF study or a PEFCR concerns any of the 16 environmental impacts in scope, information about the most relevant production processes (those contributing with a larger share to the total impact), the most relevant life cycle stages, even the most relevant emissions. When a PEFCR exists, it is also possible to compare the different elements of information with those of the benchmark (the environmental performance of the average product sold on the EU market). Some of the information in PEFCRs may require a certain amount of product-specific &amp; environmental expertise to fully understand and link to an environmental claim. A PEF Study, whether based on the PEF or based on a PEFCR, considers duration/life time of the product. Under the use-stage processes, repair and maintenance of the product are covered. Current PEFCRs were developed during a pilot phase, where the interest of volunteering industry was determining the scope of the document. This resulted in some PEFCRs that have a good coverage of a product category (e.g. dairy, beer) and a limited scope to others (e.g. the washing machine detergent PEF only covers liquid heavy-duty detergent; laptops only cover storage; pasta only covers wheat pasta).). There is a risk that consumers would not understand which products are covered by this information and can be compared to a benchmark. In case a company communicates information based on the PEF study to external parties, they have to make available the full PEF study and they have to carry out a 3r party verification. </w:t>
            </w:r>
          </w:p>
          <w:p w:rsidR="00EA45F9" w:rsidRPr="009B5734" w:rsidRDefault="00EA45F9" w:rsidP="00981615">
            <w:pPr>
              <w:pStyle w:val="TableHeadingWhite"/>
              <w:spacing w:after="120"/>
              <w:ind w:left="39" w:right="57" w:firstLine="3"/>
              <w:rPr>
                <w:rFonts w:cs="Arial"/>
                <w:b/>
                <w:noProof/>
                <w:color w:val="002395"/>
                <w:sz w:val="16"/>
                <w:szCs w:val="16"/>
              </w:rPr>
            </w:pPr>
          </w:p>
        </w:tc>
      </w:tr>
      <w:tr w:rsidR="00EA45F9" w:rsidRPr="009B5734" w:rsidTr="00C84A99">
        <w:trPr>
          <w:cantSplit/>
          <w:trHeight w:val="18"/>
        </w:trPr>
        <w:tc>
          <w:tcPr>
            <w:tcW w:w="523" w:type="pct"/>
            <w:shd w:val="clear" w:color="auto" w:fill="auto"/>
            <w:vAlign w:val="center"/>
          </w:tcPr>
          <w:p w:rsidR="00EA45F9" w:rsidRPr="009B5734" w:rsidRDefault="00EA45F9" w:rsidP="00981615">
            <w:pPr>
              <w:pStyle w:val="TableHeadingWhite"/>
              <w:ind w:left="142" w:right="151" w:firstLine="0"/>
              <w:rPr>
                <w:rFonts w:cs="Arial"/>
                <w:noProof/>
                <w:sz w:val="18"/>
                <w:szCs w:val="18"/>
              </w:rPr>
            </w:pPr>
            <w:r w:rsidRPr="009B5734">
              <w:rPr>
                <w:rFonts w:cs="Arial"/>
                <w:noProof/>
                <w:sz w:val="18"/>
                <w:szCs w:val="18"/>
              </w:rPr>
              <w:t>Directive (EU) 2020/1828 on representative actions for the protection of collective interests of consumers (repealing Directive 2009/22/EC)</w:t>
            </w:r>
          </w:p>
        </w:tc>
        <w:tc>
          <w:tcPr>
            <w:tcW w:w="337" w:type="pct"/>
            <w:shd w:val="clear" w:color="auto" w:fill="auto"/>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w:t>
            </w:r>
          </w:p>
        </w:tc>
        <w:tc>
          <w:tcPr>
            <w:tcW w:w="412" w:type="pct"/>
            <w:vAlign w:val="center"/>
          </w:tcPr>
          <w:p w:rsidR="00EA45F9" w:rsidRPr="009B5734" w:rsidRDefault="00EA45F9" w:rsidP="00981615">
            <w:pPr>
              <w:pStyle w:val="TableHeadingWhite"/>
              <w:ind w:left="0"/>
              <w:jc w:val="center"/>
              <w:rPr>
                <w:rFonts w:cs="Arial"/>
                <w:noProof/>
                <w:color w:val="002395"/>
                <w:szCs w:val="20"/>
              </w:rPr>
            </w:pPr>
            <w:r w:rsidRPr="009B5734">
              <w:rPr>
                <w:rFonts w:cs="Arial"/>
                <w:noProof/>
                <w:color w:val="002395"/>
                <w:szCs w:val="20"/>
              </w:rPr>
              <w:t>/</w:t>
            </w:r>
          </w:p>
        </w:tc>
        <w:tc>
          <w:tcPr>
            <w:tcW w:w="486" w:type="pct"/>
            <w:vAlign w:val="center"/>
          </w:tcPr>
          <w:p w:rsidR="00EA45F9" w:rsidRPr="009B5734" w:rsidRDefault="00EA45F9" w:rsidP="00981615">
            <w:pPr>
              <w:pStyle w:val="TableHeadingWhite"/>
              <w:ind w:left="0"/>
              <w:jc w:val="center"/>
              <w:rPr>
                <w:rFonts w:cs="Arial"/>
                <w:noProof/>
                <w:color w:val="002395"/>
                <w:szCs w:val="20"/>
              </w:rPr>
            </w:pPr>
            <w:r w:rsidRPr="009B5734">
              <w:rPr>
                <w:rFonts w:cs="Arial"/>
                <w:noProof/>
                <w:color w:val="002395"/>
                <w:szCs w:val="20"/>
              </w:rPr>
              <w:t>/</w:t>
            </w:r>
          </w:p>
        </w:tc>
        <w:tc>
          <w:tcPr>
            <w:tcW w:w="412" w:type="pct"/>
            <w:shd w:val="clear" w:color="auto" w:fill="auto"/>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w:t>
            </w:r>
          </w:p>
        </w:tc>
        <w:tc>
          <w:tcPr>
            <w:tcW w:w="486" w:type="pct"/>
            <w:shd w:val="clear" w:color="auto" w:fill="auto"/>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w:t>
            </w:r>
          </w:p>
        </w:tc>
        <w:tc>
          <w:tcPr>
            <w:tcW w:w="412" w:type="pct"/>
            <w:vAlign w:val="center"/>
          </w:tcPr>
          <w:p w:rsidR="00EA45F9" w:rsidRPr="009B5734" w:rsidRDefault="00EA45F9" w:rsidP="00981615">
            <w:pPr>
              <w:pStyle w:val="TableHeadingWhite"/>
              <w:jc w:val="center"/>
              <w:rPr>
                <w:rFonts w:cs="Arial"/>
                <w:noProof/>
                <w:color w:val="002395"/>
                <w:szCs w:val="20"/>
                <w:lang w:eastAsia="fr-BE"/>
              </w:rPr>
            </w:pPr>
            <w:r w:rsidRPr="009B5734">
              <w:rPr>
                <w:rFonts w:cs="Arial"/>
                <w:noProof/>
                <w:color w:val="002395"/>
                <w:szCs w:val="20"/>
                <w:lang w:eastAsia="fr-BE"/>
              </w:rPr>
              <w:t>/</w:t>
            </w:r>
          </w:p>
        </w:tc>
        <w:tc>
          <w:tcPr>
            <w:tcW w:w="374" w:type="pct"/>
            <w:vAlign w:val="center"/>
          </w:tcPr>
          <w:p w:rsidR="00EA45F9" w:rsidRPr="009B5734" w:rsidRDefault="00EA45F9" w:rsidP="00981615">
            <w:pPr>
              <w:pStyle w:val="TableHeadingWhite"/>
              <w:jc w:val="center"/>
              <w:rPr>
                <w:rFonts w:cs="Arial"/>
                <w:noProof/>
                <w:color w:val="002395"/>
                <w:szCs w:val="20"/>
                <w:lang w:eastAsia="fr-BE"/>
              </w:rPr>
            </w:pPr>
            <w:r w:rsidRPr="009B5734">
              <w:rPr>
                <w:rFonts w:cs="Arial"/>
                <w:noProof/>
                <w:color w:val="002395"/>
                <w:szCs w:val="20"/>
                <w:lang w:eastAsia="fr-BE"/>
              </w:rPr>
              <w:t>Horizontal</w:t>
            </w:r>
          </w:p>
        </w:tc>
        <w:tc>
          <w:tcPr>
            <w:tcW w:w="1559" w:type="pct"/>
          </w:tcPr>
          <w:p w:rsidR="00EA45F9" w:rsidRPr="009B5734" w:rsidRDefault="00EA45F9" w:rsidP="00981615">
            <w:pPr>
              <w:pStyle w:val="TableHeadingWhite"/>
              <w:ind w:left="39" w:right="57" w:firstLine="3"/>
              <w:rPr>
                <w:rFonts w:cs="Arial"/>
                <w:b/>
                <w:noProof/>
                <w:color w:val="002395"/>
                <w:sz w:val="18"/>
                <w:szCs w:val="18"/>
                <w:lang w:eastAsia="fr-BE"/>
              </w:rPr>
            </w:pPr>
            <w:r w:rsidRPr="009B5734">
              <w:rPr>
                <w:rFonts w:cs="Arial"/>
                <w:noProof/>
                <w:color w:val="002395"/>
                <w:sz w:val="18"/>
                <w:szCs w:val="18"/>
                <w:lang w:eastAsia="fr-BE"/>
              </w:rPr>
              <w:t xml:space="preserve">The Directive does not provide for information obligations or for substantive consumer rights. It improves the protection of collective consumer interests, thus </w:t>
            </w:r>
            <w:r w:rsidR="004555D8" w:rsidRPr="009B5734">
              <w:rPr>
                <w:rFonts w:cs="Arial"/>
                <w:noProof/>
                <w:color w:val="002395"/>
                <w:sz w:val="18"/>
                <w:szCs w:val="18"/>
                <w:lang w:eastAsia="fr-BE"/>
              </w:rPr>
              <w:t>strengt</w:t>
            </w:r>
            <w:r w:rsidR="004555D8">
              <w:rPr>
                <w:rFonts w:cs="Arial"/>
                <w:noProof/>
                <w:color w:val="002395"/>
                <w:sz w:val="18"/>
                <w:szCs w:val="18"/>
                <w:lang w:eastAsia="fr-BE"/>
              </w:rPr>
              <w:t>h</w:t>
            </w:r>
            <w:r w:rsidR="004555D8" w:rsidRPr="009B5734">
              <w:rPr>
                <w:rFonts w:cs="Arial"/>
                <w:noProof/>
                <w:color w:val="002395"/>
                <w:sz w:val="18"/>
                <w:szCs w:val="18"/>
                <w:lang w:eastAsia="fr-BE"/>
              </w:rPr>
              <w:t>ening</w:t>
            </w:r>
            <w:r w:rsidRPr="009B5734">
              <w:rPr>
                <w:rFonts w:cs="Arial"/>
                <w:noProof/>
                <w:color w:val="002395"/>
                <w:sz w:val="18"/>
                <w:szCs w:val="18"/>
                <w:lang w:eastAsia="fr-BE"/>
              </w:rPr>
              <w:t xml:space="preserve"> enforcement of consumer rights. </w:t>
            </w:r>
          </w:p>
        </w:tc>
      </w:tr>
      <w:tr w:rsidR="00EA45F9" w:rsidRPr="009B5734" w:rsidTr="00C84A99">
        <w:trPr>
          <w:cantSplit/>
          <w:trHeight w:val="18"/>
        </w:trPr>
        <w:tc>
          <w:tcPr>
            <w:tcW w:w="523" w:type="pct"/>
            <w:shd w:val="clear" w:color="auto" w:fill="auto"/>
            <w:vAlign w:val="center"/>
          </w:tcPr>
          <w:p w:rsidR="00EA45F9" w:rsidRPr="009B5734" w:rsidRDefault="00EA45F9" w:rsidP="00981615">
            <w:pPr>
              <w:pStyle w:val="TableHeadingWhite"/>
              <w:ind w:left="142" w:right="151" w:firstLine="0"/>
              <w:rPr>
                <w:rFonts w:cs="Arial"/>
                <w:noProof/>
                <w:sz w:val="18"/>
                <w:szCs w:val="18"/>
              </w:rPr>
            </w:pPr>
            <w:r w:rsidRPr="009B5734">
              <w:rPr>
                <w:rFonts w:cs="Arial"/>
                <w:noProof/>
                <w:sz w:val="18"/>
                <w:szCs w:val="18"/>
              </w:rPr>
              <w:t xml:space="preserve">Consumer Protection Cooperation Regulation 2017/2394 </w:t>
            </w:r>
          </w:p>
        </w:tc>
        <w:tc>
          <w:tcPr>
            <w:tcW w:w="337" w:type="pct"/>
            <w:shd w:val="clear" w:color="auto" w:fill="auto"/>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w:t>
            </w:r>
          </w:p>
        </w:tc>
        <w:tc>
          <w:tcPr>
            <w:tcW w:w="412" w:type="pct"/>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w:t>
            </w:r>
          </w:p>
        </w:tc>
        <w:tc>
          <w:tcPr>
            <w:tcW w:w="486" w:type="pct"/>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w:t>
            </w:r>
          </w:p>
        </w:tc>
        <w:tc>
          <w:tcPr>
            <w:tcW w:w="412" w:type="pct"/>
            <w:shd w:val="clear" w:color="auto" w:fill="auto"/>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w:t>
            </w:r>
          </w:p>
        </w:tc>
        <w:tc>
          <w:tcPr>
            <w:tcW w:w="486" w:type="pct"/>
            <w:shd w:val="clear" w:color="auto" w:fill="auto"/>
            <w:vAlign w:val="center"/>
          </w:tcPr>
          <w:p w:rsidR="00EA45F9" w:rsidRPr="009B5734" w:rsidRDefault="00EA45F9" w:rsidP="00981615">
            <w:pPr>
              <w:pStyle w:val="TableHeadingWhite"/>
              <w:jc w:val="center"/>
              <w:rPr>
                <w:rFonts w:cs="Arial"/>
                <w:noProof/>
                <w:color w:val="002395"/>
                <w:szCs w:val="20"/>
              </w:rPr>
            </w:pPr>
            <w:r w:rsidRPr="009B5734">
              <w:rPr>
                <w:rFonts w:cs="Arial"/>
                <w:noProof/>
                <w:color w:val="002395"/>
                <w:szCs w:val="20"/>
              </w:rPr>
              <w:t>/</w:t>
            </w:r>
          </w:p>
        </w:tc>
        <w:tc>
          <w:tcPr>
            <w:tcW w:w="412" w:type="pct"/>
            <w:vAlign w:val="center"/>
          </w:tcPr>
          <w:p w:rsidR="00EA45F9" w:rsidRPr="009B5734" w:rsidRDefault="00EA45F9" w:rsidP="00981615">
            <w:pPr>
              <w:pStyle w:val="TableHeadingWhite"/>
              <w:jc w:val="center"/>
              <w:rPr>
                <w:rFonts w:cs="Arial"/>
                <w:noProof/>
                <w:color w:val="002395"/>
                <w:szCs w:val="20"/>
                <w:lang w:eastAsia="fr-BE"/>
              </w:rPr>
            </w:pPr>
            <w:r w:rsidRPr="009B5734">
              <w:rPr>
                <w:rFonts w:cs="Arial"/>
                <w:noProof/>
                <w:color w:val="002395"/>
                <w:szCs w:val="20"/>
                <w:lang w:eastAsia="fr-BE"/>
              </w:rPr>
              <w:t>/</w:t>
            </w:r>
          </w:p>
        </w:tc>
        <w:tc>
          <w:tcPr>
            <w:tcW w:w="374" w:type="pct"/>
            <w:vAlign w:val="center"/>
          </w:tcPr>
          <w:p w:rsidR="00EA45F9" w:rsidRPr="009B5734" w:rsidRDefault="00EA45F9" w:rsidP="00981615">
            <w:pPr>
              <w:pStyle w:val="TableHeadingWhite"/>
              <w:jc w:val="center"/>
              <w:rPr>
                <w:rFonts w:cs="Arial"/>
                <w:noProof/>
                <w:color w:val="002395"/>
                <w:szCs w:val="20"/>
                <w:lang w:eastAsia="fr-BE"/>
              </w:rPr>
            </w:pPr>
            <w:r w:rsidRPr="009B5734">
              <w:rPr>
                <w:rFonts w:cs="Arial"/>
                <w:noProof/>
                <w:color w:val="002395"/>
                <w:szCs w:val="20"/>
                <w:lang w:eastAsia="fr-BE"/>
              </w:rPr>
              <w:t>Horizontal</w:t>
            </w:r>
          </w:p>
        </w:tc>
        <w:tc>
          <w:tcPr>
            <w:tcW w:w="1559" w:type="pct"/>
          </w:tcPr>
          <w:p w:rsidR="00EA45F9" w:rsidRPr="009B5734" w:rsidRDefault="00EA45F9" w:rsidP="00981615">
            <w:pPr>
              <w:pStyle w:val="TableHeadingWhite"/>
              <w:ind w:left="39" w:right="57" w:firstLine="3"/>
              <w:rPr>
                <w:rFonts w:cs="Arial"/>
                <w:b/>
                <w:noProof/>
                <w:color w:val="002395"/>
                <w:sz w:val="18"/>
                <w:szCs w:val="18"/>
                <w:lang w:eastAsia="fr-BE"/>
              </w:rPr>
            </w:pPr>
            <w:r w:rsidRPr="009B5734">
              <w:rPr>
                <w:rFonts w:cs="Arial"/>
                <w:noProof/>
                <w:color w:val="002395"/>
                <w:sz w:val="18"/>
                <w:szCs w:val="18"/>
                <w:lang w:eastAsia="fr-BE"/>
              </w:rPr>
              <w:t xml:space="preserve">The CPC Regulation aims to improve enforcement of EU consumer protection legislation. It establishes a network of national competent authorities of EEA countries (CPC Network) to address cross border infringements of EU consumer rules, and sets rules for cooperation between Member States. </w:t>
            </w:r>
          </w:p>
        </w:tc>
      </w:tr>
    </w:tbl>
    <w:p w:rsidR="00EA45F9" w:rsidRPr="009B5734" w:rsidRDefault="00EA45F9" w:rsidP="00EA45F9">
      <w:pPr>
        <w:pStyle w:val="AnnexTitle"/>
        <w:rPr>
          <w:noProof/>
        </w:rPr>
      </w:pPr>
    </w:p>
    <w:p w:rsidR="00D9730F" w:rsidRDefault="00D9730F" w:rsidP="00D9730F">
      <w:pPr>
        <w:rPr>
          <w:b/>
          <w:noProof/>
        </w:rPr>
      </w:pPr>
    </w:p>
    <w:p w:rsidR="00D9730F" w:rsidRDefault="00D9730F" w:rsidP="00D9730F">
      <w:pPr>
        <w:rPr>
          <w:b/>
          <w:noProof/>
        </w:rPr>
      </w:pPr>
    </w:p>
    <w:p w:rsidR="00D9730F" w:rsidRDefault="00D9730F" w:rsidP="00D9730F">
      <w:pPr>
        <w:rPr>
          <w:b/>
          <w:noProof/>
        </w:rPr>
      </w:pPr>
    </w:p>
    <w:p w:rsidR="00D9730F" w:rsidRDefault="00D9730F" w:rsidP="00D9730F">
      <w:pPr>
        <w:rPr>
          <w:b/>
          <w:noProof/>
        </w:rPr>
      </w:pPr>
    </w:p>
    <w:p w:rsidR="00D9730F" w:rsidRDefault="00D9730F" w:rsidP="00D9730F">
      <w:pPr>
        <w:rPr>
          <w:b/>
          <w:noProof/>
        </w:rPr>
      </w:pPr>
    </w:p>
    <w:p w:rsidR="005443C8" w:rsidRPr="003D001D" w:rsidRDefault="005443C8">
      <w:pPr>
        <w:rPr>
          <w:rFonts w:ascii="Times New Roman" w:hAnsi="Times New Roman" w:cs="Times New Roman"/>
          <w:b/>
          <w:bCs/>
          <w:noProof/>
          <w:sz w:val="24"/>
          <w:szCs w:val="24"/>
        </w:rPr>
      </w:pPr>
      <w:r w:rsidRPr="003D001D">
        <w:rPr>
          <w:rFonts w:ascii="Times New Roman" w:hAnsi="Times New Roman" w:cs="Times New Roman"/>
          <w:b/>
          <w:bCs/>
          <w:noProof/>
          <w:sz w:val="24"/>
          <w:szCs w:val="24"/>
        </w:rPr>
        <w:t>Part 2</w:t>
      </w:r>
    </w:p>
    <w:p w:rsidR="00D9730F" w:rsidRPr="003D001D" w:rsidRDefault="00D9730F" w:rsidP="7F52AB9A">
      <w:pPr>
        <w:rPr>
          <w:rFonts w:ascii="Times New Roman" w:hAnsi="Times New Roman" w:cs="Times New Roman"/>
          <w:noProof/>
          <w:sz w:val="24"/>
          <w:szCs w:val="24"/>
        </w:rPr>
      </w:pPr>
      <w:r w:rsidRPr="003D001D">
        <w:rPr>
          <w:rFonts w:ascii="Times New Roman" w:hAnsi="Times New Roman" w:cs="Times New Roman"/>
          <w:noProof/>
          <w:sz w:val="24"/>
          <w:szCs w:val="24"/>
        </w:rPr>
        <w:t>The table below presents the interaction between this initiative and other EU initiatives that are currently under preparation.</w:t>
      </w:r>
    </w:p>
    <w:p w:rsidR="00D9730F" w:rsidRPr="005443C8" w:rsidRDefault="00D9730F" w:rsidP="00014EB8">
      <w:pPr>
        <w:rPr>
          <w:noProof/>
        </w:rPr>
      </w:pPr>
    </w:p>
    <w:tbl>
      <w:tblPr>
        <w:tblStyle w:val="TableGrid"/>
        <w:tblW w:w="0" w:type="auto"/>
        <w:tblInd w:w="-5" w:type="dxa"/>
        <w:tblLook w:val="04A0" w:firstRow="1" w:lastRow="0" w:firstColumn="1" w:lastColumn="0" w:noHBand="0" w:noVBand="1"/>
      </w:tblPr>
      <w:tblGrid>
        <w:gridCol w:w="1985"/>
        <w:gridCol w:w="4252"/>
        <w:gridCol w:w="7513"/>
      </w:tblGrid>
      <w:tr w:rsidR="004814E0" w:rsidTr="00C84A99">
        <w:tc>
          <w:tcPr>
            <w:tcW w:w="1985" w:type="dxa"/>
          </w:tcPr>
          <w:p w:rsidR="004814E0" w:rsidRPr="00C84A99" w:rsidRDefault="004814E0">
            <w:pPr>
              <w:ind w:left="0" w:firstLine="0"/>
              <w:rPr>
                <w:b/>
                <w:bCs/>
                <w:noProof/>
                <w:sz w:val="24"/>
                <w:szCs w:val="24"/>
              </w:rPr>
            </w:pPr>
            <w:r w:rsidRPr="00C84A99">
              <w:rPr>
                <w:b/>
                <w:bCs/>
                <w:noProof/>
                <w:sz w:val="24"/>
                <w:szCs w:val="24"/>
              </w:rPr>
              <w:t>Title</w:t>
            </w:r>
          </w:p>
        </w:tc>
        <w:tc>
          <w:tcPr>
            <w:tcW w:w="4252" w:type="dxa"/>
          </w:tcPr>
          <w:p w:rsidR="004814E0" w:rsidRPr="00C84A99" w:rsidRDefault="004814E0">
            <w:pPr>
              <w:ind w:left="0" w:firstLine="0"/>
              <w:rPr>
                <w:b/>
                <w:bCs/>
                <w:noProof/>
                <w:sz w:val="24"/>
                <w:szCs w:val="24"/>
              </w:rPr>
            </w:pPr>
            <w:r w:rsidRPr="00C84A99">
              <w:rPr>
                <w:b/>
                <w:bCs/>
                <w:noProof/>
                <w:sz w:val="24"/>
                <w:szCs w:val="24"/>
              </w:rPr>
              <w:t xml:space="preserve">Brief description </w:t>
            </w:r>
          </w:p>
        </w:tc>
        <w:tc>
          <w:tcPr>
            <w:tcW w:w="7513" w:type="dxa"/>
          </w:tcPr>
          <w:p w:rsidR="004814E0" w:rsidRPr="00C84A99" w:rsidRDefault="004814E0">
            <w:pPr>
              <w:ind w:left="0" w:firstLine="0"/>
              <w:rPr>
                <w:b/>
                <w:bCs/>
                <w:noProof/>
                <w:sz w:val="24"/>
                <w:szCs w:val="24"/>
              </w:rPr>
            </w:pPr>
            <w:r w:rsidRPr="00C84A99">
              <w:rPr>
                <w:b/>
                <w:bCs/>
                <w:noProof/>
                <w:sz w:val="24"/>
                <w:szCs w:val="24"/>
              </w:rPr>
              <w:t>Interaction with initiative on Empowering Consumers for the Green Transition</w:t>
            </w:r>
          </w:p>
        </w:tc>
      </w:tr>
      <w:tr w:rsidR="004814E0" w:rsidTr="00C84A99">
        <w:tc>
          <w:tcPr>
            <w:tcW w:w="1985" w:type="dxa"/>
          </w:tcPr>
          <w:p w:rsidR="004814E0" w:rsidRPr="00C84A99" w:rsidRDefault="004814E0">
            <w:pPr>
              <w:ind w:left="0" w:firstLine="0"/>
              <w:rPr>
                <w:b/>
                <w:bCs/>
                <w:noProof/>
              </w:rPr>
            </w:pPr>
            <w:r w:rsidRPr="00C84A99">
              <w:rPr>
                <w:b/>
                <w:bCs/>
                <w:noProof/>
              </w:rPr>
              <w:t>Green Claims Initiative</w:t>
            </w:r>
          </w:p>
        </w:tc>
        <w:tc>
          <w:tcPr>
            <w:tcW w:w="4252" w:type="dxa"/>
          </w:tcPr>
          <w:p w:rsidR="00193EDA" w:rsidRPr="00193EDA" w:rsidRDefault="00193EDA" w:rsidP="00193EDA">
            <w:pPr>
              <w:pStyle w:val="tablecontentstyle"/>
              <w:rPr>
                <w:noProof/>
              </w:rPr>
            </w:pPr>
            <w:r w:rsidRPr="00193EDA">
              <w:rPr>
                <w:noProof/>
              </w:rPr>
              <w:t>The Green Claims initiative was announced by the European Green Deal, the Circular Economy Action Plan</w:t>
            </w:r>
            <w:r w:rsidRPr="00193EDA">
              <w:rPr>
                <w:rStyle w:val="FootnoteReference"/>
                <w:noProof/>
              </w:rPr>
              <w:footnoteReference w:id="218"/>
            </w:r>
            <w:r w:rsidRPr="00193EDA">
              <w:rPr>
                <w:noProof/>
              </w:rPr>
              <w:t xml:space="preserve"> and the New Consumer Agenda</w:t>
            </w:r>
            <w:r w:rsidRPr="00193EDA">
              <w:rPr>
                <w:rStyle w:val="FootnoteReference"/>
                <w:noProof/>
              </w:rPr>
              <w:footnoteReference w:id="219"/>
            </w:r>
            <w:r w:rsidRPr="00193EDA">
              <w:rPr>
                <w:noProof/>
              </w:rPr>
              <w:t>. It aims to ensure that environmental claims are substantiated based on reliable, comparable and verifiable information. The initiative would apply horizontally to voluntary claims related to products (goods and services, including food and non-food), and organisations, in a business-to-consumer and business-to-business context. It does not cover social sustainability.</w:t>
            </w:r>
          </w:p>
          <w:p w:rsidR="004814E0" w:rsidRDefault="004814E0" w:rsidP="7F52AB9A">
            <w:pPr>
              <w:ind w:left="0" w:firstLine="0"/>
              <w:rPr>
                <w:noProof/>
              </w:rPr>
            </w:pPr>
          </w:p>
        </w:tc>
        <w:tc>
          <w:tcPr>
            <w:tcW w:w="7513" w:type="dxa"/>
          </w:tcPr>
          <w:p w:rsidR="00193EDA" w:rsidRPr="00193EDA" w:rsidRDefault="004814E0" w:rsidP="00193EDA">
            <w:pPr>
              <w:pStyle w:val="BodyTextEC"/>
              <w:rPr>
                <w:rFonts w:ascii="Times New Roman" w:hAnsi="Times New Roman"/>
                <w:noProof/>
              </w:rPr>
            </w:pPr>
            <w:r w:rsidRPr="00193EDA">
              <w:rPr>
                <w:rFonts w:ascii="Times New Roman" w:hAnsi="Times New Roman"/>
                <w:noProof/>
              </w:rPr>
              <w:t xml:space="preserve">The interaction between </w:t>
            </w:r>
            <w:r w:rsidR="00193EDA">
              <w:rPr>
                <w:rFonts w:ascii="Times New Roman" w:hAnsi="Times New Roman"/>
                <w:noProof/>
              </w:rPr>
              <w:t xml:space="preserve">the </w:t>
            </w:r>
            <w:r w:rsidRPr="00193EDA">
              <w:rPr>
                <w:rFonts w:ascii="Times New Roman" w:hAnsi="Times New Roman"/>
                <w:noProof/>
              </w:rPr>
              <w:t>initiatives is focused on business-to-consumer (B2C) claims (G</w:t>
            </w:r>
            <w:r w:rsidR="000B6D91" w:rsidRPr="00193EDA">
              <w:rPr>
                <w:rFonts w:ascii="Times New Roman" w:hAnsi="Times New Roman"/>
                <w:noProof/>
              </w:rPr>
              <w:t xml:space="preserve">reen </w:t>
            </w:r>
            <w:r w:rsidRPr="00193EDA">
              <w:rPr>
                <w:rFonts w:ascii="Times New Roman" w:hAnsi="Times New Roman"/>
                <w:noProof/>
              </w:rPr>
              <w:t>C</w:t>
            </w:r>
            <w:r w:rsidR="000B6D91" w:rsidRPr="00193EDA">
              <w:rPr>
                <w:rFonts w:ascii="Times New Roman" w:hAnsi="Times New Roman"/>
                <w:noProof/>
              </w:rPr>
              <w:t xml:space="preserve">laims </w:t>
            </w:r>
            <w:r w:rsidRPr="00193EDA">
              <w:rPr>
                <w:rFonts w:ascii="Times New Roman" w:hAnsi="Times New Roman"/>
                <w:noProof/>
              </w:rPr>
              <w:t>I</w:t>
            </w:r>
            <w:r w:rsidR="000B6D91" w:rsidRPr="00193EDA">
              <w:rPr>
                <w:rFonts w:ascii="Times New Roman" w:hAnsi="Times New Roman"/>
                <w:noProof/>
              </w:rPr>
              <w:t>nitiative</w:t>
            </w:r>
            <w:r w:rsidR="00E01824">
              <w:rPr>
                <w:rFonts w:ascii="Times New Roman" w:hAnsi="Times New Roman"/>
                <w:noProof/>
              </w:rPr>
              <w:t xml:space="preserve"> aims to cover</w:t>
            </w:r>
            <w:r w:rsidRPr="00193EDA">
              <w:rPr>
                <w:rFonts w:ascii="Times New Roman" w:hAnsi="Times New Roman"/>
                <w:noProof/>
              </w:rPr>
              <w:t xml:space="preserve"> both B2B and B2C claims), and to measures that aim to fight greenwashing. </w:t>
            </w:r>
            <w:r w:rsidR="00193EDA" w:rsidRPr="00193EDA">
              <w:rPr>
                <w:rFonts w:ascii="Times New Roman" w:hAnsi="Times New Roman"/>
                <w:noProof/>
              </w:rPr>
              <w:t xml:space="preserve">On these areas, initiative on Empowering consumers for the green transition will act as a </w:t>
            </w:r>
            <w:r w:rsidR="00C26571" w:rsidRPr="001C78FB">
              <w:rPr>
                <w:rFonts w:ascii="Times New Roman" w:hAnsi="Times New Roman"/>
                <w:noProof/>
              </w:rPr>
              <w:t>B2C</w:t>
            </w:r>
            <w:r w:rsidR="00C26571">
              <w:rPr>
                <w:rFonts w:ascii="Times New Roman" w:hAnsi="Times New Roman"/>
                <w:noProof/>
              </w:rPr>
              <w:t xml:space="preserve"> </w:t>
            </w:r>
            <w:r w:rsidR="00193EDA" w:rsidRPr="00193EDA">
              <w:rPr>
                <w:rFonts w:ascii="Times New Roman" w:hAnsi="Times New Roman"/>
                <w:i/>
                <w:iCs/>
                <w:noProof/>
              </w:rPr>
              <w:t>lex generalis</w:t>
            </w:r>
            <w:r w:rsidR="00193EDA" w:rsidRPr="00193EDA">
              <w:rPr>
                <w:rFonts w:ascii="Times New Roman" w:hAnsi="Times New Roman"/>
                <w:noProof/>
              </w:rPr>
              <w:t>, a safety net for other EU-level technical or sector-specific instruments providing more detailed rules (</w:t>
            </w:r>
            <w:r w:rsidR="00193EDA" w:rsidRPr="00193EDA">
              <w:rPr>
                <w:rFonts w:ascii="Times New Roman" w:hAnsi="Times New Roman"/>
                <w:i/>
                <w:iCs/>
                <w:noProof/>
              </w:rPr>
              <w:t>lex specialis</w:t>
            </w:r>
            <w:r w:rsidR="00193EDA" w:rsidRPr="00193EDA">
              <w:rPr>
                <w:rFonts w:ascii="Times New Roman" w:hAnsi="Times New Roman"/>
                <w:noProof/>
              </w:rPr>
              <w:t xml:space="preserve">) for environmental claims. The Green Claims Initiative is such a </w:t>
            </w:r>
            <w:r w:rsidR="00193EDA" w:rsidRPr="00193EDA">
              <w:rPr>
                <w:rFonts w:ascii="Times New Roman" w:hAnsi="Times New Roman"/>
                <w:i/>
                <w:noProof/>
              </w:rPr>
              <w:t>lex specialis</w:t>
            </w:r>
            <w:r w:rsidR="00193EDA" w:rsidRPr="00193EDA">
              <w:rPr>
                <w:rFonts w:ascii="Times New Roman" w:hAnsi="Times New Roman"/>
                <w:noProof/>
              </w:rPr>
              <w:t xml:space="preserve"> technical instrument. More specifically, this will mean that a green claim will need to be substantiated based on requirements of the Green Claims Initiative.</w:t>
            </w:r>
            <w:r w:rsidR="00193EDA" w:rsidRPr="00193EDA">
              <w:rPr>
                <w:rFonts w:ascii="Times New Roman" w:hAnsi="Times New Roman"/>
                <w:noProof/>
                <w:shd w:val="clear" w:color="auto" w:fill="FFFFFF"/>
              </w:rPr>
              <w:t xml:space="preserve"> </w:t>
            </w:r>
          </w:p>
          <w:p w:rsidR="00193EDA" w:rsidRPr="00193EDA" w:rsidRDefault="00193EDA" w:rsidP="00193EDA">
            <w:pPr>
              <w:pStyle w:val="BodyTextEC"/>
              <w:rPr>
                <w:rFonts w:ascii="Times New Roman" w:hAnsi="Times New Roman"/>
                <w:noProof/>
              </w:rPr>
            </w:pPr>
            <w:r w:rsidRPr="00193EDA">
              <w:rPr>
                <w:rFonts w:ascii="Times New Roman" w:hAnsi="Times New Roman"/>
                <w:noProof/>
              </w:rPr>
              <w:t xml:space="preserve">The </w:t>
            </w:r>
            <w:r w:rsidRPr="001C78FB">
              <w:rPr>
                <w:rFonts w:ascii="Times New Roman" w:hAnsi="Times New Roman"/>
                <w:noProof/>
              </w:rPr>
              <w:t xml:space="preserve">policy options </w:t>
            </w:r>
            <w:r w:rsidR="000E7B40" w:rsidRPr="001C78FB">
              <w:rPr>
                <w:rFonts w:ascii="Times New Roman" w:hAnsi="Times New Roman"/>
                <w:noProof/>
              </w:rPr>
              <w:t>under examination in the context</w:t>
            </w:r>
            <w:r w:rsidR="000E7B40">
              <w:rPr>
                <w:rFonts w:ascii="Times New Roman" w:hAnsi="Times New Roman"/>
                <w:noProof/>
              </w:rPr>
              <w:t xml:space="preserve"> </w:t>
            </w:r>
            <w:r w:rsidRPr="00193EDA">
              <w:rPr>
                <w:rFonts w:ascii="Times New Roman" w:hAnsi="Times New Roman"/>
                <w:noProof/>
              </w:rPr>
              <w:t>of the Green Claims Initiative interact with this initiative in the following areas:</w:t>
            </w:r>
          </w:p>
          <w:p w:rsidR="00193EDA" w:rsidRPr="001E1343" w:rsidRDefault="00C7304D" w:rsidP="00193EDA">
            <w:pPr>
              <w:pStyle w:val="tablecontentstyle"/>
              <w:numPr>
                <w:ilvl w:val="0"/>
                <w:numId w:val="355"/>
              </w:numPr>
              <w:pBdr>
                <w:bottom w:val="single" w:sz="4" w:space="1" w:color="auto"/>
              </w:pBdr>
              <w:rPr>
                <w:noProof/>
              </w:rPr>
            </w:pPr>
            <w:r w:rsidRPr="001C78FB">
              <w:rPr>
                <w:noProof/>
              </w:rPr>
              <w:t>Certain p</w:t>
            </w:r>
            <w:r w:rsidR="000E7B40" w:rsidRPr="001C78FB">
              <w:rPr>
                <w:noProof/>
              </w:rPr>
              <w:t xml:space="preserve">olicy </w:t>
            </w:r>
            <w:r w:rsidR="00193EDA" w:rsidRPr="001C78FB">
              <w:rPr>
                <w:noProof/>
              </w:rPr>
              <w:t>option</w:t>
            </w:r>
            <w:r w:rsidR="000E7B40" w:rsidRPr="001C78FB">
              <w:rPr>
                <w:noProof/>
              </w:rPr>
              <w:t>s</w:t>
            </w:r>
            <w:r w:rsidR="00193EDA">
              <w:rPr>
                <w:noProof/>
              </w:rPr>
              <w:t xml:space="preserve"> </w:t>
            </w:r>
            <w:r w:rsidRPr="001C78FB">
              <w:rPr>
                <w:noProof/>
              </w:rPr>
              <w:t>considered under</w:t>
            </w:r>
            <w:r w:rsidR="00193EDA">
              <w:rPr>
                <w:noProof/>
              </w:rPr>
              <w:t xml:space="preserve"> the Green Claims Initiative</w:t>
            </w:r>
            <w:r w:rsidR="00193EDA" w:rsidRPr="001E1343">
              <w:rPr>
                <w:noProof/>
              </w:rPr>
              <w:t xml:space="preserve"> would make it mandatory for companies to observe certain methodological requirements regarding the substantiation and the communication of their voluntary environmental claims. For claims related to specific environmental impacts, life cycle or overall environmental performance, they</w:t>
            </w:r>
            <w:r w:rsidR="00F46668">
              <w:rPr>
                <w:noProof/>
              </w:rPr>
              <w:t xml:space="preserve"> </w:t>
            </w:r>
            <w:r w:rsidR="00F46668" w:rsidRPr="001C78FB">
              <w:rPr>
                <w:noProof/>
              </w:rPr>
              <w:t>would</w:t>
            </w:r>
            <w:r w:rsidR="00193EDA" w:rsidRPr="001E1343">
              <w:rPr>
                <w:noProof/>
              </w:rPr>
              <w:t xml:space="preserve"> need to substantiate them via a PEF or OEF report (based on a PEFCRs or OEFSRs, where they exist, and based on the PEF or OEF method</w:t>
            </w:r>
            <w:r w:rsidR="00193EDA" w:rsidRPr="001E1343">
              <w:rPr>
                <w:rStyle w:val="FootnoteReference"/>
                <w:noProof/>
              </w:rPr>
              <w:footnoteReference w:id="220"/>
            </w:r>
            <w:r w:rsidR="00193EDA" w:rsidRPr="001E1343">
              <w:rPr>
                <w:noProof/>
              </w:rPr>
              <w:t>, where no PEFCR/OEFSR is available) and respect requirements on minimum information content in their co</w:t>
            </w:r>
            <w:r>
              <w:rPr>
                <w:noProof/>
              </w:rPr>
              <w:t>mmunication. The initiative would</w:t>
            </w:r>
            <w:r w:rsidR="00193EDA" w:rsidRPr="001E1343">
              <w:rPr>
                <w:noProof/>
              </w:rPr>
              <w:t xml:space="preserve"> gradually introduce methodological requirements for a wider range of priority claims. Companies would remain free to decide if they make an environmental claim.</w:t>
            </w:r>
          </w:p>
          <w:p w:rsidR="004814E0" w:rsidRDefault="00193EDA" w:rsidP="00C42051">
            <w:pPr>
              <w:numPr>
                <w:ilvl w:val="0"/>
                <w:numId w:val="354"/>
              </w:numPr>
              <w:pBdr>
                <w:bottom w:val="single" w:sz="4" w:space="1" w:color="auto"/>
              </w:pBdr>
              <w:rPr>
                <w:noProof/>
              </w:rPr>
            </w:pPr>
            <w:r>
              <w:rPr>
                <w:noProof/>
              </w:rPr>
              <w:t>The Empowering Consumers for the Green Transition initiative will introduce a ban on</w:t>
            </w:r>
            <w:r w:rsidRPr="00F31754">
              <w:rPr>
                <w:noProof/>
              </w:rPr>
              <w:t xml:space="preserve"> </w:t>
            </w:r>
            <w:r w:rsidR="00C7304D" w:rsidRPr="001C78FB">
              <w:rPr>
                <w:noProof/>
              </w:rPr>
              <w:t>generic</w:t>
            </w:r>
            <w:r w:rsidRPr="001C78FB">
              <w:rPr>
                <w:noProof/>
              </w:rPr>
              <w:t xml:space="preserve"> statements</w:t>
            </w:r>
            <w:r w:rsidRPr="00F31754">
              <w:rPr>
                <w:noProof/>
              </w:rPr>
              <w:t xml:space="preserve"> on the environmental performance of products (</w:t>
            </w:r>
            <w:r w:rsidR="00C7304D" w:rsidRPr="001C78FB">
              <w:rPr>
                <w:noProof/>
              </w:rPr>
              <w:t>generic</w:t>
            </w:r>
            <w:r w:rsidRPr="001C78FB">
              <w:rPr>
                <w:noProof/>
              </w:rPr>
              <w:t xml:space="preserve"> environmental claims</w:t>
            </w:r>
            <w:r w:rsidRPr="00F31754">
              <w:rPr>
                <w:noProof/>
              </w:rPr>
              <w:t xml:space="preserve"> such as “good for the environment”, “environmentally friendly” “friend of nature”, “green” would be forbidden unless the excellent </w:t>
            </w:r>
            <w:r>
              <w:rPr>
                <w:noProof/>
              </w:rPr>
              <w:t>environmental</w:t>
            </w:r>
            <w:r w:rsidRPr="00F31754">
              <w:rPr>
                <w:noProof/>
              </w:rPr>
              <w:t xml:space="preserve"> performance of the product can be demonstrated either  by</w:t>
            </w:r>
            <w:r w:rsidR="00C7304D">
              <w:rPr>
                <w:noProof/>
              </w:rPr>
              <w:t xml:space="preserve"> compliance with</w:t>
            </w:r>
            <w:r w:rsidRPr="00F31754">
              <w:rPr>
                <w:noProof/>
              </w:rPr>
              <w:t xml:space="preserve"> the EU Ecolabel</w:t>
            </w:r>
            <w:r w:rsidR="00C7304D">
              <w:rPr>
                <w:noProof/>
              </w:rPr>
              <w:t xml:space="preserve"> regulation;</w:t>
            </w:r>
            <w:r>
              <w:rPr>
                <w:noProof/>
              </w:rPr>
              <w:t xml:space="preserve"> </w:t>
            </w:r>
            <w:r w:rsidRPr="00F31754">
              <w:rPr>
                <w:noProof/>
              </w:rPr>
              <w:t xml:space="preserve">officially recognised ecolabelling schemes in the Member States (in accordance with Article 11 of EU Ecolabel regulation); or </w:t>
            </w:r>
            <w:r w:rsidR="00C7304D">
              <w:rPr>
                <w:noProof/>
              </w:rPr>
              <w:t xml:space="preserve">by compliance with top environmental performance </w:t>
            </w:r>
            <w:r w:rsidRPr="00F31754">
              <w:rPr>
                <w:noProof/>
              </w:rPr>
              <w:t xml:space="preserve">in accordance with applicable EU </w:t>
            </w:r>
            <w:r>
              <w:rPr>
                <w:noProof/>
              </w:rPr>
              <w:t>laws</w:t>
            </w:r>
            <w:r w:rsidRPr="00F31754">
              <w:rPr>
                <w:noProof/>
              </w:rPr>
              <w:t xml:space="preserve">, i.e. the green claims or any </w:t>
            </w:r>
            <w:r w:rsidR="00F46668" w:rsidRPr="001C78FB">
              <w:rPr>
                <w:noProof/>
              </w:rPr>
              <w:t>other</w:t>
            </w:r>
            <w:r w:rsidRPr="00F31754">
              <w:rPr>
                <w:noProof/>
              </w:rPr>
              <w:t xml:space="preserve"> specific EU law applicable  for certain sectors (e.g. linked to future SPI instrument or green finance</w:t>
            </w:r>
            <w:r w:rsidR="00F46668">
              <w:rPr>
                <w:noProof/>
              </w:rPr>
              <w:t xml:space="preserve"> </w:t>
            </w:r>
            <w:r w:rsidR="00F46668" w:rsidRPr="001C78FB">
              <w:rPr>
                <w:noProof/>
              </w:rPr>
              <w:t>etc.</w:t>
            </w:r>
            <w:r w:rsidRPr="001C78FB">
              <w:rPr>
                <w:noProof/>
              </w:rPr>
              <w:t>).</w:t>
            </w:r>
          </w:p>
          <w:p w:rsidR="00C42051" w:rsidRPr="00C42051" w:rsidRDefault="00C42051" w:rsidP="00C42051">
            <w:pPr>
              <w:pBdr>
                <w:bottom w:val="single" w:sz="4" w:space="1" w:color="auto"/>
              </w:pBdr>
              <w:ind w:left="360" w:firstLine="0"/>
              <w:rPr>
                <w:noProof/>
              </w:rPr>
            </w:pPr>
          </w:p>
        </w:tc>
      </w:tr>
      <w:tr w:rsidR="004814E0" w:rsidTr="00C84A99">
        <w:tc>
          <w:tcPr>
            <w:tcW w:w="1985" w:type="dxa"/>
          </w:tcPr>
          <w:p w:rsidR="004814E0" w:rsidRPr="00C84A99" w:rsidRDefault="004814E0">
            <w:pPr>
              <w:ind w:left="0" w:firstLine="0"/>
              <w:rPr>
                <w:b/>
                <w:bCs/>
                <w:noProof/>
              </w:rPr>
            </w:pPr>
            <w:r w:rsidRPr="00C84A99">
              <w:rPr>
                <w:b/>
                <w:bCs/>
                <w:noProof/>
              </w:rPr>
              <w:t>Sustainable Products Initiative</w:t>
            </w:r>
          </w:p>
        </w:tc>
        <w:tc>
          <w:tcPr>
            <w:tcW w:w="4252" w:type="dxa"/>
          </w:tcPr>
          <w:p w:rsidR="004814E0" w:rsidRDefault="008B3A60" w:rsidP="009C3771">
            <w:pPr>
              <w:ind w:left="0" w:firstLine="0"/>
              <w:rPr>
                <w:noProof/>
              </w:rPr>
            </w:pPr>
            <w:r>
              <w:rPr>
                <w:noProof/>
              </w:rPr>
              <w:t>The</w:t>
            </w:r>
            <w:r w:rsidRPr="008B3A60">
              <w:rPr>
                <w:noProof/>
              </w:rPr>
              <w:t xml:space="preserve"> Sustainable</w:t>
            </w:r>
            <w:r>
              <w:rPr>
                <w:noProof/>
              </w:rPr>
              <w:t xml:space="preserve"> Products Initiative (SPI) will</w:t>
            </w:r>
            <w:r w:rsidRPr="008B3A60">
              <w:rPr>
                <w:noProof/>
              </w:rPr>
              <w:t xml:space="preserve"> introduce sustainability requirements for products placed on the market, </w:t>
            </w:r>
            <w:r w:rsidR="00255521">
              <w:rPr>
                <w:noProof/>
              </w:rPr>
              <w:t>mainly</w:t>
            </w:r>
            <w:r w:rsidR="00255521" w:rsidRPr="008B3A60">
              <w:rPr>
                <w:noProof/>
              </w:rPr>
              <w:t xml:space="preserve"> </w:t>
            </w:r>
            <w:r w:rsidRPr="008B3A60">
              <w:rPr>
                <w:noProof/>
              </w:rPr>
              <w:t xml:space="preserve">targeting manufacturers. The SPI will </w:t>
            </w:r>
            <w:r w:rsidR="00255521">
              <w:rPr>
                <w:noProof/>
              </w:rPr>
              <w:t>create a framework that</w:t>
            </w:r>
            <w:r w:rsidRPr="008B3A60">
              <w:rPr>
                <w:noProof/>
              </w:rPr>
              <w:t xml:space="preserve"> allow</w:t>
            </w:r>
            <w:r w:rsidR="00255521">
              <w:rPr>
                <w:noProof/>
              </w:rPr>
              <w:t>s</w:t>
            </w:r>
            <w:r w:rsidRPr="008B3A60">
              <w:rPr>
                <w:noProof/>
              </w:rPr>
              <w:t xml:space="preserve"> setting both </w:t>
            </w:r>
            <w:r w:rsidR="009C3771" w:rsidRPr="001C78FB">
              <w:rPr>
                <w:noProof/>
              </w:rPr>
              <w:t>performance</w:t>
            </w:r>
            <w:r w:rsidR="009C3771" w:rsidRPr="008B3A60">
              <w:rPr>
                <w:noProof/>
              </w:rPr>
              <w:t xml:space="preserve"> </w:t>
            </w:r>
            <w:r w:rsidRPr="008B3A60">
              <w:rPr>
                <w:noProof/>
              </w:rPr>
              <w:t>requirements and information requirements for specific product or groups of products. The initiative should expand the scope of the Ecodesign Directive to a wider range of products, and to new types of requirements to better cover the life cycle of products, circularity and possibly social aspects.</w:t>
            </w:r>
            <w:r>
              <w:rPr>
                <w:noProof/>
              </w:rPr>
              <w:t xml:space="preserve"> </w:t>
            </w:r>
            <w:r w:rsidR="00255521">
              <w:rPr>
                <w:noProof/>
              </w:rPr>
              <w:t>S</w:t>
            </w:r>
            <w:r w:rsidR="003F75E6">
              <w:rPr>
                <w:noProof/>
              </w:rPr>
              <w:t xml:space="preserve">PI will be implemented based on a work programme set in line with priority criteria, establishing requirements as relevant to the products included in the work programme. </w:t>
            </w:r>
            <w:r>
              <w:rPr>
                <w:noProof/>
                <w:lang w:val="en-IE"/>
              </w:rPr>
              <w:t xml:space="preserve">The SPI also aims to establish a </w:t>
            </w:r>
            <w:r w:rsidRPr="00C84A99">
              <w:rPr>
                <w:noProof/>
                <w:lang w:val="en-IE"/>
              </w:rPr>
              <w:t>digital product passport</w:t>
            </w:r>
            <w:r>
              <w:rPr>
                <w:noProof/>
                <w:lang w:val="en-IE"/>
              </w:rPr>
              <w:t xml:space="preserve"> which would give access to such information along the value chain, with differentiated access to consumers, businesses and compliance authorities.</w:t>
            </w:r>
          </w:p>
        </w:tc>
        <w:tc>
          <w:tcPr>
            <w:tcW w:w="7513" w:type="dxa"/>
          </w:tcPr>
          <w:p w:rsidR="008B3A60" w:rsidRDefault="008B3A60" w:rsidP="7F52AB9A">
            <w:pPr>
              <w:ind w:left="0" w:firstLine="0"/>
              <w:rPr>
                <w:noProof/>
              </w:rPr>
            </w:pPr>
            <w:r>
              <w:rPr>
                <w:noProof/>
              </w:rPr>
              <w:t>By</w:t>
            </w:r>
            <w:r w:rsidR="00B25B63">
              <w:rPr>
                <w:noProof/>
              </w:rPr>
              <w:t xml:space="preserve"> laying down more specific product requirements ,</w:t>
            </w:r>
            <w:r>
              <w:rPr>
                <w:noProof/>
              </w:rPr>
              <w:t xml:space="preserve"> the SPI</w:t>
            </w:r>
            <w:r w:rsidR="00B25B63">
              <w:rPr>
                <w:noProof/>
              </w:rPr>
              <w:t xml:space="preserve"> will be able to elaborate on and further complement the </w:t>
            </w:r>
            <w:r w:rsidR="00002D8B">
              <w:rPr>
                <w:noProof/>
              </w:rPr>
              <w:t>measures foreseen in the initiative on Empowering Consumers for the Green Transition,</w:t>
            </w:r>
            <w:r w:rsidR="00B25B63">
              <w:rPr>
                <w:noProof/>
              </w:rPr>
              <w:t xml:space="preserve"> in particular in relation to the reparability and durability of products: </w:t>
            </w:r>
          </w:p>
          <w:p w:rsidR="008B3A60" w:rsidRDefault="008B3A60" w:rsidP="00B25B63">
            <w:pPr>
              <w:ind w:left="0" w:firstLine="0"/>
              <w:rPr>
                <w:noProof/>
              </w:rPr>
            </w:pPr>
          </w:p>
          <w:p w:rsidR="00B25B63" w:rsidRPr="00C42051" w:rsidRDefault="00B25B63" w:rsidP="00C84A99">
            <w:pPr>
              <w:pStyle w:val="ListParagraph"/>
              <w:numPr>
                <w:ilvl w:val="0"/>
                <w:numId w:val="196"/>
              </w:numPr>
              <w:rPr>
                <w:noProof/>
                <w:color w:val="auto"/>
              </w:rPr>
            </w:pPr>
            <w:r w:rsidRPr="00C42051">
              <w:rPr>
                <w:rFonts w:ascii="Times New Roman" w:hAnsi="Times New Roman"/>
                <w:noProof/>
                <w:color w:val="auto"/>
              </w:rPr>
              <w:t xml:space="preserve">For durability, the SPI may </w:t>
            </w:r>
            <w:r w:rsidR="003F75E6" w:rsidRPr="00C42051">
              <w:rPr>
                <w:rFonts w:ascii="Times New Roman" w:hAnsi="Times New Roman"/>
                <w:noProof/>
                <w:color w:val="auto"/>
              </w:rPr>
              <w:t>e.g.</w:t>
            </w:r>
            <w:r w:rsidRPr="00C42051">
              <w:rPr>
                <w:rFonts w:ascii="Times New Roman" w:hAnsi="Times New Roman"/>
                <w:noProof/>
                <w:color w:val="auto"/>
              </w:rPr>
              <w:t xml:space="preserve"> set requirements on what the minimum life duration of a specific product (or its components) should be or how long its spare parts should be kept available after purchase to facilitate its repair. In addition, the SPI could set information requirements on the expected durability of specific products. Therefore, the Empowering Consumer initiative’s horizontal information requirement on producer’s commercial guarantee is fully complementary to SPI. </w:t>
            </w:r>
          </w:p>
          <w:p w:rsidR="00B25B63" w:rsidRPr="00C42051" w:rsidRDefault="00B25B63" w:rsidP="00C84A99">
            <w:pPr>
              <w:pStyle w:val="ListParagraph"/>
              <w:numPr>
                <w:ilvl w:val="0"/>
                <w:numId w:val="196"/>
              </w:numPr>
              <w:rPr>
                <w:noProof/>
                <w:color w:val="auto"/>
              </w:rPr>
            </w:pPr>
            <w:r w:rsidRPr="00C42051">
              <w:rPr>
                <w:rFonts w:ascii="Times New Roman" w:hAnsi="Times New Roman"/>
                <w:noProof/>
                <w:color w:val="auto"/>
              </w:rPr>
              <w:t>For reparability, the SPI could set design requirements to improve the reparability of specific products, e.g. on a product’s ease of dis-assembly. In addition, the SPI could set information requirements on reparability, possibly including a reparability scor</w:t>
            </w:r>
            <w:r w:rsidR="000812E0" w:rsidRPr="00C42051">
              <w:rPr>
                <w:rFonts w:ascii="Times New Roman" w:hAnsi="Times New Roman"/>
                <w:noProof/>
                <w:color w:val="auto"/>
              </w:rPr>
              <w:t>ing index</w:t>
            </w:r>
            <w:r w:rsidRPr="00C42051">
              <w:rPr>
                <w:rFonts w:ascii="Times New Roman" w:hAnsi="Times New Roman"/>
                <w:noProof/>
                <w:color w:val="auto"/>
              </w:rPr>
              <w:t xml:space="preserve">. Future SPI measures may also specify how this information should be communicated in relation to the relevant product or product group, including to consumers. Where appropriate and feasible, reparability information could also be required to be included in the Digital Product Passport. In so far as these communication rules are relevant to sellers as defined under the Empowering Consumers initiative, the SPI would function as a </w:t>
            </w:r>
            <w:r w:rsidRPr="00C42051">
              <w:rPr>
                <w:rFonts w:ascii="Times New Roman" w:hAnsi="Times New Roman"/>
                <w:i/>
                <w:iCs/>
                <w:noProof/>
                <w:color w:val="auto"/>
              </w:rPr>
              <w:t>lex specialis</w:t>
            </w:r>
            <w:r w:rsidRPr="00C42051">
              <w:rPr>
                <w:rFonts w:ascii="Times New Roman" w:hAnsi="Times New Roman"/>
                <w:noProof/>
                <w:color w:val="auto"/>
              </w:rPr>
              <w:t xml:space="preserve"> and could provide more demanding or precise instructions where needed in relation to specific products or product groups. If not, the Empowering Consumers initiative provides default rules for the seller’s obligations in relation to reparability information required by SPI.        Therefore, the Empowering Consumer initiative’s horizontal information requirement on reparability is fully complementary to SPI.</w:t>
            </w:r>
          </w:p>
          <w:p w:rsidR="00002D8B" w:rsidRPr="00C42051" w:rsidRDefault="00002D8B" w:rsidP="00B25B63">
            <w:pPr>
              <w:ind w:left="0" w:firstLine="0"/>
              <w:rPr>
                <w:noProof/>
              </w:rPr>
            </w:pPr>
          </w:p>
          <w:p w:rsidR="004814E0" w:rsidRDefault="00B25B63" w:rsidP="7F52AB9A">
            <w:pPr>
              <w:ind w:left="0" w:firstLine="0"/>
              <w:rPr>
                <w:noProof/>
              </w:rPr>
            </w:pPr>
            <w:r>
              <w:rPr>
                <w:noProof/>
              </w:rPr>
              <w:t xml:space="preserve">In relation to misleading practices, </w:t>
            </w:r>
            <w:r w:rsidR="008B3A60">
              <w:rPr>
                <w:noProof/>
              </w:rPr>
              <w:t xml:space="preserve">such as early obsolescence, </w:t>
            </w:r>
            <w:r w:rsidR="00002D8B">
              <w:rPr>
                <w:noProof/>
              </w:rPr>
              <w:t>the SPI</w:t>
            </w:r>
            <w:r>
              <w:rPr>
                <w:noProof/>
              </w:rPr>
              <w:t xml:space="preserve"> aims to introduce specific requirements (e.g. on durability and reparability) for products or groups of products</w:t>
            </w:r>
            <w:r w:rsidR="00002D8B">
              <w:rPr>
                <w:noProof/>
              </w:rPr>
              <w:t>, thus complementing the Empowering Consumers initiative which</w:t>
            </w:r>
            <w:r>
              <w:rPr>
                <w:noProof/>
              </w:rPr>
              <w:t xml:space="preserve"> will facilitate public enforcement in order to stop unfair practices and will allow the harmed consumers to claim individual remedies where such practices are deemed unfair under consumer law</w:t>
            </w:r>
          </w:p>
          <w:p w:rsidR="000812E0" w:rsidRDefault="000812E0" w:rsidP="00B25B63">
            <w:pPr>
              <w:ind w:left="0" w:firstLine="0"/>
              <w:rPr>
                <w:noProof/>
              </w:rPr>
            </w:pPr>
          </w:p>
          <w:p w:rsidR="000812E0" w:rsidRDefault="000812E0" w:rsidP="009C3771">
            <w:pPr>
              <w:ind w:left="0" w:firstLine="0"/>
              <w:rPr>
                <w:noProof/>
                <w:lang w:val="en-IE"/>
              </w:rPr>
            </w:pPr>
            <w:r>
              <w:rPr>
                <w:noProof/>
                <w:lang w:val="en-IE"/>
              </w:rPr>
              <w:t xml:space="preserve">For example, under the Empowering Consumers for the Green Transition initiative, the producer of </w:t>
            </w:r>
            <w:r w:rsidR="00C42051">
              <w:rPr>
                <w:noProof/>
                <w:lang w:val="en-IE"/>
              </w:rPr>
              <w:t>a</w:t>
            </w:r>
            <w:r w:rsidRPr="001C78FB">
              <w:rPr>
                <w:b/>
                <w:bCs/>
                <w:noProof/>
                <w:lang w:val="en-IE"/>
              </w:rPr>
              <w:t xml:space="preserve"> coffee</w:t>
            </w:r>
            <w:r w:rsidRPr="001C78FB">
              <w:rPr>
                <w:noProof/>
                <w:lang w:val="en-IE"/>
              </w:rPr>
              <w:t xml:space="preserve"> </w:t>
            </w:r>
            <w:r w:rsidRPr="001C78FB">
              <w:rPr>
                <w:b/>
                <w:bCs/>
                <w:noProof/>
                <w:lang w:val="en-IE"/>
              </w:rPr>
              <w:t>machine</w:t>
            </w:r>
            <w:r w:rsidRPr="001C78FB">
              <w:rPr>
                <w:noProof/>
                <w:lang w:val="en-IE"/>
              </w:rPr>
              <w:t xml:space="preserve"> would have to </w:t>
            </w:r>
            <w:r w:rsidR="009C3771" w:rsidRPr="001C78FB">
              <w:rPr>
                <w:noProof/>
                <w:lang w:val="en-IE"/>
              </w:rPr>
              <w:t>inform consumers about any feature of a good introduced to limit its durability</w:t>
            </w:r>
            <w:r w:rsidRPr="001C78FB">
              <w:rPr>
                <w:noProof/>
                <w:lang w:val="en-IE"/>
              </w:rPr>
              <w:t>.</w:t>
            </w:r>
            <w:r>
              <w:rPr>
                <w:noProof/>
                <w:lang w:val="en-IE"/>
              </w:rPr>
              <w:t xml:space="preserve"> The SPI could complement this by establishing specific minimum requirements, for instance, on the durability, reparability, recyclability, recycled content and energy efficiency of </w:t>
            </w:r>
            <w:r w:rsidRPr="005D24D2">
              <w:rPr>
                <w:b/>
                <w:bCs/>
                <w:noProof/>
                <w:lang w:val="en-IE"/>
              </w:rPr>
              <w:t>all coffee machines</w:t>
            </w:r>
            <w:r>
              <w:rPr>
                <w:noProof/>
                <w:lang w:val="en-IE"/>
              </w:rPr>
              <w:t>.</w:t>
            </w:r>
          </w:p>
          <w:p w:rsidR="00C42051" w:rsidRDefault="00C42051" w:rsidP="009C3771">
            <w:pPr>
              <w:ind w:left="0" w:firstLine="0"/>
              <w:rPr>
                <w:noProof/>
              </w:rPr>
            </w:pPr>
          </w:p>
        </w:tc>
      </w:tr>
    </w:tbl>
    <w:p w:rsidR="00EA45F9" w:rsidRPr="009B5734" w:rsidRDefault="00EA45F9" w:rsidP="00EA45F9">
      <w:pPr>
        <w:rPr>
          <w:rFonts w:ascii="Times New Roman" w:eastAsia="Times New Roman" w:hAnsi="Times New Roman" w:cs="Times New Roman"/>
          <w:b/>
          <w:noProof/>
          <w:sz w:val="32"/>
          <w:szCs w:val="20"/>
        </w:rPr>
      </w:pPr>
      <w:r w:rsidRPr="009B5734">
        <w:rPr>
          <w:noProof/>
        </w:rPr>
        <w:br w:type="page"/>
      </w:r>
    </w:p>
    <w:p w:rsidR="00EA45F9" w:rsidRPr="009B5734" w:rsidRDefault="00EA45F9" w:rsidP="00EA45F9">
      <w:pPr>
        <w:pStyle w:val="AnnexTitle"/>
        <w:rPr>
          <w:noProof/>
        </w:rPr>
        <w:sectPr w:rsidR="00EA45F9" w:rsidRPr="009B5734" w:rsidSect="00844AC5">
          <w:headerReference w:type="even" r:id="rId98"/>
          <w:headerReference w:type="default" r:id="rId99"/>
          <w:footerReference w:type="even" r:id="rId100"/>
          <w:footerReference w:type="default" r:id="rId101"/>
          <w:headerReference w:type="first" r:id="rId102"/>
          <w:footerReference w:type="first" r:id="rId103"/>
          <w:pgSz w:w="16838" w:h="11906" w:orient="landscape"/>
          <w:pgMar w:top="1588" w:right="1021" w:bottom="1701" w:left="1021" w:header="601" w:footer="1077" w:gutter="0"/>
          <w:cols w:space="720"/>
          <w:titlePg/>
        </w:sectPr>
      </w:pPr>
      <w:bookmarkStart w:id="653" w:name="_Toc58149115"/>
      <w:bookmarkStart w:id="654" w:name="_Toc58604150"/>
    </w:p>
    <w:p w:rsidR="00EA45F9" w:rsidRPr="009B5734" w:rsidRDefault="00EA45F9" w:rsidP="00EA45F9">
      <w:pPr>
        <w:pStyle w:val="Heading1"/>
        <w:jc w:val="center"/>
        <w:rPr>
          <w:noProof/>
        </w:rPr>
      </w:pPr>
      <w:bookmarkStart w:id="655" w:name="_Annex_8:_Impacts"/>
      <w:bookmarkStart w:id="656" w:name="_Ref59613927"/>
      <w:bookmarkStart w:id="657" w:name="_Toc75441000"/>
      <w:bookmarkStart w:id="658" w:name="_Toc75446999"/>
      <w:bookmarkStart w:id="659" w:name="_Toc75448872"/>
      <w:bookmarkStart w:id="660" w:name="_Toc77844266"/>
      <w:bookmarkStart w:id="661" w:name="_Toc86391769"/>
      <w:bookmarkEnd w:id="655"/>
      <w:r w:rsidRPr="009B5734">
        <w:rPr>
          <w:noProof/>
        </w:rPr>
        <w:t>Annex 8: Impacts of the policy options – detailed assessment</w:t>
      </w:r>
      <w:bookmarkEnd w:id="653"/>
      <w:bookmarkEnd w:id="654"/>
      <w:bookmarkEnd w:id="656"/>
      <w:bookmarkEnd w:id="657"/>
      <w:bookmarkEnd w:id="658"/>
      <w:bookmarkEnd w:id="659"/>
      <w:bookmarkEnd w:id="660"/>
      <w:bookmarkEnd w:id="661"/>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This annex presents in a detailed way the impacts of the various policy options and complements </w:t>
      </w:r>
      <w:hyperlink w:anchor="_What_are_the_2" w:history="1">
        <w:r w:rsidR="00071E12" w:rsidRPr="009B5734">
          <w:rPr>
            <w:rStyle w:val="Hyperlink"/>
            <w:rFonts w:ascii="Times New Roman" w:hAnsi="Times New Roman" w:cs="Times New Roman"/>
            <w:noProof/>
            <w:sz w:val="24"/>
            <w:szCs w:val="24"/>
          </w:rPr>
          <w:t>S</w:t>
        </w:r>
        <w:r w:rsidRPr="009B5734">
          <w:rPr>
            <w:rStyle w:val="Hyperlink"/>
            <w:rFonts w:ascii="Times New Roman" w:hAnsi="Times New Roman" w:cs="Times New Roman"/>
            <w:noProof/>
            <w:sz w:val="24"/>
            <w:szCs w:val="24"/>
          </w:rPr>
          <w:t>ection 6</w:t>
        </w:r>
      </w:hyperlink>
      <w:r w:rsidRPr="009B5734">
        <w:rPr>
          <w:rFonts w:ascii="Times New Roman" w:hAnsi="Times New Roman" w:cs="Times New Roman"/>
          <w:noProof/>
          <w:sz w:val="24"/>
          <w:szCs w:val="24"/>
        </w:rPr>
        <w:t xml:space="preserve"> </w:t>
      </w:r>
      <w:r w:rsidR="00071E12" w:rsidRPr="009B5734">
        <w:rPr>
          <w:rFonts w:ascii="Times New Roman" w:hAnsi="Times New Roman" w:cs="Times New Roman"/>
          <w:noProof/>
          <w:sz w:val="24"/>
          <w:szCs w:val="24"/>
        </w:rPr>
        <w:t>above</w:t>
      </w:r>
      <w:r w:rsidRPr="009B5734">
        <w:rPr>
          <w:rFonts w:ascii="Times New Roman" w:hAnsi="Times New Roman" w:cs="Times New Roman"/>
          <w:noProof/>
          <w:sz w:val="24"/>
          <w:szCs w:val="24"/>
        </w:rPr>
        <w:t xml:space="preserve">. The impacts and sub-impacts against which the policy options are assessed have been selected in line with the Better Regulation Guidelines and guided by the problem tree. The assessment is predominantly qualitative and complemented, when and where possible, by a quantitative assessment, which relies on estimates gathered from the literature review, stakeholder consultation and modelling work. The process for selecting the impacts and the methodology underpinning the quantitative assessment is explained in </w:t>
      </w:r>
      <w:hyperlink w:anchor="_Annex_4:_Analytical_1" w:history="1">
        <w:r w:rsidRPr="009B5734">
          <w:rPr>
            <w:rStyle w:val="Hyperlink"/>
            <w:rFonts w:ascii="Times New Roman" w:hAnsi="Times New Roman" w:cs="Times New Roman"/>
            <w:noProof/>
            <w:sz w:val="24"/>
            <w:szCs w:val="24"/>
          </w:rPr>
          <w:t>Annex 4</w:t>
        </w:r>
      </w:hyperlink>
      <w:r w:rsidRPr="009B5734">
        <w:rPr>
          <w:rFonts w:ascii="Times New Roman" w:hAnsi="Times New Roman" w:cs="Times New Roman"/>
          <w:noProof/>
          <w:sz w:val="24"/>
          <w:szCs w:val="24"/>
        </w:rPr>
        <w:t xml:space="preserve">. </w:t>
      </w:r>
      <w:r w:rsidR="00A6174A" w:rsidRPr="009B5734">
        <w:rPr>
          <w:rFonts w:ascii="Times New Roman" w:hAnsi="Times New Roman" w:cs="Times New Roman"/>
          <w:noProof/>
          <w:sz w:val="24"/>
          <w:szCs w:val="24"/>
        </w:rPr>
        <w:t xml:space="preserve">The monetised costs and benefits of each measure considered in the assessment are incremental to those of the </w:t>
      </w:r>
      <w:r w:rsidR="00A6174A" w:rsidRPr="009B5734">
        <w:rPr>
          <w:rFonts w:ascii="Times New Roman" w:hAnsi="Times New Roman" w:cs="Times New Roman"/>
          <w:b/>
          <w:noProof/>
          <w:sz w:val="24"/>
          <w:szCs w:val="24"/>
        </w:rPr>
        <w:t>baseline</w:t>
      </w:r>
      <w:r w:rsidR="00A6174A" w:rsidRPr="009B5734">
        <w:rPr>
          <w:rFonts w:ascii="Times New Roman" w:hAnsi="Times New Roman" w:cs="Times New Roman"/>
          <w:noProof/>
          <w:sz w:val="24"/>
          <w:szCs w:val="24"/>
        </w:rPr>
        <w:t xml:space="preserve">, which is therefore assigned EUR 0 for these impact categories (as the costs and benefits of the baseline against the baseline is obviously zero). </w:t>
      </w:r>
      <w:r w:rsidRPr="009B5734">
        <w:rPr>
          <w:rFonts w:ascii="Times New Roman" w:hAnsi="Times New Roman" w:cs="Times New Roman"/>
          <w:noProof/>
          <w:sz w:val="24"/>
          <w:szCs w:val="24"/>
        </w:rPr>
        <w:t xml:space="preserve">As regards the qualitative assessment, each policy option is given a mark on a scale from 0 to 10 per sub-criteria, with 5 being given to the </w:t>
      </w:r>
      <w:r w:rsidRPr="009B5734">
        <w:rPr>
          <w:rFonts w:ascii="Times New Roman" w:hAnsi="Times New Roman" w:cs="Times New Roman"/>
          <w:b/>
          <w:noProof/>
          <w:sz w:val="24"/>
          <w:szCs w:val="24"/>
        </w:rPr>
        <w:t>baseline</w:t>
      </w:r>
      <w:r w:rsidRPr="009B5734">
        <w:rPr>
          <w:rFonts w:ascii="Times New Roman" w:hAnsi="Times New Roman" w:cs="Times New Roman"/>
          <w:noProof/>
          <w:sz w:val="24"/>
          <w:szCs w:val="24"/>
        </w:rPr>
        <w:t>. When the option leads to an improvement of the situation compared to the baseline, a grade above 5 is given, commensurate to the qualitatively estimated impact. Similarly, if the option deteriorates the situation compared to the baseline, it receives a grade below 5, commensurate to the impac</w:t>
      </w:r>
      <w:r w:rsidR="004739BF" w:rsidRPr="009B5734">
        <w:rPr>
          <w:rFonts w:ascii="Times New Roman" w:hAnsi="Times New Roman" w:cs="Times New Roman"/>
          <w:noProof/>
          <w:sz w:val="24"/>
          <w:szCs w:val="24"/>
        </w:rPr>
        <w:t>t.</w:t>
      </w:r>
    </w:p>
    <w:p w:rsidR="00EA45F9" w:rsidRPr="009B5734" w:rsidRDefault="00EA45F9" w:rsidP="00EA45F9">
      <w:pPr>
        <w:rPr>
          <w:noProof/>
        </w:rPr>
      </w:pPr>
    </w:p>
    <w:p w:rsidR="00EA45F9" w:rsidRPr="009B5734" w:rsidRDefault="00A00208" w:rsidP="00A00208">
      <w:pPr>
        <w:pStyle w:val="Heading2"/>
        <w:rPr>
          <w:noProof/>
        </w:rPr>
      </w:pPr>
      <w:bookmarkStart w:id="662" w:name="_Toc60734108"/>
      <w:bookmarkStart w:id="663" w:name="_Toc75441001"/>
      <w:bookmarkStart w:id="664" w:name="_Toc75447000"/>
      <w:bookmarkStart w:id="665" w:name="_Toc75448873"/>
      <w:bookmarkStart w:id="666" w:name="_Toc77844267"/>
      <w:bookmarkStart w:id="667" w:name="_Toc86391770"/>
      <w:r w:rsidRPr="00A00208">
        <w:t>1.</w:t>
      </w:r>
      <w:r w:rsidRPr="00A00208">
        <w:tab/>
      </w:r>
      <w:r w:rsidR="00EA45F9" w:rsidRPr="009B5734">
        <w:rPr>
          <w:noProof/>
        </w:rPr>
        <w:t>Problem 1: Consumer</w:t>
      </w:r>
      <w:r w:rsidR="00B73C39">
        <w:rPr>
          <w:noProof/>
        </w:rPr>
        <w:t>s</w:t>
      </w:r>
      <w:r w:rsidR="00EA45F9" w:rsidRPr="009B5734">
        <w:rPr>
          <w:noProof/>
        </w:rPr>
        <w:t xml:space="preserve"> lack </w:t>
      </w:r>
      <w:r w:rsidR="00B73C39">
        <w:rPr>
          <w:noProof/>
        </w:rPr>
        <w:t>reliable</w:t>
      </w:r>
      <w:r w:rsidR="00EA45F9" w:rsidRPr="009B5734">
        <w:rPr>
          <w:noProof/>
        </w:rPr>
        <w:t xml:space="preserve"> information </w:t>
      </w:r>
      <w:r w:rsidR="00B73C39">
        <w:rPr>
          <w:noProof/>
        </w:rPr>
        <w:t>at the point of sale to make environmentally</w:t>
      </w:r>
      <w:r w:rsidR="00EA45F9" w:rsidRPr="009B5734">
        <w:rPr>
          <w:noProof/>
        </w:rPr>
        <w:t xml:space="preserve"> sustainable </w:t>
      </w:r>
      <w:bookmarkEnd w:id="662"/>
      <w:bookmarkEnd w:id="663"/>
      <w:bookmarkEnd w:id="664"/>
      <w:bookmarkEnd w:id="665"/>
      <w:r w:rsidR="0080633B">
        <w:rPr>
          <w:noProof/>
        </w:rPr>
        <w:t>consumption choices</w:t>
      </w:r>
      <w:bookmarkEnd w:id="666"/>
      <w:bookmarkEnd w:id="667"/>
    </w:p>
    <w:p w:rsidR="00EA45F9" w:rsidRPr="009B5734" w:rsidRDefault="00A00208" w:rsidP="00A00208">
      <w:pPr>
        <w:pStyle w:val="Heading4"/>
        <w:rPr>
          <w:noProof/>
        </w:rPr>
      </w:pPr>
      <w:bookmarkStart w:id="668" w:name="_Toc60734112"/>
      <w:bookmarkStart w:id="669" w:name="_Toc75441002"/>
      <w:bookmarkStart w:id="670" w:name="_Toc75447001"/>
      <w:bookmarkStart w:id="671" w:name="_Toc75448874"/>
      <w:r w:rsidRPr="00A00208">
        <w:t>1.1.</w:t>
      </w:r>
      <w:r w:rsidRPr="00A00208">
        <w:tab/>
      </w:r>
      <w:r w:rsidR="00EA45F9" w:rsidRPr="009B5734">
        <w:rPr>
          <w:noProof/>
        </w:rPr>
        <w:t xml:space="preserve">Sub-Problem 1.2: </w:t>
      </w:r>
      <w:r w:rsidR="00D60C0B" w:rsidRPr="009B5734">
        <w:rPr>
          <w:noProof/>
        </w:rPr>
        <w:t>Lack of reliable information</w:t>
      </w:r>
      <w:r w:rsidR="00EA45F9" w:rsidRPr="009B5734">
        <w:rPr>
          <w:noProof/>
        </w:rPr>
        <w:t xml:space="preserve"> about products’ lifespan</w:t>
      </w:r>
      <w:bookmarkEnd w:id="668"/>
      <w:bookmarkEnd w:id="669"/>
      <w:bookmarkEnd w:id="670"/>
      <w:bookmarkEnd w:id="671"/>
    </w:p>
    <w:p w:rsidR="00EA45F9" w:rsidRPr="009B5734" w:rsidRDefault="00EA45F9" w:rsidP="00EA45F9">
      <w:pPr>
        <w:pStyle w:val="Heading5"/>
        <w:rPr>
          <w:rFonts w:ascii="Times New Roman" w:hAnsi="Times New Roman" w:cs="Times New Roman"/>
          <w:i w:val="0"/>
          <w:noProof/>
          <w:sz w:val="24"/>
        </w:rPr>
      </w:pPr>
      <w:bookmarkStart w:id="672" w:name="_Toc60734113"/>
      <w:bookmarkStart w:id="673" w:name="_Toc75441003"/>
      <w:bookmarkStart w:id="674" w:name="_Toc75447002"/>
      <w:bookmarkStart w:id="675" w:name="_Toc75448875"/>
      <w:r w:rsidRPr="009B5734">
        <w:rPr>
          <w:rFonts w:ascii="Times New Roman" w:hAnsi="Times New Roman" w:cs="Times New Roman"/>
          <w:i w:val="0"/>
          <w:noProof/>
          <w:sz w:val="24"/>
        </w:rPr>
        <w:t>Assessment of the options</w:t>
      </w:r>
      <w:bookmarkEnd w:id="672"/>
      <w:bookmarkEnd w:id="673"/>
      <w:bookmarkEnd w:id="674"/>
      <w:bookmarkEnd w:id="675"/>
    </w:p>
    <w:p w:rsidR="00EA45F9" w:rsidRPr="009B5734" w:rsidRDefault="00EA45F9" w:rsidP="00EA45F9">
      <w:pPr>
        <w:ind w:left="0" w:firstLine="0"/>
        <w:rPr>
          <w:noProof/>
        </w:rPr>
      </w:pPr>
    </w:p>
    <w:tbl>
      <w:tblPr>
        <w:tblStyle w:val="GridTable1Light-Accent2"/>
        <w:tblW w:w="0" w:type="auto"/>
        <w:tblLook w:val="04A0" w:firstRow="1" w:lastRow="0" w:firstColumn="1" w:lastColumn="0" w:noHBand="0" w:noVBand="1"/>
      </w:tblPr>
      <w:tblGrid>
        <w:gridCol w:w="8607"/>
      </w:tblGrid>
      <w:tr w:rsidR="00B30A0F" w:rsidRPr="009B5734" w:rsidTr="00C84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right w:val="single" w:sz="4" w:space="0" w:color="E5B8B7" w:themeColor="accent2" w:themeTint="66"/>
            </w:tcBorders>
            <w:shd w:val="clear" w:color="auto" w:fill="E5B8B7" w:themeFill="accent2" w:themeFillTint="66"/>
            <w:hideMark/>
          </w:tcPr>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Option 1.2.A: EU-level obligation  to inform consumers of the expected lifespan of products</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consumers: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Quality of decision-making: </w:t>
            </w:r>
            <w:r w:rsidRPr="009B5734">
              <w:rPr>
                <w:rFonts w:ascii="Times New Roman" w:hAnsi="Times New Roman" w:cs="Times New Roman"/>
                <w:b w:val="0"/>
                <w:noProof/>
                <w:sz w:val="24"/>
              </w:rPr>
              <w:t>Consumers are interested in having information about the lifespan/durability of products and are even willing to pay for it. However, option 1.2.A will not improve the quality of decision-making for consumers. This is because the reliability of the information provided under this option (and the comparability it would allow between products) will depend on the methodology used by companies to assess such an expected lifetime. These methodologies are likely to vary depending on the companies, therefore leading to diverging assessments within a given product category. Several stakeholders have highlighted this challenge as a significant limitation of this option. It may only partly be solved by future Eco-design requirements when these become available for certain product categories. (4/10)</w:t>
            </w:r>
          </w:p>
          <w:p w:rsidR="00EA45F9" w:rsidRPr="00C72822" w:rsidRDefault="00EA45F9" w:rsidP="00981615">
            <w:pPr>
              <w:ind w:left="0" w:firstLine="0"/>
              <w:rPr>
                <w:rFonts w:ascii="Times New Roman" w:hAnsi="Times New Roman" w:cs="Times New Roman"/>
                <w:b w:val="0"/>
                <w:noProof/>
                <w:sz w:val="24"/>
              </w:rPr>
            </w:pPr>
            <w:r w:rsidRPr="005D7BE7">
              <w:rPr>
                <w:rFonts w:ascii="Times New Roman" w:hAnsi="Times New Roman" w:cs="Times New Roman"/>
                <w:noProof/>
                <w:sz w:val="24"/>
                <w:szCs w:val="24"/>
              </w:rPr>
              <w:t xml:space="preserve">Consumer protection:  </w:t>
            </w:r>
            <w:r w:rsidRPr="00C72822">
              <w:rPr>
                <w:rFonts w:ascii="Times New Roman" w:hAnsi="Times New Roman" w:cs="Times New Roman"/>
                <w:b w:val="0"/>
                <w:noProof/>
                <w:sz w:val="24"/>
                <w:szCs w:val="24"/>
              </w:rPr>
              <w:t>In principle, the option ensures consumers receive information that helps them avoid products with low lifespans. However, the expected lifespan information could also result in unjustified consumer expectations as it could give the wrong impression of creating individual rights equivalent to commercial guarantees. While consumer claims for remedies under EU consumer law</w:t>
            </w:r>
            <w:r w:rsidRPr="00C72822">
              <w:rPr>
                <w:rStyle w:val="FootnoteReference"/>
                <w:rFonts w:ascii="Times New Roman" w:hAnsi="Times New Roman" w:cs="Times New Roman"/>
                <w:b w:val="0"/>
                <w:noProof/>
                <w:sz w:val="24"/>
                <w:szCs w:val="24"/>
              </w:rPr>
              <w:footnoteReference w:id="221"/>
            </w:r>
            <w:r w:rsidRPr="00C72822">
              <w:rPr>
                <w:rFonts w:ascii="Times New Roman" w:hAnsi="Times New Roman" w:cs="Times New Roman"/>
                <w:b w:val="0"/>
                <w:noProof/>
                <w:sz w:val="24"/>
                <w:szCs w:val="24"/>
              </w:rPr>
              <w:t xml:space="preserve"> could be possible in specific situations of ‘misleading’ durability statements, (many) consumers</w:t>
            </w:r>
            <w:r w:rsidRPr="00C72822">
              <w:rPr>
                <w:b w:val="0"/>
                <w:noProof/>
              </w:rPr>
              <w:t xml:space="preserve"> </w:t>
            </w:r>
            <w:r w:rsidRPr="00C72822">
              <w:rPr>
                <w:rFonts w:ascii="Times New Roman" w:hAnsi="Times New Roman" w:cs="Times New Roman"/>
                <w:b w:val="0"/>
                <w:noProof/>
                <w:sz w:val="24"/>
                <w:szCs w:val="24"/>
              </w:rPr>
              <w:t>will not be able to obtain redress where their products fail earlier than expected and this could result in consumer confusion.</w:t>
            </w:r>
            <w:r w:rsidRPr="00C72822">
              <w:rPr>
                <w:b w:val="0"/>
                <w:noProof/>
              </w:rPr>
              <w:t xml:space="preserve"> </w:t>
            </w:r>
            <w:r w:rsidRPr="00C72822">
              <w:rPr>
                <w:rFonts w:ascii="Times New Roman" w:hAnsi="Times New Roman" w:cs="Times New Roman"/>
                <w:b w:val="0"/>
                <w:noProof/>
                <w:sz w:val="24"/>
                <w:szCs w:val="24"/>
              </w:rPr>
              <w:t>This limitation was highlighted by experts, consumer organisations and NGOs.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Consumer trust: </w:t>
            </w:r>
            <w:r w:rsidRPr="009B5734">
              <w:rPr>
                <w:rFonts w:ascii="Times New Roman" w:hAnsi="Times New Roman" w:cs="Times New Roman"/>
                <w:b w:val="0"/>
                <w:noProof/>
                <w:sz w:val="24"/>
              </w:rPr>
              <w:t xml:space="preserve">Receiving this information is likely to create expectations among consumers that they would easily obtain remedies in case a product fails before the indicated lifespan. Since such remedies are not straightforward here, consumers who experience this type of situation will feel misled and their trust in the market is expected to be reduced. On the other hand, this information might give reassurance to consumers regarding the durability of products in the market. (4/10)  </w:t>
            </w:r>
          </w:p>
          <w:p w:rsidR="00EA45F9" w:rsidRPr="00F67503" w:rsidRDefault="00EA45F9">
            <w:pPr>
              <w:ind w:left="0" w:firstLine="0"/>
              <w:rPr>
                <w:rFonts w:ascii="Times New Roman" w:hAnsi="Times New Roman" w:cs="Times New Roman"/>
                <w:noProof/>
                <w:sz w:val="24"/>
                <w:szCs w:val="24"/>
              </w:rPr>
            </w:pPr>
            <w:r w:rsidRPr="005D24D2">
              <w:rPr>
                <w:rFonts w:ascii="Times New Roman" w:hAnsi="Times New Roman" w:cs="Times New Roman"/>
                <w:noProof/>
                <w:sz w:val="24"/>
                <w:szCs w:val="24"/>
              </w:rPr>
              <w:t xml:space="preserve">Monetisable Consumer welfare: </w:t>
            </w:r>
          </w:p>
          <w:p w:rsidR="00EA45F9" w:rsidRPr="009B5734" w:rsidRDefault="00EA45F9" w:rsidP="00981615">
            <w:pPr>
              <w:ind w:left="0" w:firstLine="0"/>
              <w:rPr>
                <w:b w:val="0"/>
                <w:bCs w:val="0"/>
                <w:noProof/>
              </w:rPr>
            </w:pPr>
            <w:r w:rsidRPr="009B5734">
              <w:rPr>
                <w:rFonts w:ascii="Times New Roman" w:hAnsi="Times New Roman" w:cs="Times New Roman"/>
                <w:b w:val="0"/>
                <w:bCs w:val="0"/>
                <w:noProof/>
                <w:sz w:val="24"/>
                <w:szCs w:val="24"/>
              </w:rPr>
              <w:t xml:space="preserve">Depending on the level of effectiveness of the option in contributing to consumers purchasing alternatives that last one year longer than in the baseline (under our scenario), the monetisable consumer welfare is therefore estimated to be around EUR </w:t>
            </w:r>
            <w:r w:rsidR="008F2F17">
              <w:rPr>
                <w:rFonts w:ascii="Times New Roman" w:hAnsi="Times New Roman" w:cs="Times New Roman"/>
                <w:b w:val="0"/>
                <w:bCs w:val="0"/>
                <w:noProof/>
                <w:sz w:val="24"/>
                <w:szCs w:val="24"/>
              </w:rPr>
              <w:t>300 - 500</w:t>
            </w:r>
            <w:r w:rsidRPr="009B5734">
              <w:rPr>
                <w:rFonts w:ascii="Times New Roman" w:hAnsi="Times New Roman" w:cs="Times New Roman"/>
                <w:b w:val="0"/>
                <w:bCs w:val="0"/>
                <w:noProof/>
                <w:sz w:val="24"/>
                <w:szCs w:val="24"/>
              </w:rPr>
              <w:t xml:space="preserve"> (present value for period 2025-2040) if the information is reliable. It could, however, become negative if each company decides on its methodology</w:t>
            </w:r>
            <w:r w:rsidRPr="009B5734">
              <w:rPr>
                <w:rStyle w:val="FootnoteReference"/>
                <w:rFonts w:ascii="Times New Roman" w:hAnsi="Times New Roman" w:cs="Times New Roman"/>
                <w:b w:val="0"/>
                <w:bCs w:val="0"/>
                <w:noProof/>
                <w:sz w:val="24"/>
                <w:szCs w:val="24"/>
              </w:rPr>
              <w:footnoteReference w:id="222"/>
            </w:r>
            <w:r w:rsidRPr="009B5734">
              <w:rPr>
                <w:rFonts w:ascii="Times New Roman" w:hAnsi="Times New Roman" w:cs="Times New Roman"/>
                <w:b w:val="0"/>
                <w:bCs w:val="0"/>
                <w:noProof/>
                <w:sz w:val="24"/>
                <w:szCs w:val="24"/>
              </w:rPr>
              <w:t>. The reason behind a possible negative impact is that since each company can decide its own methodology, some consumers may believe (and even pay a premium) based on the indicated lifespan that they are buying products that last longer than the ones they were buying in the baseline when in fact they are not.</w:t>
            </w:r>
            <w:r w:rsidRPr="009B5734">
              <w:rPr>
                <w:b w:val="0"/>
                <w:bCs w:val="0"/>
                <w:noProof/>
              </w:rPr>
              <w:t xml:space="preserve"> (</w:t>
            </w:r>
            <w:r w:rsidR="00632A75" w:rsidRPr="009B5734">
              <w:rPr>
                <w:b w:val="0"/>
                <w:bCs w:val="0"/>
                <w:noProof/>
              </w:rPr>
              <w:t>6</w:t>
            </w:r>
            <w:r w:rsidRPr="009B5734">
              <w:rPr>
                <w:b w:val="0"/>
                <w:bCs w:val="0"/>
                <w:noProof/>
              </w:rPr>
              <w:t>/10)</w:t>
            </w:r>
          </w:p>
          <w:p w:rsidR="00EA45F9" w:rsidRPr="009B5734" w:rsidRDefault="00EA45F9" w:rsidP="00981615">
            <w:pPr>
              <w:ind w:left="0" w:firstLine="0"/>
              <w:rPr>
                <w:rFonts w:ascii="Times New Roman" w:hAnsi="Times New Roman" w:cs="Times New Roman"/>
                <w:b w:val="0"/>
                <w:noProof/>
                <w:sz w:val="24"/>
              </w:rPr>
            </w:pP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businesses: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Level-playing field: </w:t>
            </w:r>
            <w:r w:rsidRPr="009B5734">
              <w:rPr>
                <w:rFonts w:ascii="Times New Roman" w:hAnsi="Times New Roman" w:cs="Times New Roman"/>
                <w:b w:val="0"/>
                <w:noProof/>
                <w:sz w:val="24"/>
              </w:rPr>
              <w:t>The option will penalise (via reduction of demand) companies producing products with shorter lifespans than could be expected and that freeride on consumer expectations based on the lifespan of their competitors’ products. The impact on the level-playing field is, however, dependent on the reliability of the assessment of lifespan by companies and effective enforcement. (4/10)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Reduction of barriers to cross-border trade: </w:t>
            </w:r>
            <w:r w:rsidRPr="009B5734">
              <w:rPr>
                <w:rFonts w:ascii="Times New Roman" w:hAnsi="Times New Roman" w:cs="Times New Roman"/>
                <w:b w:val="0"/>
                <w:noProof/>
                <w:sz w:val="24"/>
              </w:rPr>
              <w:t>The option is not expected to have an impact on reducing the barrier to cross-border trade. (5/10)</w:t>
            </w:r>
            <w:r w:rsidRPr="009B5734">
              <w:rPr>
                <w:rFonts w:ascii="Times New Roman" w:hAnsi="Times New Roman" w:cs="Times New Roman"/>
                <w:noProof/>
                <w:sz w:val="24"/>
              </w:rPr>
              <w:t xml:space="preserve"> </w:t>
            </w:r>
          </w:p>
          <w:p w:rsidR="00EA45F9" w:rsidRPr="00C72822" w:rsidRDefault="00EA45F9" w:rsidP="00981615">
            <w:pPr>
              <w:ind w:left="0" w:firstLine="0"/>
              <w:rPr>
                <w:rFonts w:ascii="Times New Roman" w:hAnsi="Times New Roman" w:cs="Times New Roman"/>
                <w:b w:val="0"/>
                <w:noProof/>
                <w:sz w:val="24"/>
              </w:rPr>
            </w:pPr>
            <w:r w:rsidRPr="005D24D2">
              <w:rPr>
                <w:rFonts w:ascii="Times New Roman" w:hAnsi="Times New Roman" w:cs="Times New Roman"/>
                <w:noProof/>
                <w:sz w:val="24"/>
                <w:szCs w:val="24"/>
              </w:rPr>
              <w:t xml:space="preserve">Administrative burdens: </w:t>
            </w:r>
            <w:r w:rsidRPr="00C72822">
              <w:rPr>
                <w:rFonts w:ascii="Times New Roman" w:hAnsi="Times New Roman" w:cs="Times New Roman"/>
                <w:b w:val="0"/>
                <w:noProof/>
                <w:sz w:val="24"/>
                <w:szCs w:val="24"/>
              </w:rPr>
              <w:t>This option will have significant administrative burden on businesses, related to the production of new data to be able to provide information on the expected lifespan of products</w:t>
            </w:r>
            <w:r w:rsidRPr="00C72822">
              <w:rPr>
                <w:rStyle w:val="FootnoteReference"/>
                <w:rFonts w:ascii="Times New Roman" w:hAnsi="Times New Roman" w:cs="Times New Roman"/>
                <w:b w:val="0"/>
                <w:noProof/>
                <w:sz w:val="24"/>
                <w:szCs w:val="24"/>
              </w:rPr>
              <w:footnoteReference w:id="223"/>
            </w:r>
            <w:r w:rsidRPr="00C72822">
              <w:rPr>
                <w:rFonts w:ascii="Times New Roman" w:hAnsi="Times New Roman" w:cs="Times New Roman"/>
                <w:b w:val="0"/>
                <w:noProof/>
                <w:sz w:val="24"/>
                <w:szCs w:val="24"/>
              </w:rPr>
              <w:t xml:space="preserve"> and, to a lesser extent, the tagging of the product</w:t>
            </w:r>
            <w:r w:rsidRPr="00C72822">
              <w:rPr>
                <w:rStyle w:val="FootnoteReference"/>
                <w:rFonts w:ascii="Times New Roman" w:hAnsi="Times New Roman" w:cs="Times New Roman"/>
                <w:b w:val="0"/>
                <w:noProof/>
                <w:sz w:val="24"/>
                <w:szCs w:val="24"/>
              </w:rPr>
              <w:footnoteReference w:id="224"/>
            </w:r>
            <w:r w:rsidRPr="00C72822">
              <w:rPr>
                <w:rFonts w:ascii="Times New Roman" w:hAnsi="Times New Roman" w:cs="Times New Roman"/>
                <w:b w:val="0"/>
                <w:noProof/>
                <w:sz w:val="24"/>
                <w:szCs w:val="24"/>
              </w:rPr>
              <w:t>. Business organisations have pointed to the high cost of this obligation. While the obligation is on the seller, it is assumed that sellers will request this information from manufacturers. These extra costs are estimated between EUR 2 435 - 2 680 million for the period 2025-2040 (present value). This, however, depends on various assumptions, including whether manufacturers are already producing this data in a business-as-usual scenario. Another cost relates to the tagging of the good.</w:t>
            </w:r>
            <w:r w:rsidRPr="00C72822">
              <w:rPr>
                <w:b w:val="0"/>
                <w:bCs w:val="0"/>
                <w:noProof/>
              </w:rPr>
              <w:t xml:space="preserve"> </w:t>
            </w:r>
          </w:p>
          <w:p w:rsidR="00F27C8D" w:rsidRPr="009B5734" w:rsidRDefault="00F27C8D" w:rsidP="00F27C8D">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Substantive compliance costs: </w:t>
            </w:r>
            <w:r w:rsidR="00211C2A" w:rsidRPr="009B5734">
              <w:rPr>
                <w:rFonts w:ascii="Times New Roman" w:hAnsi="Times New Roman" w:cs="Times New Roman"/>
                <w:b w:val="0"/>
                <w:noProof/>
                <w:sz w:val="24"/>
              </w:rPr>
              <w:t>As this measure imposes an information obligation, the costs identified are categorised as administrative burden and no relevant substantive compliance costs were identified</w:t>
            </w:r>
            <w:r w:rsidR="000E6E34" w:rsidRPr="009B5734">
              <w:rPr>
                <w:rStyle w:val="CommentReference"/>
                <w:bCs w:val="0"/>
                <w:noProof/>
              </w:rPr>
              <w:t>.</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Indirect costs: </w:t>
            </w:r>
            <w:r w:rsidRPr="009B5734">
              <w:rPr>
                <w:rFonts w:ascii="Times New Roman" w:hAnsi="Times New Roman" w:cs="Times New Roman"/>
                <w:b w:val="0"/>
                <w:noProof/>
                <w:sz w:val="24"/>
              </w:rPr>
              <w:t>The total costs of the option divided by the volume of projected sales is estimated to be on average EUR 0.10 for all products. While such extra costs might be passed on the consumers, it is not expected to have an effect on the demand given the limited impact on the average price of the products affected by the option. Some companies might need to improve the quality of their products in order to remain competitive and thus incur costs. These costs are, however, expected to be compensated by an increase in the demand for these products.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SME growth: </w:t>
            </w:r>
            <w:r w:rsidRPr="009B5734">
              <w:rPr>
                <w:rFonts w:ascii="Times New Roman" w:hAnsi="Times New Roman" w:cs="Times New Roman"/>
                <w:b w:val="0"/>
                <w:noProof/>
                <w:sz w:val="24"/>
              </w:rPr>
              <w:t>This option will have a higher relative impact on SME manufacturers but its costs are not expected to have a significant negative impact on SME growth as such as SMEs are more likely to be sub-contractors but less so the final manufacturers who would have to carry out the assessment. (5/10)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public administrations:</w:t>
            </w:r>
          </w:p>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Enforcement costs </w:t>
            </w:r>
            <w:r w:rsidRPr="009B5734">
              <w:rPr>
                <w:rFonts w:ascii="Times New Roman" w:hAnsi="Times New Roman" w:cs="Times New Roman"/>
                <w:b w:val="0"/>
                <w:noProof/>
                <w:sz w:val="24"/>
              </w:rPr>
              <w:t>are estimated to be of EUR 86-97 million for the period 2025-2040</w:t>
            </w:r>
            <w:r w:rsidRPr="009B5734">
              <w:rPr>
                <w:rStyle w:val="FootnoteReference"/>
                <w:rFonts w:ascii="Times New Roman" w:hAnsi="Times New Roman" w:cs="Times New Roman"/>
                <w:b w:val="0"/>
                <w:noProof/>
                <w:sz w:val="24"/>
              </w:rPr>
              <w:footnoteReference w:id="225"/>
            </w:r>
            <w:r w:rsidRPr="009B5734">
              <w:rPr>
                <w:rFonts w:ascii="Times New Roman" w:hAnsi="Times New Roman" w:cs="Times New Roman"/>
                <w:b w:val="0"/>
                <w:noProof/>
                <w:sz w:val="24"/>
              </w:rPr>
              <w:t>. These costs will be generated by the time and expertise needed to check the information provided by businesses (monitoring, inspections, complaint handling), which will be particularly challenging and time-consuming in the absence of common standards/methodology.</w:t>
            </w:r>
            <w:r w:rsidRPr="009B5734">
              <w:rPr>
                <w:rFonts w:ascii="Times New Roman" w:hAnsi="Times New Roman" w:cs="Times New Roman"/>
                <w:noProof/>
                <w:sz w:val="24"/>
              </w:rPr>
              <w:t xml:space="preserve"> </w:t>
            </w:r>
          </w:p>
          <w:p w:rsidR="00EA45F9" w:rsidRPr="009B5734" w:rsidRDefault="00EA45F9" w:rsidP="00981615">
            <w:pPr>
              <w:pStyle w:val="Text2"/>
              <w:spacing w:after="0"/>
              <w:ind w:left="0" w:firstLine="0"/>
              <w:rPr>
                <w:noProof/>
              </w:rPr>
            </w:pP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Environmental impacts:</w:t>
            </w:r>
          </w:p>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Climate change: </w:t>
            </w:r>
            <w:r w:rsidRPr="009B5734">
              <w:rPr>
                <w:rFonts w:ascii="Times New Roman" w:hAnsi="Times New Roman" w:cs="Times New Roman"/>
                <w:b w:val="0"/>
                <w:noProof/>
                <w:sz w:val="24"/>
              </w:rPr>
              <w:t xml:space="preserve">Due to the limitation of the option mentioned above, consumers are unlikely to purchase products that effective last longer and so the impact on CO2 emissions is considered negligible. </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Other environmental impacts change. </w:t>
            </w:r>
            <w:r w:rsidRPr="009B5734">
              <w:rPr>
                <w:rFonts w:ascii="Times New Roman" w:hAnsi="Times New Roman" w:cs="Times New Roman"/>
                <w:b w:val="0"/>
                <w:noProof/>
                <w:sz w:val="24"/>
              </w:rPr>
              <w:t>For the same reason as above the option is expected to have negligible effects on other environmental impacts. (5/10)</w:t>
            </w:r>
          </w:p>
          <w:p w:rsidR="00EA45F9" w:rsidRPr="009B5734" w:rsidRDefault="00EA45F9" w:rsidP="00981615">
            <w:pPr>
              <w:pStyle w:val="Text2"/>
              <w:spacing w:after="0"/>
              <w:ind w:left="0" w:firstLine="0"/>
              <w:rPr>
                <w:noProof/>
              </w:rPr>
            </w:pP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Coherence: </w:t>
            </w:r>
            <w:r w:rsidRPr="009B5734">
              <w:rPr>
                <w:rFonts w:ascii="Times New Roman" w:hAnsi="Times New Roman" w:cs="Times New Roman"/>
                <w:b w:val="0"/>
                <w:noProof/>
                <w:sz w:val="24"/>
              </w:rPr>
              <w:t>The option does not state which methodology should be used to assess the expected lifespan. This space can therefore be filled by future Eco-design (and planned SPI) requirements. The (future) provisions under the Sale of Goods Directive and the Unfair Commercial Practices Directive would allow for individual consumer remedies (e.g. compensation for damage suffered by the consumer; or a price reduction or the termination of the contract) in case of unfounded statement on the expected durability. This could actually result – even in absence of harmonised methodology under Eco-design or SPI - in prudent/realistic estimations from sellers/traders on expected lifespan.</w:t>
            </w:r>
            <w:r w:rsidRPr="009B5734">
              <w:rPr>
                <w:b w:val="0"/>
                <w:noProof/>
              </w:rPr>
              <w:t xml:space="preserve">  </w:t>
            </w:r>
            <w:r w:rsidRPr="009B5734">
              <w:rPr>
                <w:rFonts w:ascii="Times New Roman" w:hAnsi="Times New Roman" w:cs="Times New Roman"/>
                <w:b w:val="0"/>
                <w:noProof/>
                <w:sz w:val="24"/>
              </w:rPr>
              <w:t>(6/10)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Overarching impacts: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Circularity and sustainable consumption: </w:t>
            </w:r>
            <w:r w:rsidRPr="009B5734">
              <w:rPr>
                <w:rFonts w:ascii="Times New Roman" w:hAnsi="Times New Roman" w:cs="Times New Roman"/>
                <w:b w:val="0"/>
                <w:noProof/>
                <w:sz w:val="24"/>
              </w:rPr>
              <w:t xml:space="preserve">The option will help increase awareness among consumers of products’ durability (at the time of purchase) and reduce, to some extent, the frequency of replacement of products. This contributes to a reduction of waste, and to a more circular and sustainable economy. (5/10)  </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Application of the EU legal consumer framework: </w:t>
            </w:r>
            <w:r w:rsidRPr="009B5734">
              <w:rPr>
                <w:rFonts w:ascii="Times New Roman" w:hAnsi="Times New Roman" w:cs="Times New Roman"/>
                <w:b w:val="0"/>
                <w:noProof/>
                <w:sz w:val="24"/>
              </w:rPr>
              <w:t>No improvement expected since the option relies on an assessment carried out by businesses according to the methodology of their choice, and thus more difficult to verify for enforcers. Half of the authorities surveyed pointed to difficulties in monitoring this obligation. (5/10)</w:t>
            </w:r>
          </w:p>
          <w:p w:rsidR="00EA45F9" w:rsidRPr="009B5734" w:rsidRDefault="00EA45F9" w:rsidP="00981615">
            <w:pPr>
              <w:pStyle w:val="Text2"/>
              <w:spacing w:after="0"/>
              <w:ind w:left="0" w:firstLine="0"/>
              <w:rPr>
                <w:noProof/>
              </w:rPr>
            </w:pPr>
          </w:p>
        </w:tc>
      </w:tr>
    </w:tbl>
    <w:p w:rsidR="00EA45F9" w:rsidRPr="009B5734" w:rsidRDefault="00EA45F9" w:rsidP="00EA45F9">
      <w:pPr>
        <w:ind w:left="0" w:firstLine="0"/>
        <w:rPr>
          <w:noProof/>
        </w:rPr>
      </w:pPr>
    </w:p>
    <w:tbl>
      <w:tblPr>
        <w:tblStyle w:val="GridTable1Light-Accent2"/>
        <w:tblW w:w="0" w:type="auto"/>
        <w:tblLook w:val="04A0" w:firstRow="1" w:lastRow="0" w:firstColumn="1" w:lastColumn="0" w:noHBand="0" w:noVBand="1"/>
      </w:tblPr>
      <w:tblGrid>
        <w:gridCol w:w="8607"/>
      </w:tblGrid>
      <w:tr w:rsidR="00B30A0F" w:rsidRPr="009B5734" w:rsidTr="00C84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right w:val="single" w:sz="4" w:space="0" w:color="E5B8B7" w:themeColor="accent2" w:themeTint="66"/>
            </w:tcBorders>
            <w:shd w:val="clear" w:color="auto" w:fill="E5B8B7" w:themeFill="accent2" w:themeFillTint="66"/>
            <w:hideMark/>
          </w:tcPr>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Option 1.2.B: Obligation to inform consumers of the existence (or absence) of a producer’s commercial guarantee for durability </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consumers: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Quality of decision-making: </w:t>
            </w:r>
            <w:r w:rsidRPr="009B5734">
              <w:rPr>
                <w:rFonts w:ascii="Times New Roman" w:hAnsi="Times New Roman" w:cs="Times New Roman"/>
                <w:b w:val="0"/>
                <w:noProof/>
                <w:sz w:val="24"/>
              </w:rPr>
              <w:t>This option would also give consumers information that they want to receive and for which they would be willing to pay. Commercial guarantees are used by companies to signal that their products are of high-quality and that they are expected to last long. The provision of information about the existence and length of commercial guarantees could thus serve as an excellent proxy to indicate which products are expected to have a longer lifespan. Simulations carried out for the purposes of this Impact Assessment show that, in the medium term, the share of products covered by commercial guarantees and the duration of the commercial guarantees will increase as a result of the option. These results are in line with the expectations voiced by some consumer associations and NGOs consulted. To avoid information overload (highlighted by national authorities as a risk),</w:t>
            </w:r>
            <w:r w:rsidRPr="009B5734">
              <w:rPr>
                <w:noProof/>
              </w:rPr>
              <w:t xml:space="preserve"> </w:t>
            </w:r>
            <w:r w:rsidRPr="009B5734">
              <w:rPr>
                <w:rFonts w:ascii="Times New Roman" w:hAnsi="Times New Roman" w:cs="Times New Roman"/>
                <w:b w:val="0"/>
                <w:noProof/>
                <w:sz w:val="24"/>
              </w:rPr>
              <w:t>attention will have to be paid to the way information is provided to avoid confusion among consumers between the period covered by the legal guarantee and the additional period covered by a commercial guarantee. The comparability of the provided information across products, and the reliability of such information, are expected to be very high. (7/10)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Consumer protection: </w:t>
            </w:r>
            <w:r w:rsidRPr="009B5734">
              <w:rPr>
                <w:rFonts w:ascii="Times New Roman" w:hAnsi="Times New Roman" w:cs="Times New Roman"/>
                <w:b w:val="0"/>
                <w:noProof/>
                <w:sz w:val="24"/>
              </w:rPr>
              <w:t>Consumers will be able to more easily identify and purchase products covered by commercial guarantees and thus be better protected from problems that occur during the period of the commercial guarantee, once the legal guarantee has elapsed. It will also contribute to protecting consumers that are currently unaware of the period covered by a legal guarantee. (7/10)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Consumer trust: </w:t>
            </w:r>
            <w:r w:rsidRPr="009B5734">
              <w:rPr>
                <w:rFonts w:ascii="Times New Roman" w:hAnsi="Times New Roman" w:cs="Times New Roman"/>
                <w:b w:val="0"/>
                <w:noProof/>
                <w:sz w:val="24"/>
              </w:rPr>
              <w:t>This option will increase the trust of consumers in the market, first by increasing consumer awareness of the existence of legal and commercial guarantees and their duration and, second, by reassuring consumers of the quality and durability of products covered by commercial guarantees. (7/10)</w:t>
            </w:r>
          </w:p>
          <w:p w:rsidR="00EA45F9" w:rsidRPr="00C72822" w:rsidRDefault="00EA45F9">
            <w:pPr>
              <w:ind w:left="0" w:firstLine="0"/>
              <w:rPr>
                <w:rFonts w:ascii="Times New Roman" w:hAnsi="Times New Roman" w:cs="Times New Roman"/>
                <w:b w:val="0"/>
                <w:noProof/>
                <w:sz w:val="24"/>
                <w:szCs w:val="24"/>
              </w:rPr>
            </w:pPr>
            <w:r w:rsidRPr="005D24D2">
              <w:rPr>
                <w:rFonts w:ascii="Times New Roman" w:hAnsi="Times New Roman" w:cs="Times New Roman"/>
                <w:noProof/>
                <w:sz w:val="24"/>
                <w:szCs w:val="24"/>
              </w:rPr>
              <w:t>Monetisable Consumer welfare</w:t>
            </w:r>
            <w:r w:rsidRPr="00C72822">
              <w:rPr>
                <w:rFonts w:ascii="Times New Roman" w:hAnsi="Times New Roman" w:cs="Times New Roman"/>
                <w:noProof/>
                <w:sz w:val="24"/>
                <w:szCs w:val="24"/>
              </w:rPr>
              <w:t>:</w:t>
            </w:r>
            <w:r w:rsidRPr="00C72822">
              <w:rPr>
                <w:rFonts w:ascii="Times New Roman" w:hAnsi="Times New Roman" w:cs="Times New Roman"/>
                <w:b w:val="0"/>
                <w:noProof/>
                <w:sz w:val="24"/>
                <w:szCs w:val="24"/>
              </w:rPr>
              <w:t xml:space="preserve"> The option is estimated to bring an increase to the monetisable consumer welfare of approximately EUR 1 775 – 2 465 million for the period 2025-2040 (present value). The extent of the impact is dependent on how the market will adjust to the measure in the long terms and consequently on how the offer (number and duration) of commercial guarantees will evolve.</w:t>
            </w:r>
            <w:r w:rsidRPr="6B053803">
              <w:rPr>
                <w:rFonts w:ascii="Times New Roman" w:hAnsi="Times New Roman" w:cs="Times New Roman"/>
                <w:noProof/>
                <w:sz w:val="24"/>
                <w:szCs w:val="24"/>
              </w:rPr>
              <w:t xml:space="preserve"> </w:t>
            </w:r>
            <w:r w:rsidRPr="009B5734">
              <w:rPr>
                <w:rFonts w:ascii="Times New Roman" w:hAnsi="Times New Roman" w:cs="Times New Roman"/>
                <w:b w:val="0"/>
                <w:bCs w:val="0"/>
                <w:noProof/>
                <w:sz w:val="24"/>
                <w:szCs w:val="24"/>
              </w:rPr>
              <w:t>The approach used was to calculate the surplus of those consumers that end up buying products</w:t>
            </w:r>
            <w:r w:rsidRPr="009B5734">
              <w:rPr>
                <w:rStyle w:val="FootnoteReference"/>
                <w:rFonts w:ascii="Times New Roman" w:hAnsi="Times New Roman" w:cs="Times New Roman"/>
                <w:b w:val="0"/>
                <w:bCs w:val="0"/>
                <w:noProof/>
                <w:sz w:val="24"/>
                <w:szCs w:val="24"/>
              </w:rPr>
              <w:footnoteReference w:id="226"/>
            </w:r>
            <w:r w:rsidRPr="009B5734">
              <w:rPr>
                <w:rFonts w:ascii="Times New Roman" w:hAnsi="Times New Roman" w:cs="Times New Roman"/>
                <w:b w:val="0"/>
                <w:bCs w:val="0"/>
                <w:noProof/>
                <w:sz w:val="24"/>
                <w:szCs w:val="24"/>
              </w:rPr>
              <w:t xml:space="preserve"> that are covered by a commercial guarantee</w:t>
            </w:r>
            <w:r w:rsidRPr="009B5734">
              <w:rPr>
                <w:rStyle w:val="FootnoteReference"/>
                <w:rFonts w:ascii="Times New Roman" w:hAnsi="Times New Roman" w:cs="Times New Roman"/>
                <w:b w:val="0"/>
                <w:bCs w:val="0"/>
                <w:noProof/>
                <w:sz w:val="24"/>
                <w:szCs w:val="24"/>
              </w:rPr>
              <w:footnoteReference w:id="227"/>
            </w:r>
            <w:r w:rsidRPr="009B5734">
              <w:rPr>
                <w:rFonts w:ascii="Times New Roman" w:hAnsi="Times New Roman" w:cs="Times New Roman"/>
                <w:b w:val="0"/>
                <w:bCs w:val="0"/>
                <w:noProof/>
                <w:sz w:val="24"/>
                <w:szCs w:val="24"/>
              </w:rPr>
              <w:t xml:space="preserve"> as a result of the options (consequently, at the baseline they would have not purchased a product covered by a commercial </w:t>
            </w:r>
            <w:r w:rsidRPr="00C72822">
              <w:rPr>
                <w:rFonts w:ascii="Times New Roman" w:hAnsi="Times New Roman" w:cs="Times New Roman"/>
                <w:b w:val="0"/>
                <w:noProof/>
                <w:sz w:val="24"/>
                <w:szCs w:val="24"/>
              </w:rPr>
              <w:t>guarantee). (7/10)</w:t>
            </w:r>
          </w:p>
          <w:p w:rsidR="00EA45F9" w:rsidRPr="009B5734" w:rsidRDefault="00EA45F9" w:rsidP="00981615">
            <w:pPr>
              <w:ind w:left="0" w:firstLine="0"/>
              <w:rPr>
                <w:rFonts w:ascii="Times New Roman" w:hAnsi="Times New Roman" w:cs="Times New Roman"/>
                <w:noProof/>
                <w:sz w:val="24"/>
              </w:rPr>
            </w:pP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businesses: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Level-playing field: </w:t>
            </w:r>
            <w:r w:rsidRPr="009B5734">
              <w:rPr>
                <w:rFonts w:ascii="Times New Roman" w:hAnsi="Times New Roman" w:cs="Times New Roman"/>
                <w:b w:val="0"/>
                <w:noProof/>
                <w:sz w:val="24"/>
              </w:rPr>
              <w:t>The option will systematically increase transparency regarding the commercial guarantee offered for goods and penalise companies that do not offer or offer less attractive commercial guarantees (through a reduction of demand). If companies are producing products with shorter lifespans or lower quality then it could be reasonably expected that the sellers will most likely not offer commercial guarantees for these products, so the option will contribute to a level playing field. (6/10)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Reduction of barriers to cross-border trade: </w:t>
            </w:r>
            <w:r w:rsidRPr="009B5734">
              <w:rPr>
                <w:rFonts w:ascii="Times New Roman" w:hAnsi="Times New Roman" w:cs="Times New Roman"/>
                <w:b w:val="0"/>
                <w:noProof/>
                <w:sz w:val="24"/>
              </w:rPr>
              <w:t>Evidence indicates that without EU action, Member States will start addressing this sub-problem independently and in a non-harmonised way. It can therefore be expected that a harmonised approach at EU level to address this sub-problem will have a positive impact on business confidence and cross-border transactions.</w:t>
            </w:r>
            <w:r w:rsidRPr="009B5734">
              <w:rPr>
                <w:rFonts w:ascii="Times New Roman" w:hAnsi="Times New Roman" w:cs="Times New Roman"/>
                <w:noProof/>
                <w:sz w:val="24"/>
              </w:rPr>
              <w:t xml:space="preserve"> </w:t>
            </w:r>
            <w:r w:rsidRPr="009B5734">
              <w:rPr>
                <w:rFonts w:ascii="Times New Roman" w:hAnsi="Times New Roman" w:cs="Times New Roman"/>
                <w:b w:val="0"/>
                <w:noProof/>
                <w:sz w:val="24"/>
              </w:rPr>
              <w:t>(6/10)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Administrative burdens: </w:t>
            </w:r>
            <w:r w:rsidRPr="009B5734">
              <w:rPr>
                <w:rFonts w:ascii="Times New Roman" w:hAnsi="Times New Roman" w:cs="Times New Roman"/>
                <w:b w:val="0"/>
                <w:noProof/>
                <w:sz w:val="24"/>
              </w:rPr>
              <w:t>This option will impose relatively high one-off administrative burdens on businesses, primarily sellers, mostly related to adapting systems, procedures and existing data (e.g. updating websites) and to replacing price tags in offline shops (e.g. on shelves). However, it will have low recurrent administrative burdens as the activities necessary to provide the information would have been carried out in business-as-usual scenario. These extra costs are estimated to be approximately EUR 890 – 1 065</w:t>
            </w:r>
            <w:r w:rsidRPr="009B5734">
              <w:rPr>
                <w:b w:val="0"/>
                <w:noProof/>
              </w:rPr>
              <w:t xml:space="preserve"> </w:t>
            </w:r>
            <w:r w:rsidRPr="009B5734">
              <w:rPr>
                <w:rFonts w:ascii="Times New Roman" w:hAnsi="Times New Roman" w:cs="Times New Roman"/>
                <w:b w:val="0"/>
                <w:noProof/>
                <w:sz w:val="24"/>
              </w:rPr>
              <w:t xml:space="preserve">million for the period 2025-2040 (present value). The costs fall largely on sellers as they are mainly linked to the display of the required information. </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Substantive compliance costs: </w:t>
            </w:r>
            <w:r w:rsidRPr="009B5734">
              <w:rPr>
                <w:rFonts w:ascii="Times New Roman" w:hAnsi="Times New Roman" w:cs="Times New Roman"/>
                <w:b w:val="0"/>
                <w:noProof/>
                <w:sz w:val="24"/>
              </w:rPr>
              <w:t>None have been identified.</w:t>
            </w:r>
            <w:r w:rsidR="000E6E34" w:rsidRPr="009B5734">
              <w:rPr>
                <w:rFonts w:ascii="Times New Roman" w:hAnsi="Times New Roman"/>
                <w:b w:val="0"/>
                <w:noProof/>
                <w:sz w:val="24"/>
              </w:rPr>
              <w:t xml:space="preserve"> </w:t>
            </w:r>
            <w:r w:rsidRPr="009B5734">
              <w:rPr>
                <w:rFonts w:ascii="Times New Roman" w:hAnsi="Times New Roman" w:cs="Times New Roman"/>
                <w:b w:val="0"/>
                <w:noProof/>
                <w:sz w:val="24"/>
              </w:rPr>
              <w:t>(5/10)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Indirect costs</w:t>
            </w:r>
            <w:r w:rsidRPr="009B5734">
              <w:rPr>
                <w:rFonts w:ascii="Times New Roman" w:hAnsi="Times New Roman" w:cs="Times New Roman"/>
                <w:b w:val="0"/>
                <w:noProof/>
                <w:sz w:val="24"/>
              </w:rPr>
              <w:t>: The total costs of the option divided by the volume of product sales is around EUR 0.04. While such extra costs might be passed on the consumers, it is not expected to have an effect on the demand. It is also not expected to lead to a significant increase of the operational costs of companies, as they are aware of the quality and lifespan of their products and will select the optimal duration for the commercial guarantee and optimum price premium accordingly, depending also on the needs of the consumers in a given market or a given product category. These costs are expected to be compensated by an increase in the price of products (as consumers are willing to pay for longer commercial guarantees) and possibly by an increase in demand for those same products.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SME growth: </w:t>
            </w:r>
            <w:r w:rsidRPr="009B5734">
              <w:rPr>
                <w:rFonts w:ascii="Times New Roman" w:hAnsi="Times New Roman" w:cs="Times New Roman"/>
                <w:b w:val="0"/>
                <w:noProof/>
                <w:sz w:val="24"/>
              </w:rPr>
              <w:t>No significant impact</w:t>
            </w:r>
            <w:r w:rsidRPr="009B5734">
              <w:rPr>
                <w:rFonts w:ascii="Times New Roman" w:hAnsi="Times New Roman" w:cs="Times New Roman"/>
                <w:noProof/>
                <w:sz w:val="24"/>
              </w:rPr>
              <w:t xml:space="preserve">. </w:t>
            </w:r>
            <w:r w:rsidRPr="009B5734">
              <w:rPr>
                <w:rFonts w:ascii="Times New Roman" w:hAnsi="Times New Roman" w:cs="Times New Roman"/>
                <w:b w:val="0"/>
                <w:noProof/>
                <w:sz w:val="24"/>
              </w:rPr>
              <w:t>(5/10)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public administrations: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Enforcement costs </w:t>
            </w:r>
            <w:r w:rsidRPr="009B5734">
              <w:rPr>
                <w:rFonts w:ascii="Times New Roman" w:hAnsi="Times New Roman" w:cs="Times New Roman"/>
                <w:b w:val="0"/>
                <w:noProof/>
                <w:sz w:val="24"/>
              </w:rPr>
              <w:t xml:space="preserve">are estimated to be of </w:t>
            </w:r>
            <w:r w:rsidRPr="009B5734">
              <w:rPr>
                <w:rFonts w:ascii="Times New Roman" w:hAnsi="Times New Roman" w:cs="Times New Roman"/>
                <w:noProof/>
                <w:sz w:val="24"/>
              </w:rPr>
              <w:t>EUR 15-27 million</w:t>
            </w:r>
            <w:r w:rsidRPr="009B5734">
              <w:rPr>
                <w:rFonts w:ascii="Times New Roman" w:hAnsi="Times New Roman" w:cs="Times New Roman"/>
                <w:b w:val="0"/>
                <w:noProof/>
                <w:sz w:val="24"/>
              </w:rPr>
              <w:t xml:space="preserve"> for the period 2025-2040</w:t>
            </w:r>
            <w:r w:rsidRPr="009B5734">
              <w:rPr>
                <w:rStyle w:val="FootnoteReference"/>
                <w:rFonts w:ascii="Times New Roman" w:hAnsi="Times New Roman" w:cs="Times New Roman"/>
                <w:b w:val="0"/>
                <w:noProof/>
                <w:sz w:val="24"/>
              </w:rPr>
              <w:footnoteReference w:id="228"/>
            </w:r>
            <w:r w:rsidRPr="009B5734">
              <w:rPr>
                <w:rFonts w:ascii="Times New Roman" w:hAnsi="Times New Roman" w:cs="Times New Roman"/>
                <w:b w:val="0"/>
                <w:noProof/>
                <w:sz w:val="24"/>
              </w:rPr>
              <w:t>. These costs will be generated by the time and expertise needed to check the information provided by businesses.</w:t>
            </w:r>
            <w:r w:rsidRPr="009B5734">
              <w:rPr>
                <w:rFonts w:ascii="Times New Roman" w:hAnsi="Times New Roman" w:cs="Times New Roman"/>
                <w:noProof/>
                <w:sz w:val="24"/>
              </w:rPr>
              <w:t xml:space="preserve"> </w:t>
            </w:r>
            <w:r w:rsidRPr="009B5734">
              <w:rPr>
                <w:rFonts w:ascii="Times New Roman" w:hAnsi="Times New Roman" w:cs="Times New Roman"/>
                <w:b w:val="0"/>
                <w:noProof/>
                <w:sz w:val="24"/>
              </w:rPr>
              <w:t>Based on interviews with national authorities in the context of the supporting study the option would not require significant additional resources on top of the existing ones to enforce CRD and SGD.</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Environmental impacts: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Climate change: </w:t>
            </w:r>
            <w:r w:rsidRPr="009B5734">
              <w:rPr>
                <w:rFonts w:ascii="Times New Roman" w:hAnsi="Times New Roman" w:cs="Times New Roman"/>
                <w:b w:val="0"/>
                <w:noProof/>
                <w:sz w:val="24"/>
              </w:rPr>
              <w:t>Due to the implementation of the option, (some) consumers will purchase products that last longer, therefore leading to a reduction of produced units. This will lead to a reduction of CO2 emissions estimated at 0.3 – 0.4 mega</w:t>
            </w:r>
            <w:r w:rsidRPr="009B5734">
              <w:rPr>
                <w:b w:val="0"/>
                <w:noProof/>
              </w:rPr>
              <w:t xml:space="preserve"> </w:t>
            </w:r>
            <w:r w:rsidRPr="009B5734">
              <w:rPr>
                <w:rFonts w:ascii="Times New Roman" w:hAnsi="Times New Roman" w:cs="Times New Roman"/>
                <w:b w:val="0"/>
                <w:noProof/>
                <w:sz w:val="24"/>
              </w:rPr>
              <w:t xml:space="preserve">tons </w:t>
            </w:r>
            <w:r w:rsidRPr="009B5734">
              <w:rPr>
                <w:rFonts w:ascii="Times New Roman" w:hAnsi="Times New Roman" w:cs="Times New Roman"/>
                <w:noProof/>
                <w:sz w:val="24"/>
              </w:rPr>
              <w:t>(</w:t>
            </w:r>
            <w:r w:rsidRPr="00C72822">
              <w:rPr>
                <w:rFonts w:ascii="Times New Roman" w:hAnsi="Times New Roman" w:cs="Times New Roman"/>
                <w:b w:val="0"/>
                <w:noProof/>
                <w:sz w:val="24"/>
              </w:rPr>
              <w:t>present value of EUR 6 - 8 million) during production (estimate based on products lastin</w:t>
            </w:r>
            <w:r w:rsidRPr="009B5734">
              <w:rPr>
                <w:rFonts w:ascii="Times New Roman" w:hAnsi="Times New Roman" w:cs="Times New Roman"/>
                <w:b w:val="0"/>
                <w:noProof/>
                <w:sz w:val="24"/>
              </w:rPr>
              <w:t>g at least 1 year longer) for the period 2025-2040.</w:t>
            </w:r>
          </w:p>
          <w:p w:rsidR="00EA45F9" w:rsidRPr="009B5734" w:rsidRDefault="00EA45F9" w:rsidP="00981615">
            <w:pPr>
              <w:pStyle w:val="Text2"/>
              <w:spacing w:after="0"/>
              <w:ind w:left="0" w:firstLine="0"/>
              <w:rPr>
                <w:noProof/>
              </w:rPr>
            </w:pPr>
            <w:r w:rsidRPr="009B5734">
              <w:rPr>
                <w:noProof/>
              </w:rPr>
              <w:t xml:space="preserve">Other environmental impacts change: </w:t>
            </w:r>
            <w:r w:rsidRPr="009B5734">
              <w:rPr>
                <w:b w:val="0"/>
                <w:noProof/>
              </w:rPr>
              <w:t>In addition, it will lead to less water used, fewer particulate matter and polluting agents released and a reduction of the amount of waste, and will support the transition towards a more circular and sustainable economy. (6/10)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Coherence: </w:t>
            </w:r>
            <w:r w:rsidRPr="009B5734">
              <w:rPr>
                <w:rFonts w:ascii="Times New Roman" w:hAnsi="Times New Roman" w:cs="Times New Roman"/>
                <w:b w:val="0"/>
                <w:noProof/>
                <w:sz w:val="24"/>
              </w:rPr>
              <w:t>The option is coherent will the legal framework and usefully completes the provisions set out in the Sales and Guarantees Directive and the Consumer Rights Directive as it will ensure clearer information to consumers at the point of sale on the length of the producer’s commercial guarantees of durability for all goods in scope.</w:t>
            </w:r>
            <w:r w:rsidRPr="009B5734">
              <w:rPr>
                <w:rFonts w:ascii="Times New Roman" w:hAnsi="Times New Roman" w:cs="Times New Roman"/>
                <w:noProof/>
                <w:sz w:val="24"/>
              </w:rPr>
              <w:t xml:space="preserve"> </w:t>
            </w:r>
            <w:r w:rsidRPr="009B5734">
              <w:rPr>
                <w:rFonts w:ascii="Times New Roman" w:hAnsi="Times New Roman" w:cs="Times New Roman"/>
                <w:b w:val="0"/>
                <w:noProof/>
                <w:sz w:val="24"/>
              </w:rPr>
              <w:t>(9/10)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Overarching impacts: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Circularity and sustainable consumption: </w:t>
            </w:r>
            <w:r w:rsidRPr="009B5734">
              <w:rPr>
                <w:rFonts w:ascii="Times New Roman" w:hAnsi="Times New Roman" w:cs="Times New Roman"/>
                <w:b w:val="0"/>
                <w:noProof/>
                <w:sz w:val="24"/>
              </w:rPr>
              <w:t xml:space="preserve">The option will, to some extent, help increase the awareness among consumers of products’ durability (at the time of purchase) and reduce, to some extent, the frequency of replacement of products. This contributes to waste reduction and a more circular and sustainable economy. (6/10) </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Application of the EU legal consumer framework: </w:t>
            </w:r>
            <w:r w:rsidRPr="009B5734">
              <w:rPr>
                <w:rFonts w:ascii="Times New Roman" w:hAnsi="Times New Roman" w:cs="Times New Roman"/>
                <w:b w:val="0"/>
                <w:noProof/>
                <w:sz w:val="24"/>
              </w:rPr>
              <w:t>The option is easily enforceable. It will also ensure a better and coherent application of the EU legal consumer framework (in particular the SGD) as it specifies that information on the existence or absence of a producer’s commercial guarantee of durability should be provided to consumers. (7/10)</w:t>
            </w:r>
          </w:p>
          <w:p w:rsidR="00EA45F9" w:rsidRPr="009B5734" w:rsidRDefault="00EA45F9" w:rsidP="00981615">
            <w:pPr>
              <w:ind w:left="0" w:firstLine="0"/>
              <w:rPr>
                <w:rFonts w:ascii="Times New Roman" w:hAnsi="Times New Roman" w:cs="Times New Roman"/>
                <w:b w:val="0"/>
                <w:noProof/>
                <w:sz w:val="24"/>
              </w:rPr>
            </w:pPr>
          </w:p>
        </w:tc>
      </w:tr>
    </w:tbl>
    <w:p w:rsidR="00EA45F9" w:rsidRPr="009B5734" w:rsidRDefault="00EA45F9" w:rsidP="00EA45F9">
      <w:pPr>
        <w:ind w:left="0" w:firstLine="0"/>
        <w:rPr>
          <w:noProof/>
        </w:rPr>
      </w:pPr>
    </w:p>
    <w:tbl>
      <w:tblPr>
        <w:tblStyle w:val="GridTable1Light-Accent2"/>
        <w:tblW w:w="0" w:type="auto"/>
        <w:tblLook w:val="04A0" w:firstRow="1" w:lastRow="0" w:firstColumn="1" w:lastColumn="0" w:noHBand="0" w:noVBand="1"/>
      </w:tblPr>
      <w:tblGrid>
        <w:gridCol w:w="8607"/>
      </w:tblGrid>
      <w:tr w:rsidR="00EA45F9" w:rsidRPr="009B5734" w:rsidTr="00C84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7" w:type="dxa"/>
            <w:tcBorders>
              <w:top w:val="single" w:sz="4" w:space="0" w:color="E5B8B7" w:themeColor="accent2" w:themeTint="66"/>
              <w:left w:val="single" w:sz="4" w:space="0" w:color="E5B8B7" w:themeColor="accent2" w:themeTint="66"/>
              <w:right w:val="single" w:sz="4" w:space="0" w:color="E5B8B7" w:themeColor="accent2" w:themeTint="66"/>
            </w:tcBorders>
            <w:shd w:val="clear" w:color="auto" w:fill="E5B8B7" w:themeFill="accent2" w:themeFillTint="66"/>
            <w:hideMark/>
          </w:tcPr>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Option 1.2.C: </w:t>
            </w:r>
            <w:bookmarkStart w:id="676" w:name="_Hlk74316125"/>
            <w:r w:rsidRPr="009B5734">
              <w:rPr>
                <w:rFonts w:ascii="Times New Roman" w:hAnsi="Times New Roman" w:cs="Times New Roman"/>
                <w:noProof/>
                <w:sz w:val="24"/>
              </w:rPr>
              <w:t>Obligation to inform consumers of the existence (or absence) of a producer’s commercial guarantee for durability and on the period of time during which free software updates will be provided by manufacturers</w:t>
            </w:r>
            <w:bookmarkEnd w:id="676"/>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607"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consumers: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Quality of decision-making: </w:t>
            </w:r>
            <w:r w:rsidRPr="009B5734">
              <w:rPr>
                <w:rFonts w:ascii="Times New Roman" w:hAnsi="Times New Roman" w:cs="Times New Roman"/>
                <w:b w:val="0"/>
                <w:noProof/>
                <w:sz w:val="24"/>
              </w:rPr>
              <w:t xml:space="preserve">Evidence from literature and from the consumer survey and stakeholder consultations show that consumers are interested in purchasing products with better software updates. This need has to some extent been addressed by Directive (EU) 2019/771 which requires sellers to ensure that software updates are provided for a period of time that a consumer may reasonably </w:t>
            </w:r>
            <w:bookmarkStart w:id="677" w:name="_Hlk74318669"/>
            <w:r w:rsidRPr="009B5734">
              <w:rPr>
                <w:rFonts w:ascii="Times New Roman" w:hAnsi="Times New Roman" w:cs="Times New Roman"/>
                <w:b w:val="0"/>
                <w:noProof/>
                <w:sz w:val="24"/>
              </w:rPr>
              <w:t>expect (where the sales contract provides for a single act of supply of the digital element). However, it does not specify the exact period of time nor how this should be communicated to the consumers at the point of sale.</w:t>
            </w:r>
            <w:bookmarkEnd w:id="677"/>
            <w:r w:rsidRPr="009B5734">
              <w:rPr>
                <w:rFonts w:ascii="Times New Roman" w:hAnsi="Times New Roman" w:cs="Times New Roman"/>
                <w:b w:val="0"/>
                <w:noProof/>
                <w:sz w:val="24"/>
              </w:rPr>
              <w:t xml:space="preserve"> The option </w:t>
            </w:r>
            <w:r w:rsidRPr="009B5734">
              <w:rPr>
                <w:rFonts w:ascii="Times New Roman" w:hAnsi="Times New Roman" w:cs="Times New Roman"/>
                <w:noProof/>
                <w:sz w:val="24"/>
              </w:rPr>
              <w:t>(in addition to the impacts described for option 1.2.B)</w:t>
            </w:r>
            <w:r w:rsidRPr="009B5734">
              <w:rPr>
                <w:noProof/>
              </w:rPr>
              <w:t xml:space="preserve"> </w:t>
            </w:r>
            <w:r w:rsidRPr="009B5734">
              <w:rPr>
                <w:rFonts w:ascii="Times New Roman" w:hAnsi="Times New Roman" w:cs="Times New Roman"/>
                <w:b w:val="0"/>
                <w:bCs w:val="0"/>
                <w:noProof/>
                <w:sz w:val="24"/>
              </w:rPr>
              <w:t>would</w:t>
            </w:r>
            <w:r w:rsidRPr="009B5734">
              <w:rPr>
                <w:rFonts w:ascii="Times New Roman" w:hAnsi="Times New Roman" w:cs="Times New Roman"/>
                <w:b w:val="0"/>
                <w:noProof/>
                <w:sz w:val="24"/>
              </w:rPr>
              <w:t xml:space="preserve"> allow consumers to identify which products offer better conditions in terms of availability of software updates and therefore improve their decision-making process. In addition, it could have the additional benefit of quantifying what “reasonable expectation” could mean (as some stakeholders pointed out that there would be advantages in qualifying “reasonable expectations” for consumers and for enforcement). To address possible information overload, this information on software updates should be only provided in absence of a commercial guarantee of durability (which will cover software updates), unless the software updates are provided for a longer time than the commercial guarantee of durability. (8/10)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Consumer protection: In addition to the positive impacts described for option 1.2.B, </w:t>
            </w:r>
            <w:r w:rsidRPr="009B5734">
              <w:rPr>
                <w:rFonts w:ascii="Times New Roman" w:hAnsi="Times New Roman" w:cs="Times New Roman"/>
                <w:b w:val="0"/>
                <w:noProof/>
                <w:sz w:val="24"/>
              </w:rPr>
              <w:t>t</w:t>
            </w:r>
            <w:r w:rsidRPr="009B5734">
              <w:rPr>
                <w:rFonts w:ascii="Times New Roman" w:hAnsi="Times New Roman" w:cs="Times New Roman"/>
                <w:b w:val="0"/>
                <w:bCs w:val="0"/>
                <w:noProof/>
                <w:sz w:val="24"/>
              </w:rPr>
              <w:t>he</w:t>
            </w:r>
            <w:r w:rsidRPr="009B5734">
              <w:rPr>
                <w:rFonts w:ascii="Times New Roman" w:hAnsi="Times New Roman" w:cs="Times New Roman"/>
                <w:noProof/>
                <w:sz w:val="24"/>
              </w:rPr>
              <w:t xml:space="preserve"> </w:t>
            </w:r>
            <w:r w:rsidRPr="009B5734">
              <w:rPr>
                <w:rFonts w:ascii="Times New Roman" w:hAnsi="Times New Roman" w:cs="Times New Roman"/>
                <w:b w:val="0"/>
                <w:noProof/>
                <w:sz w:val="24"/>
              </w:rPr>
              <w:t>option would also have a positive impact on the protection of consumers as it is expected to qualify to some extent what manufacturers consider to be a “reasonably expected” period under the Sale of Goods Directive. Furthermore, manufacturers might decide to provide software updates for a longer period than the “period reasonably expected” for the sellers in the Sale of Goods Directive and so consumers would be protected for a longer period due to the option. (8/10)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Consumer trust: </w:t>
            </w:r>
            <w:r w:rsidRPr="009B5734">
              <w:rPr>
                <w:rFonts w:ascii="Times New Roman" w:hAnsi="Times New Roman" w:cs="Times New Roman"/>
                <w:b w:val="0"/>
                <w:noProof/>
                <w:sz w:val="24"/>
              </w:rPr>
              <w:t>The option would have a positive impact i</w:t>
            </w:r>
            <w:r w:rsidRPr="009B5734">
              <w:rPr>
                <w:rFonts w:ascii="Times New Roman" w:hAnsi="Times New Roman" w:cs="Times New Roman"/>
                <w:b w:val="0"/>
                <w:bCs w:val="0"/>
                <w:noProof/>
                <w:sz w:val="24"/>
              </w:rPr>
              <w:t xml:space="preserve">n addition, to the positive impacts described for option 1.2.B, </w:t>
            </w:r>
            <w:r w:rsidRPr="009B5734">
              <w:rPr>
                <w:rFonts w:ascii="Times New Roman" w:hAnsi="Times New Roman" w:cs="Times New Roman"/>
                <w:b w:val="0"/>
                <w:noProof/>
                <w:sz w:val="24"/>
              </w:rPr>
              <w:t>primarily because it increases transparency on the length of the period during which software updates will be available. (8/10)</w:t>
            </w:r>
          </w:p>
          <w:p w:rsidR="00EA45F9" w:rsidRPr="009B5734" w:rsidRDefault="00EA45F9" w:rsidP="00981615">
            <w:pPr>
              <w:pStyle w:val="Text2"/>
              <w:spacing w:after="0"/>
              <w:ind w:left="0" w:firstLine="0"/>
              <w:rPr>
                <w:b w:val="0"/>
                <w:bCs w:val="0"/>
                <w:noProof/>
              </w:rPr>
            </w:pPr>
            <w:r w:rsidRPr="009B5734">
              <w:rPr>
                <w:noProof/>
              </w:rPr>
              <w:t xml:space="preserve">Monetisable Consumer welfare: </w:t>
            </w:r>
            <w:r w:rsidRPr="009B5734">
              <w:rPr>
                <w:b w:val="0"/>
                <w:bCs w:val="0"/>
                <w:noProof/>
              </w:rPr>
              <w:t xml:space="preserve">Evidence shows that some consumers </w:t>
            </w:r>
            <w:bookmarkStart w:id="678" w:name="_Hlk74319525"/>
            <w:r w:rsidRPr="009B5734">
              <w:rPr>
                <w:b w:val="0"/>
                <w:bCs w:val="0"/>
                <w:noProof/>
              </w:rPr>
              <w:t>give up repairing a broken product because of a lack of updates</w:t>
            </w:r>
            <w:bookmarkEnd w:id="678"/>
            <w:r w:rsidRPr="009B5734">
              <w:rPr>
                <w:b w:val="0"/>
                <w:bCs w:val="0"/>
                <w:noProof/>
              </w:rPr>
              <w:t>. Data from the consumer survey indicates that this is the case in about 6%, 10% and 9% of repair attempts of laptops, TVs and smartphones, respectively. The option may contribute to ensuring consumers are better informed and select products with software updates ensured for longer periods (when compared to the baseline) and to some extent ensure that some of the failed repair attempts (due to lack of software updates) will, in fact, succeed. In these cases, consumers will experience a “gain”, which according to the partial calculations carried out by the supporting study is likely to be around</w:t>
            </w:r>
            <w:r w:rsidRPr="009B5734">
              <w:rPr>
                <w:noProof/>
              </w:rPr>
              <w:t xml:space="preserve"> </w:t>
            </w:r>
            <w:r w:rsidRPr="009B5734">
              <w:rPr>
                <w:b w:val="0"/>
                <w:bCs w:val="0"/>
                <w:noProof/>
              </w:rPr>
              <w:t>EUR 2 355 – 3 555 million  for the period 2025-2040 (net present value). (8/10)</w:t>
            </w:r>
          </w:p>
          <w:p w:rsidR="00EA45F9" w:rsidRPr="009B5734" w:rsidRDefault="00EA45F9" w:rsidP="00981615">
            <w:pPr>
              <w:ind w:left="0" w:firstLine="0"/>
              <w:rPr>
                <w:rFonts w:ascii="Times New Roman" w:hAnsi="Times New Roman" w:cs="Times New Roman"/>
                <w:noProof/>
                <w:sz w:val="24"/>
              </w:rPr>
            </w:pP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607"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businesses: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Level-playing field: </w:t>
            </w:r>
            <w:r w:rsidRPr="009B5734">
              <w:rPr>
                <w:rFonts w:ascii="Times New Roman" w:hAnsi="Times New Roman" w:cs="Times New Roman"/>
                <w:b w:val="0"/>
                <w:noProof/>
                <w:sz w:val="24"/>
              </w:rPr>
              <w:t xml:space="preserve">The option is expected to have some positive impact on a level-playing field </w:t>
            </w:r>
            <w:bookmarkStart w:id="679" w:name="_Hlk74323176"/>
            <w:r w:rsidRPr="009B5734">
              <w:rPr>
                <w:rFonts w:ascii="Times New Roman" w:hAnsi="Times New Roman" w:cs="Times New Roman"/>
                <w:b w:val="0"/>
                <w:noProof/>
                <w:sz w:val="24"/>
              </w:rPr>
              <w:t>on top of those described for option 1.2.</w:t>
            </w:r>
            <w:bookmarkEnd w:id="679"/>
            <w:r w:rsidRPr="009B5734">
              <w:rPr>
                <w:rFonts w:ascii="Times New Roman" w:hAnsi="Times New Roman" w:cs="Times New Roman"/>
                <w:b w:val="0"/>
                <w:noProof/>
                <w:sz w:val="24"/>
              </w:rPr>
              <w:t>B as it will increase transparency about commitments regarding software update and allow consumers to compare products based on these commitments. (7/10)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Reduction of barriers to cross-border trade: </w:t>
            </w:r>
            <w:r w:rsidRPr="009B5734">
              <w:rPr>
                <w:rFonts w:ascii="Times New Roman" w:hAnsi="Times New Roman" w:cs="Times New Roman"/>
                <w:b w:val="0"/>
                <w:noProof/>
                <w:sz w:val="24"/>
              </w:rPr>
              <w:t>The option is expected to have some impact on barriers to cross-border trade, as it is expected that some Member States will independently legislate on this if no EU level legislation is in place.</w:t>
            </w:r>
            <w:r w:rsidRPr="009B5734">
              <w:rPr>
                <w:rFonts w:ascii="Times New Roman" w:hAnsi="Times New Roman" w:cs="Times New Roman"/>
                <w:noProof/>
                <w:sz w:val="24"/>
              </w:rPr>
              <w:t xml:space="preserve"> </w:t>
            </w:r>
            <w:r w:rsidRPr="009B5734">
              <w:rPr>
                <w:rFonts w:ascii="Times New Roman" w:hAnsi="Times New Roman" w:cs="Times New Roman"/>
                <w:b w:val="0"/>
                <w:noProof/>
                <w:sz w:val="24"/>
              </w:rPr>
              <w:t>(6/10)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Administrative burdens: </w:t>
            </w:r>
            <w:r w:rsidRPr="009B5734">
              <w:rPr>
                <w:rFonts w:ascii="Times New Roman" w:hAnsi="Times New Roman" w:cs="Times New Roman"/>
                <w:b w:val="0"/>
                <w:noProof/>
                <w:sz w:val="24"/>
              </w:rPr>
              <w:t>The option will have costs to manufacturers as they need to decide on the period during which they will provide software updates, and communicate them to sellers. Sellers will then have costs to ensure that consumers receive this information at the point of sale, however, digital means are allowed. These extra costs are estimated to be between</w:t>
            </w:r>
            <w:r w:rsidRPr="009B5734">
              <w:rPr>
                <w:rFonts w:ascii="Times New Roman" w:hAnsi="Times New Roman" w:cs="Times New Roman"/>
                <w:noProof/>
                <w:sz w:val="24"/>
              </w:rPr>
              <w:t xml:space="preserve"> </w:t>
            </w:r>
            <w:r w:rsidRPr="009B5734">
              <w:rPr>
                <w:rFonts w:ascii="Times New Roman" w:hAnsi="Times New Roman" w:cs="Times New Roman"/>
                <w:b w:val="0"/>
                <w:noProof/>
                <w:sz w:val="24"/>
              </w:rPr>
              <w:t>EUR 990 – 1 170 million (of which the great majority for SMEs) for the period 2025-2040 (present value).</w:t>
            </w:r>
            <w:r w:rsidRPr="009B5734">
              <w:rPr>
                <w:rFonts w:ascii="Times New Roman" w:hAnsi="Times New Roman" w:cs="Times New Roman"/>
                <w:noProof/>
                <w:sz w:val="24"/>
              </w:rPr>
              <w:t xml:space="preserve"> </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Substantive compliance costs</w:t>
            </w:r>
            <w:r w:rsidRPr="009B5734">
              <w:rPr>
                <w:rFonts w:ascii="Times New Roman" w:hAnsi="Times New Roman" w:cs="Times New Roman"/>
                <w:b w:val="0"/>
                <w:noProof/>
                <w:sz w:val="24"/>
              </w:rPr>
              <w:t>: None have been identified.</w:t>
            </w:r>
            <w:r w:rsidR="000E6E34" w:rsidRPr="009B5734">
              <w:rPr>
                <w:rFonts w:ascii="Times New Roman" w:hAnsi="Times New Roman" w:cs="Times New Roman"/>
                <w:b w:val="0"/>
                <w:noProof/>
                <w:sz w:val="24"/>
              </w:rPr>
              <w:t xml:space="preserve"> </w:t>
            </w:r>
            <w:r w:rsidRPr="009B5734">
              <w:rPr>
                <w:rFonts w:ascii="Times New Roman" w:hAnsi="Times New Roman" w:cs="Times New Roman"/>
                <w:b w:val="0"/>
                <w:noProof/>
                <w:sz w:val="24"/>
              </w:rPr>
              <w:t>(5/10)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Indirect costs: </w:t>
            </w:r>
            <w:r w:rsidRPr="009B5734">
              <w:rPr>
                <w:rFonts w:ascii="Times New Roman" w:hAnsi="Times New Roman" w:cs="Times New Roman"/>
                <w:b w:val="0"/>
                <w:noProof/>
                <w:sz w:val="24"/>
              </w:rPr>
              <w:t>The total costs of the option divided by the volume of product sales is around EUR 0.04. As explained previously, it is not expected to have an effect on the demand given the average price of the products affected by the option. (5/10)</w:t>
            </w:r>
          </w:p>
          <w:p w:rsidR="00EA45F9" w:rsidRPr="009B5734" w:rsidRDefault="00EA45F9" w:rsidP="00981615">
            <w:pPr>
              <w:pStyle w:val="Text2"/>
              <w:spacing w:after="0"/>
              <w:ind w:left="0" w:firstLine="0"/>
              <w:rPr>
                <w:b w:val="0"/>
                <w:noProof/>
              </w:rPr>
            </w:pPr>
            <w:r w:rsidRPr="009B5734">
              <w:rPr>
                <w:noProof/>
              </w:rPr>
              <w:t xml:space="preserve">SME growth: </w:t>
            </w:r>
            <w:r w:rsidRPr="009B5734">
              <w:rPr>
                <w:b w:val="0"/>
                <w:noProof/>
              </w:rPr>
              <w:t>Same as with option 1.2.B. (5/10)</w:t>
            </w:r>
          </w:p>
          <w:p w:rsidR="00EA45F9" w:rsidRPr="009B5734" w:rsidRDefault="00EA45F9" w:rsidP="00981615">
            <w:pPr>
              <w:ind w:left="0" w:firstLine="0"/>
              <w:rPr>
                <w:rFonts w:ascii="Times New Roman" w:hAnsi="Times New Roman" w:cs="Times New Roman"/>
                <w:b w:val="0"/>
                <w:noProof/>
                <w:sz w:val="24"/>
              </w:rPr>
            </w:pP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607"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public administrations:</w:t>
            </w:r>
          </w:p>
          <w:p w:rsidR="00EA45F9" w:rsidRPr="009B5734" w:rsidRDefault="00EA45F9" w:rsidP="00981615">
            <w:pPr>
              <w:pStyle w:val="Text2"/>
              <w:spacing w:after="0"/>
              <w:ind w:left="0" w:firstLine="0"/>
              <w:rPr>
                <w:noProof/>
              </w:rPr>
            </w:pPr>
            <w:r w:rsidRPr="009B5734">
              <w:rPr>
                <w:noProof/>
              </w:rPr>
              <w:t xml:space="preserve">Enforcement costs: </w:t>
            </w:r>
            <w:r w:rsidRPr="009B5734">
              <w:rPr>
                <w:b w:val="0"/>
                <w:noProof/>
              </w:rPr>
              <w:t>These costs are expected to be the same as for option 1.2.B.</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607"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Environmental impacts: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Climate change: In addition to the impacts of </w:t>
            </w:r>
            <w:r w:rsidRPr="009B5734">
              <w:rPr>
                <w:rFonts w:ascii="Times New Roman" w:hAnsi="Times New Roman" w:cs="Times New Roman"/>
                <w:bCs w:val="0"/>
                <w:noProof/>
                <w:sz w:val="24"/>
              </w:rPr>
              <w:t>option</w:t>
            </w:r>
            <w:r w:rsidRPr="009B5734">
              <w:rPr>
                <w:rFonts w:ascii="Times New Roman" w:hAnsi="Times New Roman" w:cs="Times New Roman"/>
                <w:noProof/>
                <w:sz w:val="24"/>
              </w:rPr>
              <w:t xml:space="preserve"> 1.2.</w:t>
            </w:r>
            <w:r w:rsidRPr="009B5734">
              <w:rPr>
                <w:rFonts w:ascii="Times New Roman" w:hAnsi="Times New Roman" w:cs="Times New Roman"/>
                <w:bCs w:val="0"/>
                <w:noProof/>
                <w:sz w:val="24"/>
              </w:rPr>
              <w:t>B</w:t>
            </w:r>
            <w:r w:rsidRPr="009B5734">
              <w:rPr>
                <w:rFonts w:ascii="Times New Roman" w:hAnsi="Times New Roman" w:cs="Times New Roman"/>
                <w:noProof/>
                <w:sz w:val="24"/>
              </w:rPr>
              <w:t xml:space="preserve">, </w:t>
            </w:r>
            <w:r w:rsidRPr="009B5734">
              <w:rPr>
                <w:rFonts w:ascii="Times New Roman" w:hAnsi="Times New Roman" w:cs="Times New Roman"/>
                <w:b w:val="0"/>
                <w:noProof/>
                <w:sz w:val="24"/>
              </w:rPr>
              <w:t>due to the implementation of the option, (some) consumers will be able to repair some goods that would have been replaced if the software had not been available. Consequently, the repaired products will have a longer lifespan than they would have had in the baseline. This will lead to a reduction of produced units and thus of CO2e emissions estimated to be around 0.4 – 0.7 mega tons (present value of EUR 8 - 13 million) during production (estimate under a scenario based on products lasting at least 1 year longer) for the period 2025-2040.</w:t>
            </w:r>
          </w:p>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Other environmental impacts change. </w:t>
            </w:r>
            <w:r w:rsidRPr="009B5734">
              <w:rPr>
                <w:rFonts w:ascii="Times New Roman" w:hAnsi="Times New Roman" w:cs="Times New Roman"/>
                <w:b w:val="0"/>
                <w:noProof/>
                <w:sz w:val="24"/>
              </w:rPr>
              <w:t>Same as for option 1.2.B. (6/10)</w:t>
            </w:r>
          </w:p>
          <w:p w:rsidR="00EA45F9" w:rsidRPr="009B5734" w:rsidRDefault="00EA45F9" w:rsidP="00981615">
            <w:pPr>
              <w:ind w:left="0" w:firstLine="0"/>
              <w:rPr>
                <w:rFonts w:ascii="Times New Roman" w:hAnsi="Times New Roman" w:cs="Times New Roman"/>
                <w:noProof/>
                <w:sz w:val="24"/>
              </w:rPr>
            </w:pP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607"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Coherence: </w:t>
            </w:r>
            <w:r w:rsidRPr="009B5734">
              <w:rPr>
                <w:rFonts w:ascii="Times New Roman" w:hAnsi="Times New Roman" w:cs="Times New Roman"/>
                <w:noProof/>
                <w:sz w:val="24"/>
                <w:szCs w:val="24"/>
              </w:rPr>
              <w:t xml:space="preserve">In addition to the impacts of option 1.2.B, </w:t>
            </w:r>
            <w:r w:rsidRPr="009B5734">
              <w:rPr>
                <w:rFonts w:ascii="Times New Roman" w:hAnsi="Times New Roman" w:cs="Times New Roman"/>
                <w:b w:val="0"/>
                <w:noProof/>
                <w:sz w:val="24"/>
                <w:szCs w:val="24"/>
              </w:rPr>
              <w:t xml:space="preserve">this option would  ensure further coherence with SGD, as it would stipulate </w:t>
            </w:r>
            <w:r w:rsidRPr="009B5734">
              <w:rPr>
                <w:rFonts w:ascii="Times New Roman" w:hAnsi="Times New Roman" w:cs="Times New Roman"/>
                <w:b w:val="0"/>
                <w:noProof/>
                <w:sz w:val="24"/>
              </w:rPr>
              <w:t xml:space="preserve"> the number of years during which manufacturers commit to providing updates, without prejudice to the statutory SGD right on software updates if the ‘reasonably expected period’ for updates turns out to be longer. The seller would be required to pass on the manufacturer’s information. This would make the statutory SGD right more tangible and meaningful –i.e. the consumer will know that at least for the indicated period he is entitled to software updates</w:t>
            </w:r>
            <w:r w:rsidRPr="009B5734">
              <w:rPr>
                <w:rFonts w:ascii="Times New Roman" w:hAnsi="Times New Roman" w:cs="Times New Roman"/>
                <w:b w:val="0"/>
                <w:noProof/>
                <w:sz w:val="24"/>
                <w:szCs w:val="24"/>
              </w:rPr>
              <w:t>.</w:t>
            </w:r>
            <w:r w:rsidRPr="009B5734">
              <w:rPr>
                <w:rFonts w:ascii="Times New Roman" w:hAnsi="Times New Roman" w:cs="Times New Roman"/>
                <w:noProof/>
                <w:sz w:val="24"/>
                <w:szCs w:val="24"/>
              </w:rPr>
              <w:t xml:space="preserve"> </w:t>
            </w:r>
            <w:r w:rsidRPr="009B5734">
              <w:rPr>
                <w:rFonts w:ascii="Times New Roman" w:hAnsi="Times New Roman" w:cs="Times New Roman"/>
                <w:b w:val="0"/>
                <w:noProof/>
                <w:sz w:val="24"/>
              </w:rPr>
              <w:t>(9/10)</w:t>
            </w:r>
            <w:r w:rsidRPr="009B5734">
              <w:rPr>
                <w:rFonts w:ascii="Times New Roman" w:hAnsi="Times New Roman" w:cs="Times New Roman"/>
                <w:noProof/>
                <w:sz w:val="24"/>
              </w:rPr>
              <w:t xml:space="preserve"> </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607"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Overarching impacts: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Circularity and sustainable consumption: In addition to the impacts described for option 1.2.B, </w:t>
            </w:r>
            <w:r w:rsidRPr="009B5734">
              <w:rPr>
                <w:rFonts w:ascii="Times New Roman" w:hAnsi="Times New Roman" w:cs="Times New Roman"/>
                <w:b w:val="0"/>
                <w:noProof/>
                <w:sz w:val="24"/>
              </w:rPr>
              <w:t>t</w:t>
            </w:r>
            <w:r w:rsidRPr="009B5734">
              <w:rPr>
                <w:rFonts w:ascii="Times New Roman" w:hAnsi="Times New Roman" w:cs="Times New Roman"/>
                <w:b w:val="0"/>
                <w:bCs w:val="0"/>
                <w:noProof/>
                <w:sz w:val="24"/>
              </w:rPr>
              <w:t>he option will help to slightly</w:t>
            </w:r>
            <w:r w:rsidRPr="009B5734">
              <w:rPr>
                <w:rFonts w:ascii="Times New Roman" w:hAnsi="Times New Roman" w:cs="Times New Roman"/>
                <w:b w:val="0"/>
                <w:noProof/>
                <w:sz w:val="24"/>
              </w:rPr>
              <w:t xml:space="preserve"> increase the share of products that are repaired instead of replaced.  (6/10) </w:t>
            </w:r>
          </w:p>
          <w:p w:rsidR="00EA45F9" w:rsidRPr="009B5734" w:rsidRDefault="00EA45F9" w:rsidP="00981615">
            <w:pPr>
              <w:pStyle w:val="Text2"/>
              <w:spacing w:after="0"/>
              <w:ind w:left="0" w:firstLine="0"/>
              <w:rPr>
                <w:b w:val="0"/>
                <w:bCs w:val="0"/>
                <w:noProof/>
              </w:rPr>
            </w:pPr>
            <w:r w:rsidRPr="009B5734">
              <w:rPr>
                <w:noProof/>
              </w:rPr>
              <w:t>Application of the EU legal consumer framework: In addition to the impacts of option 1.2.B, t</w:t>
            </w:r>
            <w:r w:rsidRPr="009B5734">
              <w:rPr>
                <w:b w:val="0"/>
                <w:bCs w:val="0"/>
                <w:noProof/>
              </w:rPr>
              <w:t>he option is expected to strengthen the application of the relevant provision in the SGD. (7/10)</w:t>
            </w:r>
          </w:p>
          <w:p w:rsidR="00EA45F9" w:rsidRPr="009B5734" w:rsidRDefault="00EA45F9" w:rsidP="00981615">
            <w:pPr>
              <w:pStyle w:val="Text2"/>
              <w:spacing w:after="0"/>
              <w:ind w:left="0" w:firstLine="0"/>
              <w:rPr>
                <w:noProof/>
              </w:rPr>
            </w:pPr>
          </w:p>
        </w:tc>
      </w:tr>
    </w:tbl>
    <w:p w:rsidR="00EA45F9" w:rsidRPr="009B5734" w:rsidRDefault="00EA45F9" w:rsidP="00EA45F9">
      <w:pPr>
        <w:pStyle w:val="BodyTextEC"/>
        <w:rPr>
          <w:noProof/>
        </w:rPr>
      </w:pPr>
    </w:p>
    <w:p w:rsidR="00EA45F9" w:rsidRPr="004931D3" w:rsidDel="003A2863" w:rsidRDefault="00EA45F9">
      <w:pPr>
        <w:pStyle w:val="Heading5"/>
        <w:rPr>
          <w:rFonts w:ascii="Times New Roman" w:hAnsi="Times New Roman" w:cs="Times New Roman"/>
          <w:i w:val="0"/>
          <w:noProof/>
          <w:sz w:val="24"/>
        </w:rPr>
      </w:pPr>
      <w:bookmarkStart w:id="680" w:name="_Ref59616039"/>
      <w:bookmarkStart w:id="681" w:name="_Toc60734114"/>
      <w:bookmarkStart w:id="682" w:name="_Toc75441004"/>
      <w:bookmarkStart w:id="683" w:name="_Toc75447003"/>
      <w:bookmarkStart w:id="684" w:name="_Toc75448876"/>
      <w:r w:rsidRPr="6B053803">
        <w:rPr>
          <w:rFonts w:ascii="Times New Roman" w:hAnsi="Times New Roman" w:cs="Times New Roman"/>
          <w:i w:val="0"/>
          <w:noProof/>
          <w:sz w:val="24"/>
        </w:rPr>
        <w:t>Recap of the assessment of the options</w:t>
      </w:r>
      <w:bookmarkEnd w:id="680"/>
      <w:bookmarkEnd w:id="681"/>
      <w:bookmarkEnd w:id="682"/>
      <w:bookmarkEnd w:id="683"/>
      <w:bookmarkEnd w:id="684"/>
    </w:p>
    <w:tbl>
      <w:tblPr>
        <w:tblStyle w:val="GridTable4-Accent3"/>
        <w:tblW w:w="0" w:type="auto"/>
        <w:tblLook w:val="04A0" w:firstRow="1" w:lastRow="0" w:firstColumn="1" w:lastColumn="0" w:noHBand="0" w:noVBand="1"/>
      </w:tblPr>
      <w:tblGrid>
        <w:gridCol w:w="1869"/>
        <w:gridCol w:w="1872"/>
        <w:gridCol w:w="1565"/>
        <w:gridCol w:w="1565"/>
        <w:gridCol w:w="1736"/>
      </w:tblGrid>
      <w:tr w:rsidR="00B30A0F" w:rsidRPr="009B5734" w:rsidTr="00C84A99">
        <w:trPr>
          <w:cnfStyle w:val="100000000000" w:firstRow="1" w:lastRow="0" w:firstColumn="0" w:lastColumn="0" w:oddVBand="0" w:evenVBand="0" w:oddHBand="0"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3883" w:type="dxa"/>
            <w:gridSpan w:val="2"/>
            <w:shd w:val="clear" w:color="auto" w:fill="F79646" w:themeFill="accent6"/>
            <w:vAlign w:val="center"/>
          </w:tcPr>
          <w:p w:rsidR="00EA45F9" w:rsidRPr="009B5734" w:rsidRDefault="00EA45F9" w:rsidP="00981615">
            <w:pPr>
              <w:pStyle w:val="Text2"/>
              <w:numPr>
                <w:ilvl w:val="0"/>
                <w:numId w:val="156"/>
              </w:numPr>
              <w:spacing w:after="0"/>
              <w:jc w:val="center"/>
              <w:rPr>
                <w:noProof/>
              </w:rPr>
            </w:pPr>
            <w:r w:rsidRPr="009B5734">
              <w:rPr>
                <w:noProof/>
              </w:rPr>
              <w:t>Criteria and sub-criteria</w:t>
            </w:r>
          </w:p>
        </w:tc>
        <w:tc>
          <w:tcPr>
            <w:tcW w:w="1607" w:type="dxa"/>
            <w:shd w:val="clear" w:color="auto" w:fill="F79646" w:themeFill="accent6"/>
            <w:vAlign w:val="center"/>
          </w:tcPr>
          <w:p w:rsidR="00EA45F9" w:rsidRPr="009B5734" w:rsidRDefault="00EA45F9" w:rsidP="00981615">
            <w:pPr>
              <w:pStyle w:val="Text2"/>
              <w:spacing w:after="0"/>
              <w:ind w:left="0" w:firstLine="0"/>
              <w:jc w:val="center"/>
              <w:cnfStyle w:val="100000000000" w:firstRow="1" w:lastRow="0" w:firstColumn="0" w:lastColumn="0" w:oddVBand="0" w:evenVBand="0" w:oddHBand="0" w:evenHBand="0" w:firstRowFirstColumn="0" w:firstRowLastColumn="0" w:lastRowFirstColumn="0" w:lastRowLastColumn="0"/>
              <w:rPr>
                <w:noProof/>
              </w:rPr>
            </w:pPr>
            <w:r w:rsidRPr="009B5734">
              <w:rPr>
                <w:noProof/>
              </w:rPr>
              <w:t>Option 1.2.A Information on expected lifespan</w:t>
            </w:r>
          </w:p>
        </w:tc>
        <w:tc>
          <w:tcPr>
            <w:tcW w:w="1607" w:type="dxa"/>
            <w:shd w:val="clear" w:color="auto" w:fill="F79646" w:themeFill="accent6"/>
            <w:vAlign w:val="center"/>
          </w:tcPr>
          <w:p w:rsidR="00EA45F9" w:rsidRPr="009B5734" w:rsidRDefault="00EA45F9" w:rsidP="00981615">
            <w:pPr>
              <w:pStyle w:val="Text2"/>
              <w:spacing w:after="0"/>
              <w:ind w:left="0" w:firstLine="0"/>
              <w:jc w:val="center"/>
              <w:cnfStyle w:val="100000000000" w:firstRow="1" w:lastRow="0" w:firstColumn="0" w:lastColumn="0" w:oddVBand="0" w:evenVBand="0" w:oddHBand="0" w:evenHBand="0" w:firstRowFirstColumn="0" w:firstRowLastColumn="0" w:lastRowFirstColumn="0" w:lastRowLastColumn="0"/>
              <w:rPr>
                <w:noProof/>
              </w:rPr>
            </w:pPr>
            <w:r w:rsidRPr="009B5734">
              <w:rPr>
                <w:noProof/>
              </w:rPr>
              <w:t>Option 1.2.B</w:t>
            </w:r>
          </w:p>
          <w:p w:rsidR="00EA45F9" w:rsidRPr="009B5734" w:rsidRDefault="00EA45F9" w:rsidP="00981615">
            <w:pPr>
              <w:pStyle w:val="Text2"/>
              <w:spacing w:after="0"/>
              <w:ind w:left="0" w:firstLine="0"/>
              <w:jc w:val="center"/>
              <w:cnfStyle w:val="100000000000" w:firstRow="1" w:lastRow="0" w:firstColumn="0" w:lastColumn="0" w:oddVBand="0" w:evenVBand="0" w:oddHBand="0" w:evenHBand="0" w:firstRowFirstColumn="0" w:firstRowLastColumn="0" w:lastRowFirstColumn="0" w:lastRowLastColumn="0"/>
              <w:rPr>
                <w:noProof/>
              </w:rPr>
            </w:pPr>
            <w:r w:rsidRPr="009B5734">
              <w:rPr>
                <w:noProof/>
              </w:rPr>
              <w:t>Information on guaranteed lifespan</w:t>
            </w:r>
          </w:p>
        </w:tc>
        <w:tc>
          <w:tcPr>
            <w:tcW w:w="1736" w:type="dxa"/>
            <w:shd w:val="clear" w:color="auto" w:fill="F79646" w:themeFill="accent6"/>
          </w:tcPr>
          <w:p w:rsidR="00EA45F9" w:rsidRPr="009B5734" w:rsidRDefault="00EA45F9" w:rsidP="00981615">
            <w:pPr>
              <w:pStyle w:val="Text2"/>
              <w:spacing w:after="0"/>
              <w:ind w:left="0" w:firstLine="0"/>
              <w:jc w:val="center"/>
              <w:cnfStyle w:val="100000000000" w:firstRow="1" w:lastRow="0" w:firstColumn="0" w:lastColumn="0" w:oddVBand="0" w:evenVBand="0" w:oddHBand="0" w:evenHBand="0" w:firstRowFirstColumn="0" w:firstRowLastColumn="0" w:lastRowFirstColumn="0" w:lastRowLastColumn="0"/>
              <w:rPr>
                <w:noProof/>
              </w:rPr>
            </w:pPr>
            <w:r w:rsidRPr="009B5734">
              <w:rPr>
                <w:noProof/>
              </w:rPr>
              <w:t>Option 1.2.C =</w:t>
            </w:r>
          </w:p>
          <w:p w:rsidR="00EA45F9" w:rsidRPr="009B5734" w:rsidRDefault="00EA45F9" w:rsidP="00981615">
            <w:pPr>
              <w:pStyle w:val="Text2"/>
              <w:spacing w:after="0"/>
              <w:ind w:left="0" w:firstLine="0"/>
              <w:jc w:val="center"/>
              <w:cnfStyle w:val="100000000000" w:firstRow="1" w:lastRow="0" w:firstColumn="0" w:lastColumn="0" w:oddVBand="0" w:evenVBand="0" w:oddHBand="0" w:evenHBand="0" w:firstRowFirstColumn="0" w:firstRowLastColumn="0" w:lastRowFirstColumn="0" w:lastRowLastColumn="0"/>
              <w:rPr>
                <w:noProof/>
              </w:rPr>
            </w:pPr>
            <w:r w:rsidRPr="009B5734">
              <w:rPr>
                <w:noProof/>
              </w:rPr>
              <w:t>1.2.B + Obligation to inform consumers on the period of time during which free software updates will be provided by manufacturers</w:t>
            </w:r>
          </w:p>
        </w:tc>
      </w:tr>
      <w:tr w:rsidR="00B30A0F" w:rsidRPr="009B5734" w:rsidTr="00C84A99">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916" w:type="dxa"/>
            <w:vMerge w:val="restart"/>
            <w:shd w:val="clear" w:color="auto" w:fill="auto"/>
          </w:tcPr>
          <w:p w:rsidR="00EA45F9" w:rsidRPr="009B5734" w:rsidRDefault="00EA45F9" w:rsidP="00981615">
            <w:pPr>
              <w:pStyle w:val="Text2"/>
              <w:spacing w:after="0"/>
              <w:ind w:left="0" w:firstLine="0"/>
              <w:rPr>
                <w:noProof/>
              </w:rPr>
            </w:pPr>
            <w:r w:rsidRPr="009B5734">
              <w:rPr>
                <w:noProof/>
              </w:rPr>
              <w:t>Impact on consumers</w:t>
            </w:r>
          </w:p>
        </w:tc>
        <w:tc>
          <w:tcPr>
            <w:tcW w:w="1967"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Quality of consumer decision-making</w:t>
            </w:r>
          </w:p>
        </w:tc>
        <w:tc>
          <w:tcPr>
            <w:tcW w:w="1607"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4/10</w:t>
            </w:r>
          </w:p>
        </w:tc>
        <w:tc>
          <w:tcPr>
            <w:tcW w:w="1607"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7/10</w:t>
            </w:r>
          </w:p>
        </w:tc>
        <w:tc>
          <w:tcPr>
            <w:tcW w:w="1736" w:type="dxa"/>
            <w:shd w:val="clear" w:color="auto" w:fill="auto"/>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8/10</w:t>
            </w:r>
          </w:p>
        </w:tc>
      </w:tr>
      <w:tr w:rsidR="00B30A0F" w:rsidRPr="009B5734" w:rsidTr="00C84A99">
        <w:trPr>
          <w:trHeight w:val="486"/>
        </w:trPr>
        <w:tc>
          <w:tcPr>
            <w:cnfStyle w:val="001000000000" w:firstRow="0" w:lastRow="0" w:firstColumn="1" w:lastColumn="0" w:oddVBand="0" w:evenVBand="0" w:oddHBand="0" w:evenHBand="0" w:firstRowFirstColumn="0" w:firstRowLastColumn="0" w:lastRowFirstColumn="0" w:lastRowLastColumn="0"/>
            <w:tcW w:w="1916" w:type="dxa"/>
            <w:vMerge/>
            <w:shd w:val="clear" w:color="auto" w:fill="auto"/>
          </w:tcPr>
          <w:p w:rsidR="00EA45F9" w:rsidRPr="009B5734" w:rsidRDefault="00EA45F9" w:rsidP="00981615">
            <w:pPr>
              <w:pStyle w:val="Text2"/>
              <w:spacing w:after="0"/>
              <w:ind w:left="0" w:firstLine="0"/>
              <w:rPr>
                <w:noProof/>
              </w:rPr>
            </w:pPr>
          </w:p>
        </w:tc>
        <w:tc>
          <w:tcPr>
            <w:tcW w:w="1967"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Consumer protection</w:t>
            </w:r>
          </w:p>
        </w:tc>
        <w:tc>
          <w:tcPr>
            <w:tcW w:w="1607"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5/10</w:t>
            </w:r>
          </w:p>
        </w:tc>
        <w:tc>
          <w:tcPr>
            <w:tcW w:w="1607"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7/10</w:t>
            </w:r>
          </w:p>
        </w:tc>
        <w:tc>
          <w:tcPr>
            <w:tcW w:w="1736" w:type="dxa"/>
            <w:shd w:val="clear" w:color="auto" w:fill="auto"/>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8/10</w:t>
            </w:r>
          </w:p>
        </w:tc>
      </w:tr>
      <w:tr w:rsidR="00B30A0F" w:rsidRPr="009B5734" w:rsidTr="00C84A99">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916" w:type="dxa"/>
            <w:vMerge/>
            <w:shd w:val="clear" w:color="auto" w:fill="auto"/>
          </w:tcPr>
          <w:p w:rsidR="00EA45F9" w:rsidRPr="009B5734" w:rsidRDefault="00EA45F9" w:rsidP="00981615">
            <w:pPr>
              <w:pStyle w:val="Text2"/>
              <w:spacing w:after="0"/>
              <w:ind w:left="0" w:firstLine="0"/>
              <w:rPr>
                <w:noProof/>
              </w:rPr>
            </w:pPr>
          </w:p>
        </w:tc>
        <w:tc>
          <w:tcPr>
            <w:tcW w:w="1967"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Consumer trust</w:t>
            </w:r>
          </w:p>
        </w:tc>
        <w:tc>
          <w:tcPr>
            <w:tcW w:w="1607"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4/10</w:t>
            </w:r>
          </w:p>
        </w:tc>
        <w:tc>
          <w:tcPr>
            <w:tcW w:w="1607"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7/10</w:t>
            </w:r>
          </w:p>
        </w:tc>
        <w:tc>
          <w:tcPr>
            <w:tcW w:w="1736" w:type="dxa"/>
            <w:shd w:val="clear" w:color="auto" w:fill="auto"/>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8/10</w:t>
            </w:r>
          </w:p>
        </w:tc>
      </w:tr>
      <w:tr w:rsidR="00B30A0F" w:rsidRPr="009B5734" w:rsidTr="00C84A99">
        <w:trPr>
          <w:trHeight w:val="501"/>
        </w:trPr>
        <w:tc>
          <w:tcPr>
            <w:cnfStyle w:val="001000000000" w:firstRow="0" w:lastRow="0" w:firstColumn="1" w:lastColumn="0" w:oddVBand="0" w:evenVBand="0" w:oddHBand="0" w:evenHBand="0" w:firstRowFirstColumn="0" w:firstRowLastColumn="0" w:lastRowFirstColumn="0" w:lastRowLastColumn="0"/>
            <w:tcW w:w="1916" w:type="dxa"/>
            <w:vMerge/>
            <w:shd w:val="clear" w:color="auto" w:fill="auto"/>
          </w:tcPr>
          <w:p w:rsidR="00EA45F9" w:rsidRPr="009B5734" w:rsidRDefault="00EA45F9" w:rsidP="00981615">
            <w:pPr>
              <w:pStyle w:val="Text2"/>
              <w:spacing w:after="0"/>
              <w:ind w:left="0" w:firstLine="0"/>
              <w:rPr>
                <w:noProof/>
              </w:rPr>
            </w:pPr>
          </w:p>
        </w:tc>
        <w:tc>
          <w:tcPr>
            <w:tcW w:w="1967"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Monetisable consumer welfare</w:t>
            </w:r>
          </w:p>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(present value for period 2025-2040)</w:t>
            </w:r>
          </w:p>
        </w:tc>
        <w:tc>
          <w:tcPr>
            <w:tcW w:w="1607"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6/10</w:t>
            </w:r>
          </w:p>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w:t>
            </w:r>
            <w:r w:rsidRPr="009B5734">
              <w:rPr>
                <w:noProof/>
                <w:szCs w:val="24"/>
              </w:rPr>
              <w:t>EUR 850 - 1 110 million)</w:t>
            </w:r>
          </w:p>
        </w:tc>
        <w:tc>
          <w:tcPr>
            <w:tcW w:w="1607"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7/10</w:t>
            </w:r>
          </w:p>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(EUR 1775 – 2 465 million)</w:t>
            </w:r>
          </w:p>
        </w:tc>
        <w:tc>
          <w:tcPr>
            <w:tcW w:w="1736" w:type="dxa"/>
            <w:shd w:val="clear" w:color="auto" w:fill="auto"/>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8/10</w:t>
            </w:r>
          </w:p>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(EUR 2 355– 3 555 million)</w:t>
            </w:r>
          </w:p>
        </w:tc>
      </w:tr>
      <w:tr w:rsidR="00B30A0F" w:rsidRPr="009B5734" w:rsidTr="00C84A99">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916" w:type="dxa"/>
            <w:vMerge w:val="restart"/>
            <w:shd w:val="clear" w:color="auto" w:fill="auto"/>
          </w:tcPr>
          <w:p w:rsidR="00EA45F9" w:rsidRPr="009B5734" w:rsidRDefault="00EA45F9" w:rsidP="00981615">
            <w:pPr>
              <w:pStyle w:val="Text2"/>
              <w:spacing w:after="0"/>
              <w:ind w:left="0" w:firstLine="0"/>
              <w:rPr>
                <w:noProof/>
              </w:rPr>
            </w:pPr>
            <w:r w:rsidRPr="009B5734">
              <w:rPr>
                <w:noProof/>
              </w:rPr>
              <w:t>Impact on businesses</w:t>
            </w:r>
          </w:p>
        </w:tc>
        <w:tc>
          <w:tcPr>
            <w:tcW w:w="1967"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 xml:space="preserve">Level-playing field </w:t>
            </w:r>
          </w:p>
        </w:tc>
        <w:tc>
          <w:tcPr>
            <w:tcW w:w="1607"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4/10</w:t>
            </w:r>
          </w:p>
        </w:tc>
        <w:tc>
          <w:tcPr>
            <w:tcW w:w="1607"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6/10</w:t>
            </w:r>
          </w:p>
        </w:tc>
        <w:tc>
          <w:tcPr>
            <w:tcW w:w="1736" w:type="dxa"/>
            <w:shd w:val="clear" w:color="auto" w:fill="auto"/>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7/10</w:t>
            </w:r>
          </w:p>
        </w:tc>
      </w:tr>
      <w:tr w:rsidR="00B30A0F" w:rsidRPr="009B5734" w:rsidTr="00C84A99">
        <w:trPr>
          <w:trHeight w:val="486"/>
        </w:trPr>
        <w:tc>
          <w:tcPr>
            <w:cnfStyle w:val="001000000000" w:firstRow="0" w:lastRow="0" w:firstColumn="1" w:lastColumn="0" w:oddVBand="0" w:evenVBand="0" w:oddHBand="0" w:evenHBand="0" w:firstRowFirstColumn="0" w:firstRowLastColumn="0" w:lastRowFirstColumn="0" w:lastRowLastColumn="0"/>
            <w:tcW w:w="1916" w:type="dxa"/>
            <w:vMerge/>
            <w:shd w:val="clear" w:color="auto" w:fill="auto"/>
          </w:tcPr>
          <w:p w:rsidR="00EA45F9" w:rsidRPr="009B5734" w:rsidRDefault="00EA45F9" w:rsidP="00981615">
            <w:pPr>
              <w:pStyle w:val="Text2"/>
              <w:spacing w:after="0"/>
              <w:ind w:left="0" w:firstLine="0"/>
              <w:rPr>
                <w:noProof/>
              </w:rPr>
            </w:pPr>
          </w:p>
        </w:tc>
        <w:tc>
          <w:tcPr>
            <w:tcW w:w="1967"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Reduction of barriers to cross-border trade</w:t>
            </w:r>
          </w:p>
        </w:tc>
        <w:tc>
          <w:tcPr>
            <w:tcW w:w="1607"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5/10</w:t>
            </w:r>
          </w:p>
        </w:tc>
        <w:tc>
          <w:tcPr>
            <w:tcW w:w="1607"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6/10</w:t>
            </w:r>
          </w:p>
        </w:tc>
        <w:tc>
          <w:tcPr>
            <w:tcW w:w="1736" w:type="dxa"/>
            <w:shd w:val="clear" w:color="auto" w:fill="auto"/>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6/10</w:t>
            </w:r>
          </w:p>
        </w:tc>
      </w:tr>
      <w:tr w:rsidR="00B30A0F" w:rsidRPr="009B5734" w:rsidTr="00C84A99">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916" w:type="dxa"/>
            <w:vMerge/>
            <w:shd w:val="clear" w:color="auto" w:fill="auto"/>
          </w:tcPr>
          <w:p w:rsidR="00EA45F9" w:rsidRPr="009B5734" w:rsidRDefault="00EA45F9" w:rsidP="00981615">
            <w:pPr>
              <w:pStyle w:val="Text2"/>
              <w:spacing w:after="0"/>
              <w:ind w:left="0" w:firstLine="0"/>
              <w:rPr>
                <w:noProof/>
              </w:rPr>
            </w:pPr>
          </w:p>
        </w:tc>
        <w:tc>
          <w:tcPr>
            <w:tcW w:w="1967"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Administrative burdens (present value for period 2025-2040)</w:t>
            </w:r>
          </w:p>
        </w:tc>
        <w:tc>
          <w:tcPr>
            <w:tcW w:w="1607"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 xml:space="preserve">EUR </w:t>
            </w:r>
            <w:r w:rsidRPr="009B5734">
              <w:rPr>
                <w:bCs/>
                <w:noProof/>
              </w:rPr>
              <w:t>2 435 – 2 680</w:t>
            </w:r>
            <w:r w:rsidRPr="009B5734">
              <w:rPr>
                <w:b/>
                <w:noProof/>
              </w:rPr>
              <w:t xml:space="preserve"> </w:t>
            </w:r>
            <w:r w:rsidRPr="009B5734" w:rsidDel="00DC3E4B">
              <w:rPr>
                <w:noProof/>
              </w:rPr>
              <w:t>million</w:t>
            </w:r>
          </w:p>
        </w:tc>
        <w:tc>
          <w:tcPr>
            <w:tcW w:w="1607"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 xml:space="preserve">EUR 890 – 1 065 </w:t>
            </w:r>
            <w:r w:rsidRPr="009B5734" w:rsidDel="00DC3E4B">
              <w:rPr>
                <w:noProof/>
              </w:rPr>
              <w:t>million</w:t>
            </w:r>
          </w:p>
        </w:tc>
        <w:tc>
          <w:tcPr>
            <w:tcW w:w="1736" w:type="dxa"/>
            <w:shd w:val="clear" w:color="auto" w:fill="auto"/>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p>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 xml:space="preserve">EUR 990 – 1 170 million </w:t>
            </w:r>
          </w:p>
        </w:tc>
      </w:tr>
      <w:tr w:rsidR="00B30A0F" w:rsidRPr="009B5734" w:rsidTr="00C84A99">
        <w:trPr>
          <w:trHeight w:val="486"/>
        </w:trPr>
        <w:tc>
          <w:tcPr>
            <w:cnfStyle w:val="001000000000" w:firstRow="0" w:lastRow="0" w:firstColumn="1" w:lastColumn="0" w:oddVBand="0" w:evenVBand="0" w:oddHBand="0" w:evenHBand="0" w:firstRowFirstColumn="0" w:firstRowLastColumn="0" w:lastRowFirstColumn="0" w:lastRowLastColumn="0"/>
            <w:tcW w:w="1916" w:type="dxa"/>
            <w:vMerge/>
            <w:shd w:val="clear" w:color="auto" w:fill="auto"/>
          </w:tcPr>
          <w:p w:rsidR="00EA45F9" w:rsidRPr="009B5734" w:rsidRDefault="00EA45F9" w:rsidP="00981615">
            <w:pPr>
              <w:pStyle w:val="Text2"/>
              <w:spacing w:after="0"/>
              <w:ind w:left="0" w:firstLine="0"/>
              <w:rPr>
                <w:noProof/>
              </w:rPr>
            </w:pPr>
          </w:p>
        </w:tc>
        <w:tc>
          <w:tcPr>
            <w:tcW w:w="1967"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Substantive compliance costs (present value for period 2025-2040)</w:t>
            </w:r>
          </w:p>
        </w:tc>
        <w:tc>
          <w:tcPr>
            <w:tcW w:w="1607"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 xml:space="preserve"> 0</w:t>
            </w:r>
          </w:p>
        </w:tc>
        <w:tc>
          <w:tcPr>
            <w:tcW w:w="1607"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0</w:t>
            </w:r>
          </w:p>
        </w:tc>
        <w:tc>
          <w:tcPr>
            <w:tcW w:w="1736" w:type="dxa"/>
            <w:shd w:val="clear" w:color="auto" w:fill="auto"/>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0</w:t>
            </w:r>
          </w:p>
        </w:tc>
      </w:tr>
      <w:tr w:rsidR="00B30A0F" w:rsidRPr="009B5734" w:rsidTr="00C84A99">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916" w:type="dxa"/>
            <w:vMerge/>
            <w:shd w:val="clear" w:color="auto" w:fill="auto"/>
          </w:tcPr>
          <w:p w:rsidR="00EA45F9" w:rsidRPr="009B5734" w:rsidRDefault="00EA45F9" w:rsidP="00981615">
            <w:pPr>
              <w:pStyle w:val="Text2"/>
              <w:spacing w:after="0"/>
              <w:ind w:left="0" w:firstLine="0"/>
              <w:rPr>
                <w:noProof/>
              </w:rPr>
            </w:pPr>
          </w:p>
        </w:tc>
        <w:tc>
          <w:tcPr>
            <w:tcW w:w="1967"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Indirect costs</w:t>
            </w:r>
          </w:p>
        </w:tc>
        <w:tc>
          <w:tcPr>
            <w:tcW w:w="1607"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5/10</w:t>
            </w:r>
          </w:p>
        </w:tc>
        <w:tc>
          <w:tcPr>
            <w:tcW w:w="1607"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5/10</w:t>
            </w:r>
          </w:p>
        </w:tc>
        <w:tc>
          <w:tcPr>
            <w:tcW w:w="1736" w:type="dxa"/>
            <w:shd w:val="clear" w:color="auto" w:fill="auto"/>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5/10</w:t>
            </w:r>
          </w:p>
        </w:tc>
      </w:tr>
      <w:tr w:rsidR="00B30A0F" w:rsidRPr="009B5734" w:rsidTr="00C84A99">
        <w:trPr>
          <w:trHeight w:val="486"/>
        </w:trPr>
        <w:tc>
          <w:tcPr>
            <w:cnfStyle w:val="001000000000" w:firstRow="0" w:lastRow="0" w:firstColumn="1" w:lastColumn="0" w:oddVBand="0" w:evenVBand="0" w:oddHBand="0" w:evenHBand="0" w:firstRowFirstColumn="0" w:firstRowLastColumn="0" w:lastRowFirstColumn="0" w:lastRowLastColumn="0"/>
            <w:tcW w:w="1916" w:type="dxa"/>
            <w:vMerge/>
            <w:shd w:val="clear" w:color="auto" w:fill="auto"/>
          </w:tcPr>
          <w:p w:rsidR="00EA45F9" w:rsidRPr="009B5734" w:rsidRDefault="00EA45F9" w:rsidP="00981615">
            <w:pPr>
              <w:pStyle w:val="Text2"/>
              <w:spacing w:after="0"/>
              <w:ind w:left="0" w:firstLine="0"/>
              <w:rPr>
                <w:noProof/>
              </w:rPr>
            </w:pPr>
          </w:p>
        </w:tc>
        <w:tc>
          <w:tcPr>
            <w:tcW w:w="1967"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SME growth</w:t>
            </w:r>
          </w:p>
        </w:tc>
        <w:tc>
          <w:tcPr>
            <w:tcW w:w="1607"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5/10</w:t>
            </w:r>
          </w:p>
        </w:tc>
        <w:tc>
          <w:tcPr>
            <w:tcW w:w="1607"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5/10</w:t>
            </w:r>
          </w:p>
        </w:tc>
        <w:tc>
          <w:tcPr>
            <w:tcW w:w="1736" w:type="dxa"/>
            <w:shd w:val="clear" w:color="auto" w:fill="auto"/>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 xml:space="preserve">5/10 </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916" w:type="dxa"/>
            <w:shd w:val="clear" w:color="auto" w:fill="auto"/>
          </w:tcPr>
          <w:p w:rsidR="00EA45F9" w:rsidRPr="009B5734" w:rsidRDefault="00EA45F9" w:rsidP="00981615">
            <w:pPr>
              <w:pStyle w:val="Text2"/>
              <w:spacing w:after="0"/>
              <w:ind w:left="0" w:firstLine="0"/>
              <w:rPr>
                <w:noProof/>
              </w:rPr>
            </w:pPr>
            <w:r w:rsidRPr="009B5734">
              <w:rPr>
                <w:noProof/>
              </w:rPr>
              <w:t>Impacts on public administration</w:t>
            </w:r>
          </w:p>
        </w:tc>
        <w:tc>
          <w:tcPr>
            <w:tcW w:w="1967"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Enforcement costs and other costs (present value for period 2025-2040)</w:t>
            </w:r>
          </w:p>
        </w:tc>
        <w:tc>
          <w:tcPr>
            <w:tcW w:w="1607"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EUR 86-9</w:t>
            </w:r>
            <w:r w:rsidR="005C3219" w:rsidRPr="009B5734">
              <w:rPr>
                <w:noProof/>
              </w:rPr>
              <w:t>7</w:t>
            </w:r>
            <w:r w:rsidRPr="009B5734">
              <w:rPr>
                <w:bCs/>
                <w:noProof/>
              </w:rPr>
              <w:t xml:space="preserve"> </w:t>
            </w:r>
            <w:r w:rsidRPr="009B5734" w:rsidDel="00AC3C09">
              <w:rPr>
                <w:noProof/>
              </w:rPr>
              <w:t>million</w:t>
            </w:r>
          </w:p>
        </w:tc>
        <w:tc>
          <w:tcPr>
            <w:tcW w:w="1607"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EUR 15-27</w:t>
            </w:r>
            <w:r w:rsidRPr="009B5734">
              <w:rPr>
                <w:b/>
                <w:noProof/>
              </w:rPr>
              <w:t xml:space="preserve"> </w:t>
            </w:r>
            <w:r w:rsidRPr="009B5734" w:rsidDel="00AC3C09">
              <w:rPr>
                <w:noProof/>
              </w:rPr>
              <w:t>million</w:t>
            </w:r>
          </w:p>
        </w:tc>
        <w:tc>
          <w:tcPr>
            <w:tcW w:w="1736" w:type="dxa"/>
            <w:shd w:val="clear" w:color="auto" w:fill="auto"/>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p>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EUR 15-27</w:t>
            </w:r>
            <w:r w:rsidRPr="009B5734">
              <w:rPr>
                <w:b/>
                <w:noProof/>
              </w:rPr>
              <w:t xml:space="preserve"> </w:t>
            </w:r>
            <w:r w:rsidRPr="009B5734" w:rsidDel="00AC3C09">
              <w:rPr>
                <w:noProof/>
              </w:rPr>
              <w:t>million</w:t>
            </w:r>
          </w:p>
        </w:tc>
      </w:tr>
      <w:tr w:rsidR="00B30A0F" w:rsidRPr="009B5734" w:rsidTr="00C84A99">
        <w:trPr>
          <w:trHeight w:val="486"/>
        </w:trPr>
        <w:tc>
          <w:tcPr>
            <w:cnfStyle w:val="001000000000" w:firstRow="0" w:lastRow="0" w:firstColumn="1" w:lastColumn="0" w:oddVBand="0" w:evenVBand="0" w:oddHBand="0" w:evenHBand="0" w:firstRowFirstColumn="0" w:firstRowLastColumn="0" w:lastRowFirstColumn="0" w:lastRowLastColumn="0"/>
            <w:tcW w:w="1916" w:type="dxa"/>
            <w:vMerge w:val="restart"/>
            <w:shd w:val="clear" w:color="auto" w:fill="auto"/>
          </w:tcPr>
          <w:p w:rsidR="00EA45F9" w:rsidRPr="009B5734" w:rsidRDefault="00EA45F9" w:rsidP="00981615">
            <w:pPr>
              <w:pStyle w:val="Text2"/>
              <w:spacing w:after="0"/>
              <w:ind w:left="0" w:firstLine="0"/>
              <w:rPr>
                <w:noProof/>
              </w:rPr>
            </w:pPr>
            <w:r w:rsidRPr="009B5734">
              <w:rPr>
                <w:noProof/>
              </w:rPr>
              <w:t>Environmental impacts</w:t>
            </w:r>
          </w:p>
        </w:tc>
        <w:tc>
          <w:tcPr>
            <w:tcW w:w="1967"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Climate change (present value for period 2025-2040)</w:t>
            </w:r>
          </w:p>
        </w:tc>
        <w:tc>
          <w:tcPr>
            <w:tcW w:w="1607"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sidDel="00AC3C09">
              <w:rPr>
                <w:noProof/>
              </w:rPr>
              <w:t>Negligible</w:t>
            </w:r>
          </w:p>
        </w:tc>
        <w:tc>
          <w:tcPr>
            <w:tcW w:w="1607"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 xml:space="preserve">EUR 6 - 8 </w:t>
            </w:r>
            <w:r w:rsidRPr="009B5734" w:rsidDel="00AC3C09">
              <w:rPr>
                <w:noProof/>
              </w:rPr>
              <w:t>million</w:t>
            </w:r>
          </w:p>
        </w:tc>
        <w:tc>
          <w:tcPr>
            <w:tcW w:w="1736" w:type="dxa"/>
            <w:shd w:val="clear" w:color="auto" w:fill="auto"/>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p>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 xml:space="preserve">EUR 8 – 13 </w:t>
            </w:r>
            <w:r w:rsidRPr="009B5734" w:rsidDel="00AC3C09">
              <w:rPr>
                <w:noProof/>
              </w:rPr>
              <w:t>million</w:t>
            </w:r>
          </w:p>
        </w:tc>
      </w:tr>
      <w:tr w:rsidR="00B30A0F" w:rsidRPr="009B5734" w:rsidTr="00C84A99">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916" w:type="dxa"/>
            <w:vMerge/>
            <w:shd w:val="clear" w:color="auto" w:fill="auto"/>
          </w:tcPr>
          <w:p w:rsidR="00EA45F9" w:rsidRPr="009B5734" w:rsidRDefault="00EA45F9" w:rsidP="00981615">
            <w:pPr>
              <w:pStyle w:val="Text2"/>
              <w:spacing w:after="0"/>
              <w:ind w:left="0" w:firstLine="0"/>
              <w:rPr>
                <w:noProof/>
              </w:rPr>
            </w:pPr>
          </w:p>
        </w:tc>
        <w:tc>
          <w:tcPr>
            <w:tcW w:w="1967"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Other environmental impacts</w:t>
            </w:r>
          </w:p>
        </w:tc>
        <w:tc>
          <w:tcPr>
            <w:tcW w:w="1607"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5/10</w:t>
            </w:r>
          </w:p>
        </w:tc>
        <w:tc>
          <w:tcPr>
            <w:tcW w:w="1607"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6/10</w:t>
            </w:r>
          </w:p>
        </w:tc>
        <w:tc>
          <w:tcPr>
            <w:tcW w:w="1736"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6/10</w:t>
            </w:r>
          </w:p>
        </w:tc>
      </w:tr>
      <w:tr w:rsidR="00B30A0F" w:rsidRPr="009B5734" w:rsidTr="00C84A99">
        <w:trPr>
          <w:trHeight w:val="486"/>
        </w:trPr>
        <w:tc>
          <w:tcPr>
            <w:cnfStyle w:val="001000000000" w:firstRow="0" w:lastRow="0" w:firstColumn="1" w:lastColumn="0" w:oddVBand="0" w:evenVBand="0" w:oddHBand="0" w:evenHBand="0" w:firstRowFirstColumn="0" w:firstRowLastColumn="0" w:lastRowFirstColumn="0" w:lastRowLastColumn="0"/>
            <w:tcW w:w="1916" w:type="dxa"/>
            <w:shd w:val="clear" w:color="auto" w:fill="auto"/>
          </w:tcPr>
          <w:p w:rsidR="00EA45F9" w:rsidRPr="009B5734" w:rsidRDefault="00EA45F9" w:rsidP="00981615">
            <w:pPr>
              <w:pStyle w:val="Text2"/>
              <w:spacing w:after="0"/>
              <w:ind w:left="0" w:firstLine="0"/>
              <w:rPr>
                <w:noProof/>
              </w:rPr>
            </w:pPr>
            <w:r w:rsidRPr="009B5734">
              <w:rPr>
                <w:noProof/>
              </w:rPr>
              <w:t>Coherence</w:t>
            </w:r>
          </w:p>
        </w:tc>
        <w:tc>
          <w:tcPr>
            <w:tcW w:w="1967"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Coherence with other EU legislation</w:t>
            </w:r>
          </w:p>
        </w:tc>
        <w:tc>
          <w:tcPr>
            <w:tcW w:w="1607"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6/10</w:t>
            </w:r>
          </w:p>
        </w:tc>
        <w:tc>
          <w:tcPr>
            <w:tcW w:w="1607"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9/10</w:t>
            </w:r>
          </w:p>
        </w:tc>
        <w:tc>
          <w:tcPr>
            <w:tcW w:w="1736"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9/10</w:t>
            </w:r>
          </w:p>
        </w:tc>
      </w:tr>
      <w:tr w:rsidR="00B30A0F" w:rsidRPr="009B5734" w:rsidTr="00C84A99">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916" w:type="dxa"/>
            <w:vMerge w:val="restart"/>
            <w:shd w:val="clear" w:color="auto" w:fill="auto"/>
          </w:tcPr>
          <w:p w:rsidR="00EA45F9" w:rsidRPr="009B5734" w:rsidRDefault="00EA45F9" w:rsidP="00981615">
            <w:pPr>
              <w:pStyle w:val="Text2"/>
              <w:spacing w:after="0"/>
              <w:ind w:left="0" w:firstLine="0"/>
              <w:rPr>
                <w:noProof/>
              </w:rPr>
            </w:pPr>
            <w:r w:rsidRPr="009B5734">
              <w:rPr>
                <w:noProof/>
              </w:rPr>
              <w:t>Overarching impacts</w:t>
            </w:r>
          </w:p>
        </w:tc>
        <w:tc>
          <w:tcPr>
            <w:tcW w:w="1967"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Circularity and sustainable consumption</w:t>
            </w:r>
          </w:p>
        </w:tc>
        <w:tc>
          <w:tcPr>
            <w:tcW w:w="1607"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5/10</w:t>
            </w:r>
          </w:p>
        </w:tc>
        <w:tc>
          <w:tcPr>
            <w:tcW w:w="1607"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6/10</w:t>
            </w:r>
          </w:p>
        </w:tc>
        <w:tc>
          <w:tcPr>
            <w:tcW w:w="1736"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6/10</w:t>
            </w:r>
          </w:p>
        </w:tc>
      </w:tr>
      <w:tr w:rsidR="00B30A0F" w:rsidRPr="009B5734" w:rsidTr="00C84A99">
        <w:trPr>
          <w:trHeight w:val="486"/>
        </w:trPr>
        <w:tc>
          <w:tcPr>
            <w:cnfStyle w:val="001000000000" w:firstRow="0" w:lastRow="0" w:firstColumn="1" w:lastColumn="0" w:oddVBand="0" w:evenVBand="0" w:oddHBand="0" w:evenHBand="0" w:firstRowFirstColumn="0" w:firstRowLastColumn="0" w:lastRowFirstColumn="0" w:lastRowLastColumn="0"/>
            <w:tcW w:w="1916" w:type="dxa"/>
            <w:vMerge/>
            <w:shd w:val="clear" w:color="auto" w:fill="auto"/>
          </w:tcPr>
          <w:p w:rsidR="00EA45F9" w:rsidRPr="009B5734" w:rsidRDefault="00EA45F9" w:rsidP="00981615">
            <w:pPr>
              <w:pStyle w:val="Text2"/>
              <w:spacing w:after="0"/>
              <w:ind w:left="0" w:firstLine="0"/>
              <w:rPr>
                <w:noProof/>
              </w:rPr>
            </w:pPr>
          </w:p>
        </w:tc>
        <w:tc>
          <w:tcPr>
            <w:tcW w:w="1967"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b/>
                <w:noProof/>
              </w:rPr>
            </w:pPr>
            <w:r w:rsidRPr="009B5734">
              <w:rPr>
                <w:noProof/>
              </w:rPr>
              <w:t>Application of the EU legal framework</w:t>
            </w:r>
          </w:p>
        </w:tc>
        <w:tc>
          <w:tcPr>
            <w:tcW w:w="1607"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5/10</w:t>
            </w:r>
          </w:p>
        </w:tc>
        <w:tc>
          <w:tcPr>
            <w:tcW w:w="1607"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7/10</w:t>
            </w:r>
          </w:p>
        </w:tc>
        <w:tc>
          <w:tcPr>
            <w:tcW w:w="1736"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7/10</w:t>
            </w:r>
          </w:p>
        </w:tc>
      </w:tr>
    </w:tbl>
    <w:p w:rsidR="00EA45F9" w:rsidRPr="009B5734" w:rsidRDefault="00EA45F9" w:rsidP="00EA45F9">
      <w:pPr>
        <w:ind w:left="0" w:firstLine="0"/>
        <w:rPr>
          <w:noProof/>
        </w:rPr>
      </w:pPr>
    </w:p>
    <w:p w:rsidR="00EA45F9" w:rsidRPr="009B5734" w:rsidRDefault="00A00208" w:rsidP="00A00208">
      <w:pPr>
        <w:pStyle w:val="Heading4"/>
        <w:rPr>
          <w:noProof/>
        </w:rPr>
      </w:pPr>
      <w:bookmarkStart w:id="685" w:name="_Toc60734115"/>
      <w:bookmarkStart w:id="686" w:name="_Toc75441005"/>
      <w:bookmarkStart w:id="687" w:name="_Toc75447004"/>
      <w:bookmarkStart w:id="688" w:name="_Toc75448877"/>
      <w:r w:rsidRPr="00A00208">
        <w:t>1.2.</w:t>
      </w:r>
      <w:r w:rsidRPr="00A00208">
        <w:tab/>
      </w:r>
      <w:r w:rsidR="00EA45F9" w:rsidRPr="009B5734">
        <w:rPr>
          <w:noProof/>
        </w:rPr>
        <w:t xml:space="preserve">Sub-Problem 1.3: </w:t>
      </w:r>
      <w:r w:rsidR="00D60C0B" w:rsidRPr="009B5734">
        <w:rPr>
          <w:noProof/>
        </w:rPr>
        <w:t>Lack of reliable information</w:t>
      </w:r>
      <w:r w:rsidR="00EA45F9" w:rsidRPr="009B5734">
        <w:rPr>
          <w:noProof/>
        </w:rPr>
        <w:t xml:space="preserve"> about products’ reparability</w:t>
      </w:r>
      <w:bookmarkEnd w:id="685"/>
      <w:bookmarkEnd w:id="686"/>
      <w:bookmarkEnd w:id="687"/>
      <w:bookmarkEnd w:id="688"/>
    </w:p>
    <w:p w:rsidR="00EA45F9" w:rsidRPr="009B5734" w:rsidRDefault="00EA45F9" w:rsidP="00EA45F9">
      <w:pPr>
        <w:pStyle w:val="Heading5"/>
        <w:rPr>
          <w:rFonts w:ascii="Times New Roman" w:hAnsi="Times New Roman" w:cs="Times New Roman"/>
          <w:i w:val="0"/>
          <w:noProof/>
        </w:rPr>
      </w:pPr>
      <w:bookmarkStart w:id="689" w:name="_Toc60734116"/>
      <w:bookmarkStart w:id="690" w:name="_Toc75441006"/>
      <w:bookmarkStart w:id="691" w:name="_Toc75447005"/>
      <w:bookmarkStart w:id="692" w:name="_Toc75448878"/>
      <w:r w:rsidRPr="009B5734">
        <w:rPr>
          <w:rFonts w:ascii="Times New Roman" w:hAnsi="Times New Roman" w:cs="Times New Roman"/>
          <w:i w:val="0"/>
          <w:noProof/>
          <w:sz w:val="24"/>
        </w:rPr>
        <w:t>Assessment of the options</w:t>
      </w:r>
      <w:bookmarkEnd w:id="689"/>
      <w:bookmarkEnd w:id="690"/>
      <w:bookmarkEnd w:id="691"/>
      <w:bookmarkEnd w:id="692"/>
    </w:p>
    <w:p w:rsidR="00EA45F9" w:rsidRPr="009B5734" w:rsidRDefault="00EA45F9" w:rsidP="00EA45F9">
      <w:pPr>
        <w:rPr>
          <w:noProof/>
        </w:rPr>
      </w:pPr>
    </w:p>
    <w:tbl>
      <w:tblPr>
        <w:tblStyle w:val="GridTable1Light-Accent2"/>
        <w:tblW w:w="0" w:type="auto"/>
        <w:tblLook w:val="04A0" w:firstRow="1" w:lastRow="0" w:firstColumn="1" w:lastColumn="0" w:noHBand="0" w:noVBand="1"/>
      </w:tblPr>
      <w:tblGrid>
        <w:gridCol w:w="8607"/>
      </w:tblGrid>
      <w:tr w:rsidR="00B30A0F" w:rsidRPr="009B5734" w:rsidTr="00C84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right w:val="single" w:sz="4" w:space="0" w:color="E5B8B7" w:themeColor="accent2" w:themeTint="66"/>
            </w:tcBorders>
            <w:shd w:val="clear" w:color="auto" w:fill="E5B8B7" w:themeFill="accent2" w:themeFillTint="66"/>
            <w:hideMark/>
          </w:tcPr>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Option 1.3.A: Provision of updated, user-friendly repair and maintenance manuals to consumers</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consumers: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Quality of decision-making: </w:t>
            </w:r>
            <w:r w:rsidRPr="009B5734">
              <w:rPr>
                <w:rFonts w:ascii="Times New Roman" w:hAnsi="Times New Roman" w:cs="Times New Roman"/>
                <w:b w:val="0"/>
                <w:noProof/>
                <w:sz w:val="24"/>
              </w:rPr>
              <w:t>No major impact expected as the information provided by the manual will come handy mainly during the use of the product but not necessarily at the point of sale; certain consumers will still look at it, of course, and thus it will contribute to informed purchasing decisions. The decision to allow digital means to provide the information was taken to reduce potential “information overload”, but it does have a slight negative impact on the visibility and accessibility of the information.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Consumer protection: </w:t>
            </w:r>
            <w:r w:rsidRPr="009B5734">
              <w:rPr>
                <w:rFonts w:ascii="Times New Roman" w:hAnsi="Times New Roman" w:cs="Times New Roman"/>
                <w:b w:val="0"/>
                <w:noProof/>
                <w:sz w:val="24"/>
              </w:rPr>
              <w:t>This option contributes to ensuring good maintenance during the use phase which will contribute to extending the useful lifetime of the product. Moreover, it will support self-repair and also protect consumers from problems faced when trying to independently carry out repairs without having the necessary instructions to do so. It can also prevent consumers from carrying out unsafe repairs (by non-certified people), by warning them what repairs may be done by themselves and which ones should be left to professional repair services. (6/10)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Consumer trust: </w:t>
            </w:r>
            <w:r w:rsidRPr="009B5734">
              <w:rPr>
                <w:rFonts w:ascii="Times New Roman" w:hAnsi="Times New Roman" w:cs="Times New Roman"/>
                <w:b w:val="0"/>
                <w:noProof/>
                <w:sz w:val="24"/>
              </w:rPr>
              <w:t>This option will slightly increase the trust of consumers in the market</w:t>
            </w:r>
            <w:r w:rsidRPr="009B5734">
              <w:rPr>
                <w:noProof/>
              </w:rPr>
              <w:t xml:space="preserve"> </w:t>
            </w:r>
            <w:r w:rsidRPr="009B5734">
              <w:rPr>
                <w:rFonts w:ascii="Times New Roman" w:hAnsi="Times New Roman" w:cs="Times New Roman"/>
                <w:b w:val="0"/>
                <w:noProof/>
                <w:sz w:val="24"/>
              </w:rPr>
              <w:t>and removes some barriers to self-repair and independent repair, giving a sense of empowerment to consumers. This potential benefit was mentioned by a few stakeholders (two NGOs and one consumer association) in the stakeholder interviews. (6/10)</w:t>
            </w:r>
          </w:p>
          <w:p w:rsidR="00EA45F9" w:rsidRPr="00F67503" w:rsidRDefault="00EA45F9">
            <w:pPr>
              <w:ind w:left="0" w:firstLine="0"/>
              <w:rPr>
                <w:rFonts w:ascii="Times New Roman" w:hAnsi="Times New Roman" w:cs="Times New Roman"/>
                <w:noProof/>
                <w:sz w:val="24"/>
                <w:szCs w:val="24"/>
              </w:rPr>
            </w:pPr>
            <w:r w:rsidRPr="005D24D2">
              <w:rPr>
                <w:rFonts w:ascii="Times New Roman" w:hAnsi="Times New Roman" w:cs="Times New Roman"/>
                <w:noProof/>
                <w:sz w:val="24"/>
                <w:szCs w:val="24"/>
              </w:rPr>
              <w:t xml:space="preserve">Monetisable Consumer welfare: </w:t>
            </w:r>
            <w:r w:rsidRPr="00D74A7C">
              <w:rPr>
                <w:rFonts w:ascii="Times New Roman" w:hAnsi="Times New Roman" w:cs="Times New Roman"/>
                <w:b w:val="0"/>
                <w:noProof/>
                <w:sz w:val="24"/>
                <w:szCs w:val="24"/>
              </w:rPr>
              <w:t>About 3.5% of consumers attempt to repair a broken product and give up because of a lack of repair manuals or information on how to carry out the repair. By providing consumers with repair manual, some of these 3.5% failed repair attempts will, in fact, succeed and consumers will experience a “gain” equal to the value of the additional lifespan gained as a result of the repair, which is estimated to amount to EUR 435 – 760 million for the period 2025-2040 (present value). Moreover, consumers may also benefit from better services from independent repairers who have now also better access to repair manuals. (7/10)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businesses: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Level-playing field: </w:t>
            </w:r>
            <w:r w:rsidRPr="009B5734">
              <w:rPr>
                <w:rFonts w:ascii="Times New Roman" w:hAnsi="Times New Roman" w:cs="Times New Roman"/>
                <w:b w:val="0"/>
                <w:noProof/>
                <w:sz w:val="24"/>
              </w:rPr>
              <w:t>No impact expected.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Reduction of barriers to cross-border trade: </w:t>
            </w:r>
            <w:r w:rsidRPr="009B5734">
              <w:rPr>
                <w:rFonts w:ascii="Times New Roman" w:hAnsi="Times New Roman" w:cs="Times New Roman"/>
                <w:b w:val="0"/>
                <w:noProof/>
                <w:sz w:val="24"/>
              </w:rPr>
              <w:t>The option is expected to have some impact on barriers to cross-border trade, as in the future it is expected that some Member States will independently legislate on this if no EU level legislation is in place. A harmonised approach prevents the need for companies to comply with different standards (which will lead to a multiplication of costs).</w:t>
            </w:r>
            <w:r w:rsidRPr="009B5734">
              <w:rPr>
                <w:rFonts w:ascii="Times New Roman" w:hAnsi="Times New Roman" w:cs="Times New Roman"/>
                <w:noProof/>
                <w:sz w:val="24"/>
              </w:rPr>
              <w:t xml:space="preserve"> </w:t>
            </w:r>
            <w:r w:rsidRPr="009B5734">
              <w:rPr>
                <w:rFonts w:ascii="Times New Roman" w:hAnsi="Times New Roman" w:cs="Times New Roman"/>
                <w:b w:val="0"/>
                <w:noProof/>
                <w:sz w:val="24"/>
              </w:rPr>
              <w:t>(6/10)</w:t>
            </w:r>
          </w:p>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Administrative burdens: </w:t>
            </w:r>
            <w:r w:rsidRPr="009B5734">
              <w:rPr>
                <w:rFonts w:ascii="Times New Roman" w:hAnsi="Times New Roman" w:cs="Times New Roman"/>
                <w:b w:val="0"/>
                <w:noProof/>
                <w:sz w:val="24"/>
              </w:rPr>
              <w:t>Manufacturers will have to produce repair manuals for each model. Based on data collected through interviews we estimate the minimum cost of producing a repair manual (for users) to be between EUR 4 000 and 6 000.</w:t>
            </w:r>
            <w:r w:rsidRPr="009B5734">
              <w:rPr>
                <w:noProof/>
              </w:rPr>
              <w:t xml:space="preserve"> </w:t>
            </w:r>
            <w:r w:rsidRPr="009B5734">
              <w:rPr>
                <w:rFonts w:ascii="Times New Roman" w:hAnsi="Times New Roman" w:cs="Times New Roman"/>
                <w:b w:val="0"/>
                <w:noProof/>
                <w:sz w:val="24"/>
              </w:rPr>
              <w:t xml:space="preserve">The costs of a digital solution to providing this information are significantly lower when compared to the paper solution. This is in line with the views collected from industry associations. The costs fall mainly on manufacturers, but sellers will also be affected as having to ensure that consumers receive the repair manual (which could be also just providing a link to the website of the manufacturer for online shops; for offline shops also digital means are allowed or via the repair manual that is included in the packaging). In the case of a digital solution, these extra costs (present value) are estimated to be around between EUR </w:t>
            </w:r>
            <w:r w:rsidRPr="009B5734">
              <w:rPr>
                <w:rFonts w:ascii="Times New Roman" w:eastAsia="Times New Roman" w:hAnsi="Times New Roman" w:cs="Times New Roman"/>
                <w:b w:val="0"/>
                <w:noProof/>
                <w:sz w:val="24"/>
                <w:szCs w:val="20"/>
              </w:rPr>
              <w:t xml:space="preserve">785 – 935 </w:t>
            </w:r>
            <w:r w:rsidRPr="009B5734">
              <w:rPr>
                <w:rFonts w:ascii="Times New Roman" w:hAnsi="Times New Roman" w:cs="Times New Roman"/>
                <w:b w:val="0"/>
                <w:noProof/>
                <w:sz w:val="24"/>
              </w:rPr>
              <w:t>million in the period 2025-2040 (of which 20% for SMEs). In the case of a paper version, the extra costs are much higher.</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Substantive compliance costs: </w:t>
            </w:r>
            <w:r w:rsidRPr="009B5734">
              <w:rPr>
                <w:rFonts w:ascii="Times New Roman" w:hAnsi="Times New Roman" w:cs="Times New Roman"/>
                <w:b w:val="0"/>
                <w:noProof/>
                <w:sz w:val="24"/>
              </w:rPr>
              <w:t>None have been identified.</w:t>
            </w:r>
            <w:r w:rsidRPr="009B5734">
              <w:rPr>
                <w:rFonts w:ascii="Times New Roman" w:hAnsi="Times New Roman" w:cs="Times New Roman"/>
                <w:noProof/>
                <w:sz w:val="24"/>
              </w:rPr>
              <w:t xml:space="preserve"> </w:t>
            </w:r>
            <w:r w:rsidRPr="009B5734">
              <w:rPr>
                <w:rFonts w:ascii="Times New Roman" w:hAnsi="Times New Roman" w:cs="Times New Roman"/>
                <w:b w:val="0"/>
                <w:noProof/>
                <w:sz w:val="24"/>
              </w:rPr>
              <w:t>(EUR 0 )</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Indirect costs: </w:t>
            </w:r>
            <w:r w:rsidRPr="009B5734">
              <w:rPr>
                <w:rFonts w:ascii="Times New Roman" w:hAnsi="Times New Roman" w:cs="Times New Roman"/>
                <w:b w:val="0"/>
                <w:noProof/>
                <w:sz w:val="24"/>
              </w:rPr>
              <w:t>The total costs of the option divided by the volume of product sales is around EUR 0.04. As explained previously, it is not expected to have an effect on the demand given the average price of the products affected by the option.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SME growth: </w:t>
            </w:r>
            <w:r w:rsidRPr="009B5734">
              <w:rPr>
                <w:rFonts w:ascii="Times New Roman" w:hAnsi="Times New Roman" w:cs="Times New Roman"/>
                <w:b w:val="0"/>
                <w:noProof/>
                <w:sz w:val="24"/>
              </w:rPr>
              <w:t>This option will have a higher relative impact on SME manufacturers since their volume of sales per model is likely lower than those of the large manufacturers. Nevertheless, the costs imposed by the option are not expected to be significant and therefore will not have a significant negative impact on SME growth.</w:t>
            </w:r>
            <w:r w:rsidRPr="009B5734">
              <w:rPr>
                <w:rFonts w:ascii="Times New Roman" w:hAnsi="Times New Roman" w:cs="Times New Roman"/>
                <w:noProof/>
                <w:sz w:val="24"/>
              </w:rPr>
              <w:t xml:space="preserve"> </w:t>
            </w:r>
            <w:r w:rsidRPr="009B5734">
              <w:rPr>
                <w:rFonts w:ascii="Times New Roman" w:hAnsi="Times New Roman" w:cs="Times New Roman"/>
                <w:b w:val="0"/>
                <w:noProof/>
                <w:sz w:val="24"/>
              </w:rPr>
              <w:t>(5/10)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public administrations:</w:t>
            </w:r>
          </w:p>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Enforcement costs </w:t>
            </w:r>
            <w:r w:rsidRPr="009B5734">
              <w:rPr>
                <w:rFonts w:ascii="Times New Roman" w:hAnsi="Times New Roman" w:cs="Times New Roman"/>
                <w:b w:val="0"/>
                <w:noProof/>
                <w:sz w:val="24"/>
              </w:rPr>
              <w:t>are estimated to be of EUR 16-21 million for the period 2025-2040</w:t>
            </w:r>
            <w:r w:rsidRPr="009B5734">
              <w:rPr>
                <w:rStyle w:val="FootnoteReference"/>
                <w:rFonts w:ascii="Times New Roman" w:hAnsi="Times New Roman" w:cs="Times New Roman"/>
                <w:b w:val="0"/>
                <w:noProof/>
                <w:sz w:val="24"/>
              </w:rPr>
              <w:footnoteReference w:id="229"/>
            </w:r>
            <w:r w:rsidRPr="009B5734">
              <w:rPr>
                <w:rFonts w:ascii="Times New Roman" w:hAnsi="Times New Roman" w:cs="Times New Roman"/>
                <w:b w:val="0"/>
                <w:noProof/>
                <w:sz w:val="24"/>
              </w:rPr>
              <w:t xml:space="preserve"> (present value).  The costs will be generated by the time needed to check the availability of manuals. Based on interviews with some CPC authorities, it is assumed that the option would not require significant additional resources on top of the existing ones to enforce CRD and SGD</w:t>
            </w:r>
            <w:r w:rsidRPr="009B5734">
              <w:rPr>
                <w:rFonts w:ascii="Times New Roman" w:hAnsi="Times New Roman" w:cs="Times New Roman"/>
                <w:noProof/>
                <w:sz w:val="24"/>
              </w:rPr>
              <w:t xml:space="preserve">. </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Environmental impacts: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Climate change: </w:t>
            </w:r>
            <w:r w:rsidRPr="009B5734">
              <w:rPr>
                <w:rFonts w:ascii="Times New Roman" w:hAnsi="Times New Roman" w:cs="Times New Roman"/>
                <w:b w:val="0"/>
                <w:noProof/>
                <w:sz w:val="24"/>
              </w:rPr>
              <w:t>Due to the implementation of the option, consumers will be able to maintain their goods in a proper way and repair some goods that would have been replaced in the absence of the manuals. Consequently, the (repaired) products will have a longer lifespan than they would have had in the baseline. This will lead to</w:t>
            </w:r>
            <w:r w:rsidRPr="009B5734" w:rsidDel="000A40D7">
              <w:rPr>
                <w:rFonts w:ascii="Times New Roman" w:hAnsi="Times New Roman" w:cs="Times New Roman"/>
                <w:b w:val="0"/>
                <w:noProof/>
                <w:sz w:val="24"/>
              </w:rPr>
              <w:t xml:space="preserve"> </w:t>
            </w:r>
            <w:r w:rsidRPr="009B5734">
              <w:rPr>
                <w:rFonts w:ascii="Times New Roman" w:hAnsi="Times New Roman" w:cs="Times New Roman"/>
                <w:b w:val="0"/>
                <w:noProof/>
                <w:sz w:val="24"/>
              </w:rPr>
              <w:t>a reduction of produced units and thus of CO2 emissions estimated at 0.9 – 1.6 mega tons (present value of EUR 19 - 33 million) during production (estimate for a scenario based on products lasting at least 1 year longer) for the period 2025-2040.</w:t>
            </w:r>
          </w:p>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Other environmental impacts change. </w:t>
            </w:r>
            <w:r w:rsidRPr="009B5734">
              <w:rPr>
                <w:rFonts w:ascii="Times New Roman" w:hAnsi="Times New Roman" w:cs="Times New Roman"/>
                <w:b w:val="0"/>
                <w:noProof/>
                <w:sz w:val="24"/>
              </w:rPr>
              <w:t>For the same reasons, it is expected that less water will be used and fewer particulate matters and polluting agents will be released. Longer-lasting products are also expected to reduce the amount of waste (7/10)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F67503" w:rsidRDefault="00EA45F9">
            <w:pPr>
              <w:ind w:left="0" w:firstLine="0"/>
              <w:rPr>
                <w:rFonts w:ascii="Times New Roman" w:hAnsi="Times New Roman" w:cs="Times New Roman"/>
                <w:noProof/>
                <w:sz w:val="24"/>
                <w:szCs w:val="24"/>
              </w:rPr>
            </w:pPr>
            <w:r w:rsidRPr="005D24D2">
              <w:rPr>
                <w:rFonts w:ascii="Times New Roman" w:hAnsi="Times New Roman" w:cs="Times New Roman"/>
                <w:noProof/>
                <w:sz w:val="24"/>
                <w:szCs w:val="24"/>
              </w:rPr>
              <w:t xml:space="preserve">Coherence: </w:t>
            </w:r>
            <w:r w:rsidRPr="00D74A7C">
              <w:rPr>
                <w:rFonts w:ascii="Times New Roman" w:hAnsi="Times New Roman" w:cs="Times New Roman"/>
                <w:b w:val="0"/>
                <w:noProof/>
                <w:sz w:val="24"/>
                <w:szCs w:val="24"/>
              </w:rPr>
              <w:t>Fully coherent with existing or future Ecodesign/SPI requirements which may provide for specific product categories further details concerning what the specific ‘repair and user manual’ should include (8/10)</w:t>
            </w:r>
            <w:r w:rsidRPr="005D24D2">
              <w:rPr>
                <w:rFonts w:ascii="Times New Roman" w:hAnsi="Times New Roman" w:cs="Times New Roman"/>
                <w:noProof/>
                <w:sz w:val="24"/>
                <w:szCs w:val="24"/>
              </w:rPr>
              <w:t xml:space="preserve"> </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Overarching impacts: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Circularity and sustainable consumption: </w:t>
            </w:r>
            <w:r w:rsidRPr="009B5734">
              <w:rPr>
                <w:rFonts w:ascii="Times New Roman" w:hAnsi="Times New Roman" w:cs="Times New Roman"/>
                <w:b w:val="0"/>
                <w:noProof/>
                <w:sz w:val="24"/>
              </w:rPr>
              <w:t xml:space="preserve">The option will help increase the share of products that are repaired instead of replaced and also extend the useful lifetime of new products. This contributes to a reduction of waste, and to a more circular and sustainable economy. However, as shown above, the magnitude of the impact is expected to be relatively small. (7/10) </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Application of the EU legal consumer framework: </w:t>
            </w:r>
            <w:r w:rsidRPr="009B5734">
              <w:rPr>
                <w:rFonts w:ascii="Times New Roman" w:hAnsi="Times New Roman" w:cs="Times New Roman"/>
                <w:b w:val="0"/>
                <w:noProof/>
                <w:sz w:val="24"/>
              </w:rPr>
              <w:t>No impact. (5/10)</w:t>
            </w:r>
          </w:p>
        </w:tc>
      </w:tr>
    </w:tbl>
    <w:p w:rsidR="00EA45F9" w:rsidRPr="009B5734" w:rsidDel="003A2863" w:rsidRDefault="00EA45F9" w:rsidP="00EA45F9">
      <w:pPr>
        <w:rPr>
          <w:noProof/>
        </w:rPr>
      </w:pPr>
    </w:p>
    <w:tbl>
      <w:tblPr>
        <w:tblStyle w:val="GridTable1Light-Accent2"/>
        <w:tblW w:w="0" w:type="auto"/>
        <w:tblLook w:val="04A0" w:firstRow="1" w:lastRow="0" w:firstColumn="1" w:lastColumn="0" w:noHBand="0" w:noVBand="1"/>
      </w:tblPr>
      <w:tblGrid>
        <w:gridCol w:w="8607"/>
      </w:tblGrid>
      <w:tr w:rsidR="00EA45F9" w:rsidRPr="009B5734" w:rsidTr="00C84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hideMark/>
          </w:tcPr>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Option 1.3.B: Provision of information about which spare parts are available and until when</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consumers: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Quality of decision-making: </w:t>
            </w:r>
            <w:r w:rsidRPr="009B5734">
              <w:rPr>
                <w:rFonts w:ascii="Times New Roman" w:hAnsi="Times New Roman" w:cs="Times New Roman"/>
                <w:b w:val="0"/>
                <w:noProof/>
                <w:sz w:val="24"/>
              </w:rPr>
              <w:t>Consumers are interested in purchasing products with better availability of spare parts as this reassures them that finding spare parts is (and will remain) possible so that the product can be repaired in case of future failures. This option will thus help consumers identify which products offer better conditions in terms of availability of spare parts and therefore improve their decision-making process. The decision to allow digital means to provide this information was taken to reduce potential “information overload”, but it does have a small negative impact on the visibility and accessibility of the information. This is mitigated by ensuring that consumers are informed of where the information is available. (6/10)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Consumer protection: </w:t>
            </w:r>
            <w:r w:rsidRPr="009B5734">
              <w:rPr>
                <w:rFonts w:ascii="Times New Roman" w:hAnsi="Times New Roman" w:cs="Times New Roman"/>
                <w:b w:val="0"/>
                <w:noProof/>
                <w:sz w:val="24"/>
              </w:rPr>
              <w:t>This option will help consumers to find the right spare parts for their defective products and thus contributes to protecting consumers trying to repair products as they can know if and which spare parts are available. It prevents them from buying or introducing the wrong spare parts  (6/10)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Consumer trust: </w:t>
            </w:r>
            <w:r w:rsidRPr="009B5734">
              <w:rPr>
                <w:rFonts w:ascii="Times New Roman" w:hAnsi="Times New Roman" w:cs="Times New Roman"/>
                <w:b w:val="0"/>
                <w:noProof/>
                <w:sz w:val="24"/>
              </w:rPr>
              <w:t>Same as option 1.3.A. (6/10)</w:t>
            </w:r>
          </w:p>
          <w:p w:rsidR="00EA45F9" w:rsidRPr="00F67503" w:rsidRDefault="00EA45F9">
            <w:pPr>
              <w:ind w:left="0" w:firstLine="0"/>
              <w:rPr>
                <w:rFonts w:ascii="Times New Roman" w:hAnsi="Times New Roman" w:cs="Times New Roman"/>
                <w:noProof/>
                <w:sz w:val="24"/>
                <w:szCs w:val="24"/>
              </w:rPr>
            </w:pPr>
            <w:r w:rsidRPr="005D24D2">
              <w:rPr>
                <w:rFonts w:ascii="Times New Roman" w:hAnsi="Times New Roman" w:cs="Times New Roman"/>
                <w:noProof/>
                <w:sz w:val="24"/>
                <w:szCs w:val="24"/>
              </w:rPr>
              <w:t xml:space="preserve">Monetisable Consumer welfare: </w:t>
            </w:r>
            <w:r w:rsidRPr="00C84A99">
              <w:rPr>
                <w:rFonts w:ascii="Times New Roman" w:hAnsi="Times New Roman" w:cs="Times New Roman"/>
                <w:b w:val="0"/>
                <w:noProof/>
                <w:sz w:val="24"/>
                <w:szCs w:val="24"/>
              </w:rPr>
              <w:t xml:space="preserve">About 7%-12% of repair attempts by consumers are unsuccessful because of a lack of spare parts or information on how to obtain them. By providing consumers with information about the availability of spare parts, some of these failed repair attempts will, in fact, succeed and consumers will experience a “gain” equal to the value of the additional lifespan gained as a result of the repair, which is estimated to amount to approximately EUR 1 220 – 2 970 million for the period 2025-2040 (present value). Moreover, consumers may also benefit from better services from independent repairers who have now also better access to spare parts. </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businesses: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Level-playing field: </w:t>
            </w:r>
            <w:r w:rsidRPr="009B5734">
              <w:rPr>
                <w:rFonts w:ascii="Times New Roman" w:hAnsi="Times New Roman" w:cs="Times New Roman"/>
                <w:b w:val="0"/>
                <w:noProof/>
                <w:sz w:val="24"/>
              </w:rPr>
              <w:t>The option is expected to have a very slight positive impact as it will increase transparency regarding commitments related to the availability of spare parts and will allow consumers to compare products based on that.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Reduction of barriers to cross-border trade: </w:t>
            </w:r>
            <w:r w:rsidRPr="009B5734">
              <w:rPr>
                <w:rFonts w:ascii="Times New Roman" w:hAnsi="Times New Roman" w:cs="Times New Roman"/>
                <w:b w:val="0"/>
                <w:noProof/>
                <w:sz w:val="24"/>
              </w:rPr>
              <w:t>Same as option 1.3.A.</w:t>
            </w:r>
            <w:r w:rsidRPr="009B5734">
              <w:rPr>
                <w:rFonts w:ascii="Times New Roman" w:hAnsi="Times New Roman" w:cs="Times New Roman"/>
                <w:noProof/>
                <w:sz w:val="24"/>
              </w:rPr>
              <w:t xml:space="preserve"> </w:t>
            </w:r>
            <w:r w:rsidRPr="009B5734">
              <w:rPr>
                <w:rFonts w:ascii="Times New Roman" w:hAnsi="Times New Roman" w:cs="Times New Roman"/>
                <w:b w:val="0"/>
                <w:noProof/>
                <w:sz w:val="24"/>
              </w:rPr>
              <w:t>(6/10)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Administrative burdens: </w:t>
            </w:r>
            <w:r w:rsidRPr="009B5734">
              <w:rPr>
                <w:rFonts w:ascii="Times New Roman" w:hAnsi="Times New Roman" w:cs="Times New Roman"/>
                <w:b w:val="0"/>
                <w:noProof/>
                <w:sz w:val="24"/>
              </w:rPr>
              <w:t xml:space="preserve">Administrative burdens affect manufacturers having to provide the necessary information to sellers (which include the costs of identifying which spare parts will be available and for how long) as well as sellers having to ensure that consumers receive this information (which could be just providing a link to the website of the manufacturer for online shops; for offline shops also digital means are allowed). These extra costs fall mainly on sellers and are estimated to be between EUR 1 685 – 1 715 million in the period 2025-2040 (present value). </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b w:val="0"/>
                <w:noProof/>
                <w:sz w:val="24"/>
              </w:rPr>
              <w:t>Substantive compliance costs: None have been identified.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Indirect costs: </w:t>
            </w:r>
            <w:r w:rsidRPr="009B5734">
              <w:rPr>
                <w:rFonts w:ascii="Times New Roman" w:hAnsi="Times New Roman" w:cs="Times New Roman"/>
                <w:b w:val="0"/>
                <w:noProof/>
                <w:sz w:val="24"/>
              </w:rPr>
              <w:t>The total costs of the option divided by the volume of product sales is around EUR 0.07. As explained previously, it is not expected to have an effect on the demand given the limited impact on the average price of the products affected by the option. (5/10)</w:t>
            </w:r>
          </w:p>
          <w:p w:rsidR="00EA45F9" w:rsidRPr="00841F9B" w:rsidRDefault="00EA45F9" w:rsidP="00981615">
            <w:pPr>
              <w:ind w:left="0" w:firstLine="0"/>
              <w:rPr>
                <w:rFonts w:ascii="Times New Roman" w:hAnsi="Times New Roman" w:cs="Times New Roman"/>
                <w:b w:val="0"/>
                <w:bCs w:val="0"/>
                <w:noProof/>
                <w:sz w:val="24"/>
                <w:szCs w:val="24"/>
              </w:rPr>
            </w:pPr>
            <w:r w:rsidRPr="005D7BE7">
              <w:rPr>
                <w:rFonts w:ascii="Times New Roman" w:hAnsi="Times New Roman" w:cs="Times New Roman"/>
                <w:noProof/>
                <w:sz w:val="24"/>
                <w:szCs w:val="24"/>
              </w:rPr>
              <w:t xml:space="preserve">SME growth: </w:t>
            </w:r>
            <w:r w:rsidRPr="00C84A99">
              <w:rPr>
                <w:rFonts w:ascii="Times New Roman" w:hAnsi="Times New Roman" w:cs="Times New Roman"/>
                <w:b w:val="0"/>
                <w:noProof/>
                <w:sz w:val="24"/>
                <w:szCs w:val="24"/>
              </w:rPr>
              <w:t>Same as with 1.3.A. However, the option will further promote the reparability of products and increase the demand for repair services, often provided by SMEs. The magnitude of the impact is not expected to be significant</w:t>
            </w:r>
            <w:r w:rsidR="0046558D" w:rsidRPr="00C84A99">
              <w:rPr>
                <w:rFonts w:ascii="Times New Roman" w:hAnsi="Times New Roman" w:cs="Times New Roman"/>
                <w:b w:val="0"/>
                <w:noProof/>
                <w:sz w:val="24"/>
                <w:szCs w:val="24"/>
              </w:rPr>
              <w:t>ly</w:t>
            </w:r>
            <w:r w:rsidRPr="00C84A99">
              <w:rPr>
                <w:rFonts w:ascii="Times New Roman" w:hAnsi="Times New Roman" w:cs="Times New Roman"/>
                <w:b w:val="0"/>
                <w:noProof/>
                <w:sz w:val="24"/>
                <w:szCs w:val="24"/>
              </w:rPr>
              <w:t xml:space="preserve"> high</w:t>
            </w:r>
            <w:r w:rsidR="004555D8" w:rsidRPr="00C84A99">
              <w:rPr>
                <w:rFonts w:ascii="Times New Roman" w:hAnsi="Times New Roman" w:cs="Times New Roman"/>
                <w:b w:val="0"/>
                <w:noProof/>
                <w:sz w:val="24"/>
                <w:szCs w:val="24"/>
              </w:rPr>
              <w:t>er</w:t>
            </w:r>
            <w:r w:rsidRPr="00C84A99">
              <w:rPr>
                <w:rFonts w:ascii="Times New Roman" w:hAnsi="Times New Roman" w:cs="Times New Roman"/>
                <w:b w:val="0"/>
                <w:noProof/>
                <w:sz w:val="24"/>
                <w:szCs w:val="24"/>
              </w:rPr>
              <w:t xml:space="preserve"> in the period of analysis. (5/10)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public administrations: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Enforcement costs </w:t>
            </w:r>
            <w:r w:rsidRPr="009B5734">
              <w:rPr>
                <w:rFonts w:ascii="Times New Roman" w:hAnsi="Times New Roman" w:cs="Times New Roman"/>
                <w:b w:val="0"/>
                <w:noProof/>
                <w:sz w:val="24"/>
              </w:rPr>
              <w:t>are estimated to be of EUR 16-21 Million for the period 2025-2040</w:t>
            </w:r>
            <w:r w:rsidRPr="009B5734">
              <w:rPr>
                <w:rStyle w:val="FootnoteReference"/>
                <w:rFonts w:ascii="Times New Roman" w:hAnsi="Times New Roman" w:cs="Times New Roman"/>
                <w:b w:val="0"/>
                <w:noProof/>
                <w:sz w:val="24"/>
              </w:rPr>
              <w:footnoteReference w:id="230"/>
            </w:r>
            <w:r w:rsidRPr="009B5734">
              <w:rPr>
                <w:rFonts w:ascii="Times New Roman" w:hAnsi="Times New Roman" w:cs="Times New Roman"/>
                <w:b w:val="0"/>
                <w:noProof/>
                <w:sz w:val="24"/>
              </w:rPr>
              <w:t xml:space="preserve"> (present value), </w:t>
            </w:r>
            <w:r w:rsidRPr="009B5734">
              <w:rPr>
                <w:rFonts w:ascii="Times New Roman" w:hAnsi="Times New Roman" w:cs="Times New Roman"/>
                <w:b w:val="0"/>
                <w:noProof/>
                <w:sz w:val="24"/>
                <w:szCs w:val="24"/>
              </w:rPr>
              <w:t>generated by the time needed to check whether the information is provided</w:t>
            </w:r>
            <w:r w:rsidRPr="009B5734">
              <w:rPr>
                <w:rFonts w:ascii="Times New Roman" w:hAnsi="Times New Roman" w:cs="Times New Roman"/>
                <w:b w:val="0"/>
                <w:noProof/>
                <w:sz w:val="24"/>
              </w:rPr>
              <w:t>. Based on interviews with some CPC authorities, it is assumed that the option would not require significant additional resources on top of the existing ones to enforce CRD and SGD.</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Environmental impacts: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Climate change: </w:t>
            </w:r>
            <w:r w:rsidRPr="009B5734">
              <w:rPr>
                <w:rFonts w:ascii="Times New Roman" w:hAnsi="Times New Roman" w:cs="Times New Roman"/>
                <w:b w:val="0"/>
                <w:noProof/>
                <w:sz w:val="24"/>
              </w:rPr>
              <w:t xml:space="preserve">Due to the implementation of the option, (some) consumers and independent repair services will be able to repair some goods that would have been replaced in the absence of information on spare parts. Consequently, the repaired products will have a longer lifespan than they would have had in the baseline. This will lead to </w:t>
            </w:r>
            <w:r w:rsidRPr="009B5734" w:rsidDel="000A40D7">
              <w:rPr>
                <w:rFonts w:ascii="Times New Roman" w:hAnsi="Times New Roman" w:cs="Times New Roman"/>
                <w:b w:val="0"/>
                <w:noProof/>
                <w:sz w:val="24"/>
              </w:rPr>
              <w:t xml:space="preserve">a reduction </w:t>
            </w:r>
            <w:r w:rsidRPr="009B5734">
              <w:rPr>
                <w:rFonts w:ascii="Times New Roman" w:hAnsi="Times New Roman" w:cs="Times New Roman"/>
                <w:b w:val="0"/>
                <w:noProof/>
                <w:sz w:val="24"/>
              </w:rPr>
              <w:t xml:space="preserve">of produced units and thus of CO2 emissions estimated 1.9 – 3.3 mega tons </w:t>
            </w:r>
            <w:r w:rsidRPr="009B5734">
              <w:rPr>
                <w:rFonts w:ascii="Times New Roman" w:hAnsi="Times New Roman" w:cs="Times New Roman"/>
                <w:noProof/>
                <w:sz w:val="24"/>
              </w:rPr>
              <w:t xml:space="preserve">(present value of </w:t>
            </w:r>
            <w:r w:rsidRPr="009B5734">
              <w:rPr>
                <w:rFonts w:ascii="Times New Roman" w:hAnsi="Times New Roman" w:cs="Times New Roman"/>
                <w:b w:val="0"/>
                <w:noProof/>
                <w:sz w:val="24"/>
              </w:rPr>
              <w:t>EUR 39-68 million) during production (estimate under a scenario based on products lasting at least 1 year longer) for the period 2025-2040.</w:t>
            </w:r>
          </w:p>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Other environmental impacts change. </w:t>
            </w:r>
            <w:r w:rsidRPr="009B5734">
              <w:rPr>
                <w:rFonts w:ascii="Times New Roman" w:hAnsi="Times New Roman" w:cs="Times New Roman"/>
                <w:b w:val="0"/>
                <w:noProof/>
                <w:sz w:val="24"/>
              </w:rPr>
              <w:t>Similar to option 1.3.A but with a slightly higher magnitude.  (6/10)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hideMark/>
          </w:tcPr>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Coherence: </w:t>
            </w:r>
            <w:r w:rsidRPr="009B5734">
              <w:rPr>
                <w:rFonts w:ascii="Times New Roman" w:hAnsi="Times New Roman" w:cs="Times New Roman"/>
                <w:b w:val="0"/>
                <w:noProof/>
                <w:sz w:val="24"/>
              </w:rPr>
              <w:t>As it focuses on informing consumers on the availability of spare parts, the option is coherent and complements eco-design rules if and when they define whether spare parts should be available for a given product category. (8/10)</w:t>
            </w:r>
            <w:r w:rsidRPr="009B5734">
              <w:rPr>
                <w:rFonts w:ascii="Times New Roman" w:hAnsi="Times New Roman" w:cs="Times New Roman"/>
                <w:noProof/>
                <w:sz w:val="24"/>
              </w:rPr>
              <w:t xml:space="preserve"> </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Overarching impacts: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Circularity and sustainable consumption: </w:t>
            </w:r>
            <w:r w:rsidRPr="009B5734">
              <w:rPr>
                <w:rFonts w:ascii="Times New Roman" w:hAnsi="Times New Roman" w:cs="Times New Roman"/>
                <w:b w:val="0"/>
                <w:noProof/>
                <w:sz w:val="24"/>
              </w:rPr>
              <w:t xml:space="preserve">Same as with option 1.3.A, although the magnitude of impact is slightly higher. (7/10) </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Application of the EU legal consumer framework: </w:t>
            </w:r>
            <w:r w:rsidRPr="009B5734">
              <w:rPr>
                <w:rFonts w:ascii="Times New Roman" w:hAnsi="Times New Roman" w:cs="Times New Roman"/>
                <w:b w:val="0"/>
                <w:noProof/>
                <w:sz w:val="24"/>
              </w:rPr>
              <w:t>No impact but the option was considered difficult to enforce by some authorities. (5/10)</w:t>
            </w:r>
          </w:p>
          <w:p w:rsidR="00EA45F9" w:rsidRPr="009B5734" w:rsidRDefault="00EA45F9" w:rsidP="00981615">
            <w:pPr>
              <w:pStyle w:val="Text2"/>
              <w:spacing w:after="0"/>
              <w:ind w:left="0" w:firstLine="0"/>
              <w:rPr>
                <w:noProof/>
              </w:rPr>
            </w:pPr>
          </w:p>
        </w:tc>
      </w:tr>
    </w:tbl>
    <w:p w:rsidR="00EA45F9" w:rsidRPr="009B5734" w:rsidRDefault="00EA45F9" w:rsidP="00EA45F9">
      <w:pPr>
        <w:rPr>
          <w:noProof/>
        </w:rPr>
      </w:pPr>
    </w:p>
    <w:tbl>
      <w:tblPr>
        <w:tblStyle w:val="GridTable1Light-Accent2"/>
        <w:tblW w:w="0" w:type="auto"/>
        <w:tblLook w:val="04A0" w:firstRow="1" w:lastRow="0" w:firstColumn="1" w:lastColumn="0" w:noHBand="0" w:noVBand="1"/>
      </w:tblPr>
      <w:tblGrid>
        <w:gridCol w:w="8607"/>
      </w:tblGrid>
      <w:tr w:rsidR="00B30A0F" w:rsidRPr="009B5734" w:rsidTr="00C84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right w:val="single" w:sz="4" w:space="0" w:color="E5B8B7" w:themeColor="accent2" w:themeTint="66"/>
            </w:tcBorders>
            <w:shd w:val="clear" w:color="auto" w:fill="E5B8B7" w:themeFill="accent2" w:themeFillTint="66"/>
            <w:hideMark/>
          </w:tcPr>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Option 1.3.C: Information about availability of repair services</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consumers: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Quality of decision-making: </w:t>
            </w:r>
            <w:r w:rsidRPr="009B5734">
              <w:rPr>
                <w:rFonts w:ascii="Times New Roman" w:hAnsi="Times New Roman" w:cs="Times New Roman"/>
                <w:b w:val="0"/>
                <w:noProof/>
                <w:sz w:val="24"/>
              </w:rPr>
              <w:t xml:space="preserve">While the option might help consumers select products that appear to have better availability of repair services at the moment of purchase, problems related to the capacity of sellers to provide comprehensive and complete information regarding repair services not specifically recommended by brands, might potentially contribute to worsening the decision-making of consumers as well as reducing their trust. Furthermore, the option will have </w:t>
            </w:r>
            <w:r w:rsidR="00857B88" w:rsidRPr="009B5734">
              <w:rPr>
                <w:rFonts w:ascii="Times New Roman" w:hAnsi="Times New Roman" w:cs="Times New Roman"/>
                <w:b w:val="0"/>
                <w:noProof/>
                <w:sz w:val="24"/>
              </w:rPr>
              <w:t xml:space="preserve">less </w:t>
            </w:r>
            <w:r w:rsidRPr="009B5734">
              <w:rPr>
                <w:rFonts w:ascii="Times New Roman" w:hAnsi="Times New Roman" w:cs="Times New Roman"/>
                <w:b w:val="0"/>
                <w:noProof/>
                <w:sz w:val="24"/>
              </w:rPr>
              <w:t>impact on consumers who do not live near the place where the product was purchased</w:t>
            </w:r>
            <w:r w:rsidR="00857B88" w:rsidRPr="009B5734">
              <w:rPr>
                <w:rFonts w:ascii="Times New Roman" w:hAnsi="Times New Roman" w:cs="Times New Roman"/>
                <w:b w:val="0"/>
                <w:noProof/>
                <w:sz w:val="24"/>
              </w:rPr>
              <w:t>.</w:t>
            </w:r>
            <w:r w:rsidRPr="009B5734">
              <w:rPr>
                <w:rFonts w:ascii="Times New Roman" w:hAnsi="Times New Roman" w:cs="Times New Roman"/>
                <w:b w:val="0"/>
                <w:noProof/>
                <w:sz w:val="24"/>
              </w:rPr>
              <w:t xml:space="preserve"> </w:t>
            </w:r>
            <w:r w:rsidR="00857B88" w:rsidRPr="009B5734">
              <w:rPr>
                <w:rFonts w:ascii="Times New Roman" w:hAnsi="Times New Roman" w:cs="Times New Roman"/>
                <w:b w:val="0"/>
                <w:noProof/>
                <w:sz w:val="24"/>
              </w:rPr>
              <w:t>Although producers will be able to provide information on repair services in other regions and Member States with which they are affiliated or associated, sellers will be less likely to have available information on the existence of local or independent repair services in other regions</w:t>
            </w:r>
            <w:r w:rsidRPr="009B5734" w:rsidDel="004555D8">
              <w:rPr>
                <w:rFonts w:ascii="Times New Roman" w:hAnsi="Times New Roman" w:cs="Times New Roman"/>
                <w:b w:val="0"/>
                <w:noProof/>
                <w:sz w:val="24"/>
              </w:rPr>
              <w:t>.</w:t>
            </w:r>
            <w:r w:rsidRPr="009B5734">
              <w:rPr>
                <w:rFonts w:ascii="Times New Roman" w:hAnsi="Times New Roman" w:cs="Times New Roman"/>
                <w:b w:val="0"/>
                <w:noProof/>
                <w:sz w:val="24"/>
              </w:rPr>
              <w:t xml:space="preserve"> National authorities pointed to this risk. (4/10)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Consumer protection: </w:t>
            </w:r>
            <w:r w:rsidRPr="009B5734">
              <w:rPr>
                <w:rFonts w:ascii="Times New Roman" w:hAnsi="Times New Roman" w:cs="Times New Roman"/>
                <w:b w:val="0"/>
                <w:noProof/>
                <w:sz w:val="24"/>
              </w:rPr>
              <w:t>No impact expected.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Consumer trust: </w:t>
            </w:r>
            <w:r w:rsidRPr="009B5734">
              <w:rPr>
                <w:rFonts w:ascii="Times New Roman" w:hAnsi="Times New Roman" w:cs="Times New Roman"/>
                <w:b w:val="0"/>
                <w:noProof/>
                <w:sz w:val="24"/>
              </w:rPr>
              <w:t>The information provided by traders might be unintentionally biased (towards recommended repair services as other repair services are more difficult and costly to identify) and incomplete (as it may not cover certain regions or Member States). Thus, the option might have a negative impact on consumer trust. (4/10)</w:t>
            </w:r>
          </w:p>
          <w:p w:rsidR="00EA45F9" w:rsidRPr="00F67503" w:rsidRDefault="00EA45F9">
            <w:pPr>
              <w:ind w:left="0" w:firstLine="0"/>
              <w:rPr>
                <w:rFonts w:ascii="Times New Roman" w:hAnsi="Times New Roman" w:cs="Times New Roman"/>
                <w:noProof/>
                <w:sz w:val="24"/>
                <w:szCs w:val="24"/>
              </w:rPr>
            </w:pPr>
            <w:r w:rsidRPr="005D24D2">
              <w:rPr>
                <w:rFonts w:ascii="Times New Roman" w:hAnsi="Times New Roman" w:cs="Times New Roman"/>
                <w:noProof/>
                <w:sz w:val="24"/>
                <w:szCs w:val="24"/>
              </w:rPr>
              <w:t xml:space="preserve">Monetisable Consumer welfare: </w:t>
            </w:r>
            <w:r w:rsidRPr="00D74A7C">
              <w:rPr>
                <w:rFonts w:ascii="Times New Roman" w:hAnsi="Times New Roman" w:cs="Times New Roman"/>
                <w:b w:val="0"/>
                <w:noProof/>
                <w:sz w:val="24"/>
                <w:szCs w:val="24"/>
              </w:rPr>
              <w:t>About 2%-5% of repair attempts by consumers are unsuccessful because of a lack of repair services or because consumers cannot find these services. However, the lack of effectiveness of the option in providing complete information is expected to lead only to a minor increase of the consumer surplus, which is estimated to amount to between EUR 115 - 250 million in the period 2025-2040</w:t>
            </w:r>
            <w:r w:rsidRPr="00D74A7C">
              <w:rPr>
                <w:rStyle w:val="FootnoteReference"/>
                <w:rFonts w:ascii="Times New Roman" w:hAnsi="Times New Roman" w:cs="Times New Roman"/>
                <w:b w:val="0"/>
                <w:noProof/>
                <w:sz w:val="24"/>
                <w:szCs w:val="24"/>
              </w:rPr>
              <w:footnoteReference w:id="231"/>
            </w:r>
            <w:r w:rsidRPr="00D74A7C">
              <w:rPr>
                <w:rFonts w:ascii="Times New Roman" w:hAnsi="Times New Roman" w:cs="Times New Roman"/>
                <w:b w:val="0"/>
                <w:noProof/>
                <w:sz w:val="24"/>
                <w:szCs w:val="24"/>
              </w:rPr>
              <w:t xml:space="preserve"> (present value).</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businesses: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Level-playing field: </w:t>
            </w:r>
            <w:r w:rsidRPr="009B5734">
              <w:rPr>
                <w:rFonts w:ascii="Times New Roman" w:hAnsi="Times New Roman" w:cs="Times New Roman"/>
                <w:b w:val="0"/>
                <w:noProof/>
                <w:sz w:val="24"/>
              </w:rPr>
              <w:t>The option is expected to have a small negative impact as a result of the limitations related to the comprehensiveness of the list of repair services provided by traders and the potential unintentional biases towards repair services recommended by brands. (4/10)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Reduction of barriers to cross-border trade: </w:t>
            </w:r>
            <w:r w:rsidRPr="009B5734">
              <w:rPr>
                <w:rFonts w:ascii="Times New Roman" w:hAnsi="Times New Roman" w:cs="Times New Roman"/>
                <w:b w:val="0"/>
                <w:noProof/>
                <w:sz w:val="24"/>
              </w:rPr>
              <w:t>The option might have a possible negative impact on the cross-border trade as sellers from one Member State might experience difficulties in identifying repair services in another Member State, which might prevent them from selling product across borders. (3/10)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Administrative burdens: </w:t>
            </w:r>
            <w:r w:rsidRPr="009B5734">
              <w:rPr>
                <w:rFonts w:ascii="Times New Roman" w:hAnsi="Times New Roman" w:cs="Times New Roman"/>
                <w:b w:val="0"/>
                <w:noProof/>
                <w:sz w:val="24"/>
              </w:rPr>
              <w:t xml:space="preserve">This option involves the need to maintain an updated list of repair services and to ensure that consumers have access to that list. These costs are on the seller. These extra costs are estimated to be between EUR 3 120 – 3 380 million (present value) for the period 2025-2040 (of which largely for SMEs). </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Substantive compliance costs: </w:t>
            </w:r>
            <w:r w:rsidRPr="009B5734">
              <w:rPr>
                <w:rFonts w:ascii="Times New Roman" w:hAnsi="Times New Roman" w:cs="Times New Roman"/>
                <w:b w:val="0"/>
                <w:noProof/>
                <w:sz w:val="24"/>
              </w:rPr>
              <w:t>None have been identified</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Indirect costs: </w:t>
            </w:r>
            <w:r w:rsidRPr="009B5734">
              <w:rPr>
                <w:rFonts w:ascii="Times New Roman" w:hAnsi="Times New Roman" w:cs="Times New Roman"/>
                <w:b w:val="0"/>
                <w:noProof/>
                <w:sz w:val="24"/>
              </w:rPr>
              <w:t>The total costs of the option divided by the volume of product sales is around EUR 0.13. As explained previously, it is not expected to have an effect on the demand given the average price of the products affected by the option.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SME growth: </w:t>
            </w:r>
            <w:r w:rsidRPr="009B5734">
              <w:rPr>
                <w:rFonts w:ascii="Times New Roman" w:hAnsi="Times New Roman" w:cs="Times New Roman"/>
                <w:b w:val="0"/>
                <w:noProof/>
                <w:sz w:val="24"/>
              </w:rPr>
              <w:t>Similar to option 1.3.A. Furthermore, it might have also a negative impact on SME repair services that are not specifically recommended by manufacturers. (4/10)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public administrations: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Enforcement costs </w:t>
            </w:r>
            <w:r w:rsidRPr="009B5734">
              <w:rPr>
                <w:rFonts w:ascii="Times New Roman" w:hAnsi="Times New Roman" w:cs="Times New Roman"/>
                <w:b w:val="0"/>
                <w:noProof/>
                <w:sz w:val="24"/>
              </w:rPr>
              <w:t>are estimated to be of EUR 8-13 million for the period 2025-2040</w:t>
            </w:r>
            <w:r w:rsidRPr="009B5734">
              <w:rPr>
                <w:rStyle w:val="FootnoteReference"/>
                <w:rFonts w:ascii="Times New Roman" w:hAnsi="Times New Roman" w:cs="Times New Roman"/>
                <w:b w:val="0"/>
                <w:noProof/>
                <w:sz w:val="24"/>
              </w:rPr>
              <w:footnoteReference w:id="232"/>
            </w:r>
            <w:r w:rsidRPr="009B5734">
              <w:rPr>
                <w:rFonts w:ascii="Times New Roman" w:hAnsi="Times New Roman" w:cs="Times New Roman"/>
                <w:b w:val="0"/>
                <w:noProof/>
                <w:sz w:val="24"/>
              </w:rPr>
              <w:t xml:space="preserve"> (present value), generated by the time needed to check whether the information is provided. Based on interviews with some CPC authorities, it is assumed that the option would not require significant additional resources on top of the existing ones to enforce CRD and SGD.</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Environmental impacts: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Climate change: </w:t>
            </w:r>
            <w:r w:rsidRPr="009B5734">
              <w:rPr>
                <w:rFonts w:ascii="Times New Roman" w:hAnsi="Times New Roman" w:cs="Times New Roman"/>
                <w:b w:val="0"/>
                <w:noProof/>
                <w:sz w:val="24"/>
              </w:rPr>
              <w:t xml:space="preserve">Due to the implementation of the option, (some) consumers will be able to repair some goods that would have been replaced if information about repair services had not been available. Consequently, the repaired products will have a longer lifespan than they would have had in the baseline. This will lead to </w:t>
            </w:r>
            <w:r w:rsidRPr="009B5734" w:rsidDel="000A40D7">
              <w:rPr>
                <w:rFonts w:ascii="Times New Roman" w:hAnsi="Times New Roman" w:cs="Times New Roman"/>
                <w:b w:val="0"/>
                <w:noProof/>
                <w:sz w:val="24"/>
              </w:rPr>
              <w:t xml:space="preserve">a reduction </w:t>
            </w:r>
            <w:r w:rsidRPr="009B5734">
              <w:rPr>
                <w:rFonts w:ascii="Times New Roman" w:hAnsi="Times New Roman" w:cs="Times New Roman"/>
                <w:b w:val="0"/>
                <w:noProof/>
                <w:sz w:val="24"/>
              </w:rPr>
              <w:t>of produced units and thus of CO2 emissions estimated at between 0.04- 0.08 mega tons or EUR 1 – 2 million during production (</w:t>
            </w:r>
            <w:r w:rsidRPr="009B5734">
              <w:rPr>
                <w:rFonts w:ascii="Times New Roman" w:hAnsi="Times New Roman" w:cs="Times New Roman"/>
                <w:noProof/>
                <w:sz w:val="24"/>
              </w:rPr>
              <w:t>present value</w:t>
            </w:r>
            <w:r w:rsidRPr="009B5734">
              <w:rPr>
                <w:rFonts w:ascii="Times New Roman" w:hAnsi="Times New Roman" w:cs="Times New Roman"/>
                <w:b w:val="0"/>
                <w:noProof/>
                <w:sz w:val="24"/>
              </w:rPr>
              <w:t xml:space="preserve"> estimate under a scenario based on products lasting at least 1 year longer) for the period 2025-2040.</w:t>
            </w:r>
          </w:p>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Other environmental impacts change. </w:t>
            </w:r>
            <w:r w:rsidRPr="009B5734">
              <w:rPr>
                <w:rFonts w:ascii="Times New Roman" w:hAnsi="Times New Roman" w:cs="Times New Roman"/>
                <w:b w:val="0"/>
                <w:noProof/>
                <w:sz w:val="24"/>
              </w:rPr>
              <w:t>Same as option 1.3.A. (6/10)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Coherence: </w:t>
            </w:r>
            <w:r w:rsidRPr="009B5734">
              <w:rPr>
                <w:rFonts w:ascii="Times New Roman" w:hAnsi="Times New Roman" w:cs="Times New Roman"/>
                <w:b w:val="0"/>
                <w:noProof/>
                <w:sz w:val="24"/>
              </w:rPr>
              <w:t>No issue of coherence identified. (8/10)</w:t>
            </w:r>
            <w:r w:rsidRPr="009B5734">
              <w:rPr>
                <w:rFonts w:ascii="Times New Roman" w:hAnsi="Times New Roman" w:cs="Times New Roman"/>
                <w:noProof/>
                <w:sz w:val="24"/>
              </w:rPr>
              <w:t xml:space="preserve"> </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Overarching impacts: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Circularity and sustainable consumption: </w:t>
            </w:r>
            <w:r w:rsidRPr="009B5734">
              <w:rPr>
                <w:rFonts w:ascii="Times New Roman" w:hAnsi="Times New Roman" w:cs="Times New Roman"/>
                <w:b w:val="0"/>
                <w:noProof/>
                <w:sz w:val="24"/>
              </w:rPr>
              <w:t xml:space="preserve">The impact on the production is expected to be minor, as will be the effect of the measure on other environmental impacts and on the production of electric and electronic waste. (6/10) </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Application of the EU legal consumer framework: </w:t>
            </w:r>
            <w:r w:rsidRPr="009B5734">
              <w:rPr>
                <w:rFonts w:ascii="Times New Roman" w:hAnsi="Times New Roman" w:cs="Times New Roman"/>
                <w:b w:val="0"/>
                <w:noProof/>
                <w:sz w:val="24"/>
              </w:rPr>
              <w:t>the option will be difficult to enforce as it will be time and resource consuming for authorities to assess whether the information provided by retailers is comprehensive and not biased. (4/10)</w:t>
            </w:r>
          </w:p>
          <w:p w:rsidR="00EA45F9" w:rsidRPr="009B5734" w:rsidRDefault="00EA45F9" w:rsidP="00981615">
            <w:pPr>
              <w:pStyle w:val="Text2"/>
              <w:spacing w:after="0"/>
              <w:ind w:left="0" w:firstLine="0"/>
              <w:rPr>
                <w:noProof/>
              </w:rPr>
            </w:pPr>
          </w:p>
        </w:tc>
      </w:tr>
    </w:tbl>
    <w:p w:rsidR="00EA45F9" w:rsidRPr="009B5734" w:rsidRDefault="00EA45F9" w:rsidP="00EA45F9">
      <w:pPr>
        <w:rPr>
          <w:noProof/>
        </w:rPr>
      </w:pPr>
    </w:p>
    <w:tbl>
      <w:tblPr>
        <w:tblStyle w:val="GridTable1Light-Accent2"/>
        <w:tblW w:w="0" w:type="auto"/>
        <w:tblLook w:val="04A0" w:firstRow="1" w:lastRow="0" w:firstColumn="1" w:lastColumn="0" w:noHBand="0" w:noVBand="1"/>
      </w:tblPr>
      <w:tblGrid>
        <w:gridCol w:w="8607"/>
      </w:tblGrid>
      <w:tr w:rsidR="00B30A0F" w:rsidRPr="009B5734" w:rsidTr="00C84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right w:val="single" w:sz="4" w:space="0" w:color="E5B8B7" w:themeColor="accent2" w:themeTint="66"/>
            </w:tcBorders>
            <w:shd w:val="clear" w:color="auto" w:fill="E5B8B7" w:themeFill="accent2" w:themeFillTint="66"/>
            <w:hideMark/>
          </w:tcPr>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Option 1.3.D: Reparability scoring Index</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consumers:</w:t>
            </w:r>
          </w:p>
          <w:p w:rsidR="00EA45F9" w:rsidRPr="00D74A7C" w:rsidRDefault="00EA45F9">
            <w:pPr>
              <w:ind w:left="0" w:firstLine="0"/>
              <w:rPr>
                <w:rFonts w:ascii="Times New Roman" w:hAnsi="Times New Roman" w:cs="Times New Roman"/>
                <w:b w:val="0"/>
                <w:noProof/>
                <w:sz w:val="24"/>
                <w:szCs w:val="24"/>
              </w:rPr>
            </w:pPr>
            <w:r w:rsidRPr="005D24D2">
              <w:rPr>
                <w:rFonts w:ascii="Times New Roman" w:hAnsi="Times New Roman" w:cs="Times New Roman"/>
                <w:noProof/>
                <w:sz w:val="24"/>
                <w:szCs w:val="24"/>
              </w:rPr>
              <w:t xml:space="preserve">Quality of decision-making: </w:t>
            </w:r>
            <w:r w:rsidRPr="00D74A7C">
              <w:rPr>
                <w:rFonts w:ascii="Times New Roman" w:hAnsi="Times New Roman" w:cs="Times New Roman"/>
                <w:b w:val="0"/>
                <w:noProof/>
                <w:sz w:val="24"/>
                <w:szCs w:val="24"/>
              </w:rPr>
              <w:t>The option is expected to have a positive impact on the quality of consumer decisions, as a score allows to cover a wide range of reparability aspects effectively, without leading to information overload. It requires, however, that all manufacturers are implementing the JRC general methodology in exactly the same way to guarantee a reliable comparability between products (and in the absence of more product-specific methodology to be defined under Ecodesign/SPI) which would be very difficult in reality. This may lead to products being assessed differently within the same category, which could impact negatively consumer trust in the index and prevent comparability. The cost of repair is not covered under the JRC methodology which is seen by stakeholders as an important condition for the repair of a product. (6/10)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Consumer protection: </w:t>
            </w:r>
            <w:r w:rsidRPr="009B5734">
              <w:rPr>
                <w:rFonts w:ascii="Times New Roman" w:hAnsi="Times New Roman" w:cs="Times New Roman"/>
                <w:b w:val="0"/>
                <w:noProof/>
                <w:sz w:val="24"/>
              </w:rPr>
              <w:t>No impact expected.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Consumer trust: </w:t>
            </w:r>
            <w:r w:rsidRPr="009B5734">
              <w:rPr>
                <w:rFonts w:ascii="Times New Roman" w:hAnsi="Times New Roman" w:cs="Times New Roman"/>
                <w:b w:val="0"/>
                <w:noProof/>
                <w:sz w:val="24"/>
              </w:rPr>
              <w:t>The impact on consumer trust will be dependent on whether the index is based on the same methodology for a given product category. However as manufacturers would apply a general methodology, it is likely to lead to variations, which could affect consumer trust. (4/10)</w:t>
            </w:r>
          </w:p>
          <w:p w:rsidR="00EA45F9" w:rsidRPr="00F67503" w:rsidRDefault="00EA45F9">
            <w:pPr>
              <w:ind w:left="0" w:firstLine="0"/>
              <w:rPr>
                <w:rFonts w:ascii="Times New Roman" w:hAnsi="Times New Roman" w:cs="Times New Roman"/>
                <w:noProof/>
                <w:sz w:val="24"/>
                <w:szCs w:val="24"/>
              </w:rPr>
            </w:pPr>
            <w:r w:rsidRPr="005D24D2">
              <w:rPr>
                <w:rFonts w:ascii="Times New Roman" w:hAnsi="Times New Roman" w:cs="Times New Roman"/>
                <w:noProof/>
                <w:sz w:val="24"/>
                <w:szCs w:val="24"/>
              </w:rPr>
              <w:t xml:space="preserve">Monetisable Consumer welfare: </w:t>
            </w:r>
            <w:r w:rsidRPr="00D74A7C">
              <w:rPr>
                <w:rFonts w:ascii="Times New Roman" w:hAnsi="Times New Roman" w:cs="Times New Roman"/>
                <w:b w:val="0"/>
                <w:noProof/>
                <w:sz w:val="24"/>
                <w:szCs w:val="24"/>
              </w:rPr>
              <w:t>A repair score will allow consumers to select products that are easier to repair. However, it might not provide actionable information that will help consumers to repair the products (e.g., which spare parts are available, where spare parts can be obtained; what is the cost of repair, how quickly can the repair be done by the repair service etc.). This reduces, to some extent, the effectiveness of the option. Nevertheless, this option is expected to lead to an increase in the consumer surplus, which is estimated to amount to between EUR 455 – 995 million in the period 2025-2040 (present value). (7/10)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businesses: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Level-playing field: </w:t>
            </w:r>
            <w:r w:rsidRPr="009B5734">
              <w:rPr>
                <w:rFonts w:ascii="Times New Roman" w:hAnsi="Times New Roman" w:cs="Times New Roman"/>
                <w:b w:val="0"/>
                <w:noProof/>
                <w:sz w:val="24"/>
              </w:rPr>
              <w:t>The option is expected to have a minor positive impact on the level playing field, as consumers will be able to compare products based on their reparability. However, this impact is largely dependent on whether the index is based on a common methodology followed by all manufacturers.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Reduction of barriers to cross-border trade: </w:t>
            </w:r>
            <w:r w:rsidRPr="009B5734">
              <w:rPr>
                <w:rFonts w:ascii="Times New Roman" w:hAnsi="Times New Roman" w:cs="Times New Roman"/>
                <w:b w:val="0"/>
                <w:noProof/>
                <w:sz w:val="24"/>
              </w:rPr>
              <w:t>The option might prevent future barriers to cross-border trade as one Member State has already developed a reparability score for certain product categories, and other Member States might each adopt their own score system. This lack of harmonisation (that the option would prevent) would require companies wanting to trade across borders to assess the reparability of products according to different systems and to a duplication (or more) of costs. (7/10)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Administrative burdens: </w:t>
            </w:r>
            <w:r w:rsidRPr="009B5734">
              <w:rPr>
                <w:rFonts w:ascii="Times New Roman" w:hAnsi="Times New Roman" w:cs="Times New Roman"/>
                <w:b w:val="0"/>
                <w:noProof/>
                <w:sz w:val="24"/>
              </w:rPr>
              <w:t>The administrative burden of this option involves the need to assess the reparability of products and inform consumers of that assessment. Given the complexity of providing a repair score, it will require a substantial amount of resources from manufacturers, but even more on the seller as the information obligation falls on them. Sellers will be asked to provide this information at the point of sale, but this can be also done via digital means. These total extra costs are estimated to be between EUR 4 180 – 4 360 million for the period 2025-2040 (present value).</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Substantive compliance costs: </w:t>
            </w:r>
            <w:r w:rsidRPr="009B5734">
              <w:rPr>
                <w:rFonts w:ascii="Times New Roman" w:hAnsi="Times New Roman" w:cs="Times New Roman"/>
                <w:b w:val="0"/>
                <w:noProof/>
                <w:sz w:val="24"/>
              </w:rPr>
              <w:t>None have been identified.</w:t>
            </w:r>
            <w:r w:rsidRPr="009B5734">
              <w:rPr>
                <w:rFonts w:ascii="Times New Roman" w:hAnsi="Times New Roman" w:cs="Times New Roman"/>
                <w:noProof/>
                <w:sz w:val="24"/>
              </w:rPr>
              <w:t xml:space="preserve"> </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Indirect costs: </w:t>
            </w:r>
            <w:r w:rsidRPr="009B5734">
              <w:rPr>
                <w:rFonts w:ascii="Times New Roman" w:hAnsi="Times New Roman" w:cs="Times New Roman"/>
                <w:b w:val="0"/>
                <w:noProof/>
                <w:sz w:val="24"/>
              </w:rPr>
              <w:t>The total costs of the option divided by the volume of product sales is around EUR 0.16. As explained previously, it is not expected to have an effect on the demand given the average price of the products affected by the option.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SME growth:</w:t>
            </w:r>
            <w:r w:rsidRPr="009B5734">
              <w:rPr>
                <w:rFonts w:ascii="Times New Roman" w:hAnsi="Times New Roman" w:cs="Times New Roman"/>
                <w:b w:val="0"/>
                <w:noProof/>
                <w:sz w:val="24"/>
              </w:rPr>
              <w:t xml:space="preserve"> Given the substantial amount of resources that the assessment will require, in particular in view of the absence of detailed guidance/methodology for a specific product category, it is expected that the option could have a minor negative impact on SME growth. (4/10)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public administrations:</w:t>
            </w:r>
          </w:p>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Enforcement costs </w:t>
            </w:r>
            <w:r w:rsidRPr="009B5734">
              <w:rPr>
                <w:rFonts w:ascii="Times New Roman" w:hAnsi="Times New Roman" w:cs="Times New Roman"/>
                <w:b w:val="0"/>
                <w:noProof/>
                <w:sz w:val="24"/>
              </w:rPr>
              <w:t>are estimated to be of EUR 32 - 37 million for the period 2025-2040 (present value), generated by the time needed to check whether the information is provided</w:t>
            </w:r>
            <w:r w:rsidRPr="009B5734">
              <w:rPr>
                <w:rFonts w:ascii="Times New Roman" w:hAnsi="Times New Roman" w:cs="Times New Roman"/>
                <w:noProof/>
                <w:sz w:val="24"/>
              </w:rPr>
              <w:t xml:space="preserve"> </w:t>
            </w:r>
            <w:r w:rsidRPr="009B5734">
              <w:rPr>
                <w:rFonts w:ascii="Times New Roman" w:hAnsi="Times New Roman" w:cs="Times New Roman"/>
                <w:b w:val="0"/>
                <w:noProof/>
                <w:sz w:val="24"/>
              </w:rPr>
              <w:t>and</w:t>
            </w:r>
            <w:r w:rsidRPr="009B5734">
              <w:rPr>
                <w:rFonts w:ascii="Times New Roman" w:hAnsi="Times New Roman" w:cs="Times New Roman"/>
                <w:noProof/>
                <w:sz w:val="24"/>
              </w:rPr>
              <w:t xml:space="preserve"> accurate</w:t>
            </w:r>
            <w:r w:rsidRPr="009B5734">
              <w:rPr>
                <w:rStyle w:val="FootnoteReference"/>
                <w:rFonts w:ascii="Times New Roman" w:hAnsi="Times New Roman" w:cs="Times New Roman"/>
                <w:b w:val="0"/>
                <w:noProof/>
                <w:sz w:val="24"/>
              </w:rPr>
              <w:t xml:space="preserve"> </w:t>
            </w:r>
            <w:r w:rsidRPr="009B5734">
              <w:rPr>
                <w:rStyle w:val="FootnoteReference"/>
                <w:rFonts w:ascii="Times New Roman" w:hAnsi="Times New Roman" w:cs="Times New Roman"/>
                <w:b w:val="0"/>
                <w:noProof/>
                <w:sz w:val="24"/>
              </w:rPr>
              <w:footnoteReference w:id="233"/>
            </w:r>
            <w:r w:rsidRPr="009B5734">
              <w:rPr>
                <w:rFonts w:ascii="Times New Roman" w:hAnsi="Times New Roman" w:cs="Times New Roman"/>
                <w:b w:val="0"/>
                <w:noProof/>
                <w:sz w:val="24"/>
              </w:rPr>
              <w:t>. Based on interviews with some CPC authorities, it is assumed that the option would not require significant additional resources on top of the existing ones to enforce CRD and SGD.</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Environmental impacts: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Climate change: </w:t>
            </w:r>
            <w:r w:rsidRPr="009B5734">
              <w:rPr>
                <w:rFonts w:ascii="Times New Roman" w:hAnsi="Times New Roman" w:cs="Times New Roman"/>
                <w:b w:val="0"/>
                <w:noProof/>
                <w:sz w:val="24"/>
              </w:rPr>
              <w:t>Due to the implementation of the option, (some) consumers will opt for goods that can be more easily repaired. Consequently, the repaired products will have a longer lifespan than they would have had in the baseline. This will lead to a reduction of produced units and thus of CO2e emissions estimated at between 1.2 – 2.2 mega tons (present value of EUR 52 - 78 million)</w:t>
            </w:r>
            <w:r w:rsidRPr="009B5734">
              <w:rPr>
                <w:rFonts w:ascii="Times New Roman" w:hAnsi="Times New Roman" w:cs="Times New Roman"/>
                <w:noProof/>
                <w:sz w:val="24"/>
              </w:rPr>
              <w:t xml:space="preserve"> </w:t>
            </w:r>
            <w:r w:rsidRPr="009B5734">
              <w:rPr>
                <w:rFonts w:ascii="Times New Roman" w:hAnsi="Times New Roman" w:cs="Times New Roman"/>
                <w:b w:val="0"/>
                <w:noProof/>
                <w:sz w:val="24"/>
              </w:rPr>
              <w:t>during production (estimate under a scenario based on products lasting at least 1 year longer) in the period 2025-2040.</w:t>
            </w:r>
          </w:p>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Other environmental impacts change. </w:t>
            </w:r>
            <w:r w:rsidRPr="009B5734">
              <w:rPr>
                <w:rFonts w:ascii="Times New Roman" w:hAnsi="Times New Roman" w:cs="Times New Roman"/>
                <w:b w:val="0"/>
                <w:noProof/>
                <w:sz w:val="24"/>
              </w:rPr>
              <w:t>The impact on the production is estimated to be moderate, and so will be the effect of the option on other environmental impacts and on the production of electric and electronic waste. (7/10)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Coherence: </w:t>
            </w:r>
            <w:r w:rsidRPr="009B5734">
              <w:rPr>
                <w:rFonts w:ascii="Times New Roman" w:hAnsi="Times New Roman" w:cs="Times New Roman"/>
                <w:b w:val="0"/>
                <w:noProof/>
                <w:sz w:val="24"/>
              </w:rPr>
              <w:t>No issue of coherence with existing EU law identified. (8/10)</w:t>
            </w:r>
            <w:r w:rsidRPr="009B5734">
              <w:rPr>
                <w:rFonts w:ascii="Times New Roman" w:hAnsi="Times New Roman" w:cs="Times New Roman"/>
                <w:noProof/>
                <w:sz w:val="24"/>
              </w:rPr>
              <w:t xml:space="preserve"> </w:t>
            </w:r>
          </w:p>
        </w:tc>
      </w:tr>
      <w:tr w:rsidR="00EA45F9" w:rsidRPr="009B5734" w:rsidTr="00C84A99">
        <w:trPr>
          <w:trHeight w:val="3069"/>
        </w:trPr>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Overarching impacts: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Circularity and sustainable consumption: </w:t>
            </w:r>
            <w:r w:rsidRPr="009B5734">
              <w:rPr>
                <w:rFonts w:ascii="Times New Roman" w:hAnsi="Times New Roman" w:cs="Times New Roman"/>
                <w:b w:val="0"/>
                <w:noProof/>
                <w:sz w:val="24"/>
              </w:rPr>
              <w:t xml:space="preserve">The option will help to increase the share of products that are repaired instead of replaced. This contributes to a reduction of waste, and to a more circular and sustainable economy.  (7/10) </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Application of the EU legal consumer framework: </w:t>
            </w:r>
            <w:r w:rsidRPr="009B5734">
              <w:rPr>
                <w:rFonts w:ascii="Times New Roman" w:hAnsi="Times New Roman" w:cs="Times New Roman"/>
                <w:b w:val="0"/>
                <w:noProof/>
                <w:sz w:val="24"/>
              </w:rPr>
              <w:t>The option may be very challenging to enforce as authorities may not have the means and resources to verify the reliability of the repair score and the methodology used by companies (particularly for those cases where no product specific methodology exists). (4/10)</w:t>
            </w:r>
          </w:p>
        </w:tc>
      </w:tr>
    </w:tbl>
    <w:p w:rsidR="00EA45F9" w:rsidRPr="009B5734" w:rsidRDefault="00EA45F9" w:rsidP="00EA45F9">
      <w:pPr>
        <w:rPr>
          <w:noProof/>
        </w:rPr>
      </w:pPr>
    </w:p>
    <w:tbl>
      <w:tblPr>
        <w:tblStyle w:val="GridTable1Light-Accent2"/>
        <w:tblW w:w="0" w:type="auto"/>
        <w:tblLook w:val="04A0" w:firstRow="1" w:lastRow="0" w:firstColumn="1" w:lastColumn="0" w:noHBand="0" w:noVBand="1"/>
      </w:tblPr>
      <w:tblGrid>
        <w:gridCol w:w="8607"/>
      </w:tblGrid>
      <w:tr w:rsidR="00EA45F9" w:rsidRPr="009B5734" w:rsidTr="6B0538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shd w:val="clear" w:color="auto" w:fill="D99594" w:themeFill="accent2" w:themeFillTint="99"/>
            <w:hideMark/>
          </w:tcPr>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Option 1.3.E: Provision of Repair Scoring Index, or other relevant repair information on a where applicable or where available basis</w:t>
            </w:r>
          </w:p>
        </w:tc>
      </w:tr>
      <w:tr w:rsidR="00EA45F9" w:rsidRPr="009B5734" w:rsidTr="6B053803">
        <w:tc>
          <w:tcPr>
            <w:cnfStyle w:val="001000000000" w:firstRow="0" w:lastRow="0" w:firstColumn="1" w:lastColumn="0" w:oddVBand="0" w:evenVBand="0" w:oddHBand="0" w:evenHBand="0" w:firstRowFirstColumn="0" w:firstRowLastColumn="0" w:lastRowFirstColumn="0" w:lastRowLastColumn="0"/>
            <w:tcW w:w="8755" w:type="dxa"/>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consumers:</w:t>
            </w:r>
          </w:p>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Quality of decision-making: </w:t>
            </w:r>
            <w:r w:rsidRPr="009B5734">
              <w:rPr>
                <w:rFonts w:ascii="Times New Roman" w:hAnsi="Times New Roman" w:cs="Times New Roman"/>
                <w:b w:val="0"/>
                <w:noProof/>
                <w:sz w:val="24"/>
              </w:rPr>
              <w:t>This option will increase the quality of consumer decision-making as it will increase the likelihood that high quality information (i.e. a repair score when available, and other relevant repair information when no repair score is available) is provided to the consumer at the point of sale. (7/10)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Consumer protection: </w:t>
            </w:r>
            <w:r w:rsidRPr="009B5734">
              <w:rPr>
                <w:rFonts w:ascii="Times New Roman" w:hAnsi="Times New Roman" w:cs="Times New Roman"/>
                <w:b w:val="0"/>
                <w:noProof/>
                <w:sz w:val="24"/>
              </w:rPr>
              <w:t xml:space="preserve">The option combines the benefits of the repair information to be provided under options 1.3.A, 1.3.B, 1.3.C and 1.3.D, in that it will allow consumers to select products that are easier to repair when such repair information is available. </w:t>
            </w:r>
            <w:r w:rsidRPr="009B5734">
              <w:rPr>
                <w:rFonts w:ascii="Times New Roman" w:hAnsi="Times New Roman" w:cs="Times New Roman"/>
                <w:noProof/>
                <w:sz w:val="24"/>
              </w:rPr>
              <w:t xml:space="preserve"> </w:t>
            </w:r>
            <w:r w:rsidRPr="009B5734">
              <w:rPr>
                <w:rFonts w:ascii="Times New Roman" w:hAnsi="Times New Roman" w:cs="Times New Roman"/>
                <w:b w:val="0"/>
                <w:noProof/>
                <w:sz w:val="24"/>
              </w:rPr>
              <w:t>(6/10)</w:t>
            </w:r>
          </w:p>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Consumer trust: </w:t>
            </w:r>
            <w:r w:rsidRPr="009B5734">
              <w:rPr>
                <w:rFonts w:ascii="Times New Roman" w:hAnsi="Times New Roman" w:cs="Times New Roman"/>
                <w:b w:val="0"/>
                <w:noProof/>
                <w:sz w:val="24"/>
              </w:rPr>
              <w:t>The option avoids the drawback of option 1.3.D which relies on all manufacturers implementing the JRC general repair score methodology in exactly the same way. This option, on the other hand, provides for the provision at the point of sale of those repair scores which are applicable in the case of the product and sector in question. This is expected to have a positive impact on consumer trust. (6/10)</w:t>
            </w:r>
          </w:p>
          <w:p w:rsidR="00EA45F9" w:rsidRPr="009B5734" w:rsidRDefault="00EA45F9" w:rsidP="00981615">
            <w:pPr>
              <w:tabs>
                <w:tab w:val="left" w:pos="720"/>
              </w:tabs>
              <w:ind w:left="0" w:firstLine="0"/>
              <w:rPr>
                <w:noProof/>
              </w:rPr>
            </w:pPr>
            <w:r w:rsidRPr="005D24D2">
              <w:rPr>
                <w:rFonts w:ascii="Times New Roman" w:hAnsi="Times New Roman" w:cs="Times New Roman"/>
                <w:noProof/>
                <w:sz w:val="24"/>
                <w:szCs w:val="24"/>
              </w:rPr>
              <w:t xml:space="preserve">Monetisable Consumer welfare: </w:t>
            </w:r>
            <w:r w:rsidRPr="00D74A7C">
              <w:rPr>
                <w:rFonts w:ascii="Times New Roman" w:hAnsi="Times New Roman" w:cs="Times New Roman"/>
                <w:b w:val="0"/>
                <w:noProof/>
                <w:sz w:val="24"/>
                <w:szCs w:val="24"/>
              </w:rPr>
              <w:t>The option has the benefit that the information will be able to be provided on a wider range of products, as options 1.3.A, 1.3.B, 1.3.C and 1.3.D would provide repair information on a defined, hence more narrow, product scope (i.e. energy-using goods only), while manufacturers may be potentially interested/able to provide repair information for other product categories as well. Also, the fact that manufacturers who provide repair information on their products can be certain that such information will be presented to consumers at the point of sale will mean that manufacturers will be incentivised to compete to provide the best repair conditions on their products. This increased competition is expected to provide further benefits for consumers. A lack of data did not allow to quantify the benefits of this option.  (7/10)</w:t>
            </w:r>
          </w:p>
        </w:tc>
      </w:tr>
      <w:tr w:rsidR="00EA45F9" w:rsidRPr="009B5734" w:rsidTr="6B053803">
        <w:tc>
          <w:tcPr>
            <w:cnfStyle w:val="001000000000" w:firstRow="0" w:lastRow="0" w:firstColumn="1" w:lastColumn="0" w:oddVBand="0" w:evenVBand="0" w:oddHBand="0" w:evenHBand="0" w:firstRowFirstColumn="0" w:firstRowLastColumn="0" w:lastRowFirstColumn="0" w:lastRowLastColumn="0"/>
            <w:tcW w:w="8755" w:type="dxa"/>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businesses: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Level-playing field: </w:t>
            </w:r>
            <w:r w:rsidRPr="009B5734">
              <w:rPr>
                <w:rFonts w:ascii="Times New Roman" w:hAnsi="Times New Roman" w:cs="Times New Roman"/>
                <w:b w:val="0"/>
                <w:noProof/>
                <w:sz w:val="24"/>
              </w:rPr>
              <w:t>As mentioned above, this option is expected to increase competition and have a positive impact on the level playing field.</w:t>
            </w:r>
            <w:r w:rsidRPr="009B5734">
              <w:rPr>
                <w:rFonts w:ascii="Times New Roman" w:hAnsi="Times New Roman" w:cs="Times New Roman"/>
                <w:noProof/>
                <w:sz w:val="24"/>
              </w:rPr>
              <w:t xml:space="preserve"> </w:t>
            </w:r>
            <w:r w:rsidRPr="009B5734">
              <w:rPr>
                <w:rFonts w:ascii="Times New Roman" w:hAnsi="Times New Roman" w:cs="Times New Roman"/>
                <w:b w:val="0"/>
                <w:noProof/>
                <w:sz w:val="24"/>
              </w:rPr>
              <w:t>(6/10)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Reduction of barriers to cross-border trade: </w:t>
            </w:r>
            <w:r w:rsidRPr="009B5734">
              <w:rPr>
                <w:rFonts w:ascii="Times New Roman" w:hAnsi="Times New Roman" w:cs="Times New Roman"/>
                <w:b w:val="0"/>
                <w:noProof/>
                <w:sz w:val="24"/>
              </w:rPr>
              <w:t>The option is expected to have a minor positive impact on the reduction of barriers to cross-border trade.</w:t>
            </w:r>
            <w:r w:rsidRPr="009B5734">
              <w:rPr>
                <w:rFonts w:ascii="Times New Roman" w:hAnsi="Times New Roman" w:cs="Times New Roman"/>
                <w:noProof/>
                <w:sz w:val="24"/>
              </w:rPr>
              <w:t xml:space="preserve"> </w:t>
            </w:r>
            <w:r w:rsidRPr="009B5734">
              <w:rPr>
                <w:rFonts w:ascii="Times New Roman" w:hAnsi="Times New Roman" w:cs="Times New Roman"/>
                <w:b w:val="0"/>
                <w:noProof/>
                <w:sz w:val="24"/>
              </w:rPr>
              <w:t>(6/10)</w:t>
            </w:r>
            <w:r w:rsidRPr="009B5734">
              <w:rPr>
                <w:rFonts w:ascii="Times New Roman" w:hAnsi="Times New Roman" w:cs="Times New Roman"/>
                <w:noProof/>
                <w:sz w:val="24"/>
              </w:rPr>
              <w:t xml:space="preserve"> </w:t>
            </w:r>
          </w:p>
          <w:p w:rsidR="00EA45F9" w:rsidRPr="009B5734" w:rsidRDefault="00EA45F9" w:rsidP="00981615">
            <w:pPr>
              <w:spacing w:after="120"/>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Administrative burdens: </w:t>
            </w:r>
            <w:r w:rsidRPr="009B5734">
              <w:rPr>
                <w:rFonts w:ascii="Times New Roman" w:hAnsi="Times New Roman" w:cs="Times New Roman"/>
                <w:b w:val="0"/>
                <w:noProof/>
                <w:sz w:val="24"/>
              </w:rPr>
              <w:t>The costs of this option for businesses are expected to be low, as sellers will have to provide only such information as manufacturers make it available. There will be no additional obligation for manufacturers to provide such information on their products. The administrative costs are expected to be between EUR 222 million in the period 2025-2040.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Substantive compliance costs: </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Indirect costs: </w:t>
            </w:r>
            <w:r w:rsidRPr="009B5734">
              <w:rPr>
                <w:rFonts w:ascii="Times New Roman" w:hAnsi="Times New Roman" w:cs="Times New Roman"/>
                <w:b w:val="0"/>
                <w:noProof/>
                <w:sz w:val="24"/>
              </w:rPr>
              <w:t>These costs are expected to be low, and are not expected to have an effect on the demand given the average price of the products affected by the option.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SME growth: </w:t>
            </w:r>
            <w:r w:rsidRPr="009B5734">
              <w:rPr>
                <w:rFonts w:ascii="Times New Roman" w:hAnsi="Times New Roman" w:cs="Times New Roman"/>
                <w:b w:val="0"/>
                <w:noProof/>
                <w:sz w:val="24"/>
              </w:rPr>
              <w:t>The costs imposed by the option are not expected to be significant and therefore will not have a significant negative impact on SME growth.</w:t>
            </w:r>
            <w:r w:rsidRPr="009B5734">
              <w:rPr>
                <w:rFonts w:ascii="Times New Roman" w:hAnsi="Times New Roman" w:cs="Times New Roman"/>
                <w:noProof/>
                <w:sz w:val="24"/>
              </w:rPr>
              <w:t xml:space="preserve"> </w:t>
            </w:r>
            <w:r w:rsidRPr="009B5734">
              <w:rPr>
                <w:rFonts w:ascii="Times New Roman" w:hAnsi="Times New Roman" w:cs="Times New Roman"/>
                <w:b w:val="0"/>
                <w:noProof/>
                <w:sz w:val="24"/>
              </w:rPr>
              <w:t xml:space="preserve"> (5/10)</w:t>
            </w:r>
          </w:p>
        </w:tc>
      </w:tr>
      <w:tr w:rsidR="00EA45F9" w:rsidRPr="009B5734" w:rsidTr="6B053803">
        <w:tc>
          <w:tcPr>
            <w:cnfStyle w:val="001000000000" w:firstRow="0" w:lastRow="0" w:firstColumn="1" w:lastColumn="0" w:oddVBand="0" w:evenVBand="0" w:oddHBand="0" w:evenHBand="0" w:firstRowFirstColumn="0" w:firstRowLastColumn="0" w:lastRowFirstColumn="0" w:lastRowLastColumn="0"/>
            <w:tcW w:w="8755" w:type="dxa"/>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public administrations:</w:t>
            </w:r>
          </w:p>
          <w:p w:rsidR="00EA45F9" w:rsidRPr="009B5734" w:rsidRDefault="00EA45F9" w:rsidP="00981615">
            <w:pPr>
              <w:ind w:left="0" w:firstLine="0"/>
              <w:rPr>
                <w:rFonts w:ascii="Times New Roman" w:hAnsi="Times New Roman" w:cs="Times New Roman"/>
                <w:b w:val="0"/>
                <w:noProof/>
                <w:sz w:val="24"/>
                <w:szCs w:val="24"/>
              </w:rPr>
            </w:pPr>
            <w:r w:rsidRPr="009B5734">
              <w:rPr>
                <w:rFonts w:ascii="Times New Roman" w:hAnsi="Times New Roman" w:cs="Times New Roman"/>
                <w:noProof/>
                <w:sz w:val="24"/>
              </w:rPr>
              <w:t>Enforcement costs:</w:t>
            </w:r>
            <w:r w:rsidRPr="009B5734">
              <w:rPr>
                <w:noProof/>
              </w:rPr>
              <w:t xml:space="preserve"> </w:t>
            </w:r>
            <w:r w:rsidRPr="009B5734">
              <w:rPr>
                <w:rFonts w:ascii="Times New Roman" w:hAnsi="Times New Roman" w:cs="Times New Roman"/>
                <w:b w:val="0"/>
                <w:noProof/>
                <w:sz w:val="24"/>
                <w:szCs w:val="24"/>
              </w:rPr>
              <w:t xml:space="preserve">This option is expected to entail minimal enforcement costs, estimated at EUR 0.12 million in the period 2025-2040, generated by the time needed to check whether the seller has provided such information at the point of sale when made available by the manufacturer. </w:t>
            </w:r>
          </w:p>
          <w:p w:rsidR="00EA45F9" w:rsidRPr="009B5734" w:rsidRDefault="00EA45F9" w:rsidP="00981615">
            <w:pPr>
              <w:pStyle w:val="Text2"/>
              <w:spacing w:after="0"/>
              <w:ind w:left="0" w:firstLine="0"/>
              <w:rPr>
                <w:noProof/>
                <w:highlight w:val="yellow"/>
              </w:rPr>
            </w:pPr>
          </w:p>
        </w:tc>
      </w:tr>
      <w:tr w:rsidR="00EA45F9" w:rsidRPr="009B5734" w:rsidTr="6B053803">
        <w:tc>
          <w:tcPr>
            <w:cnfStyle w:val="001000000000" w:firstRow="0" w:lastRow="0" w:firstColumn="1" w:lastColumn="0" w:oddVBand="0" w:evenVBand="0" w:oddHBand="0" w:evenHBand="0" w:firstRowFirstColumn="0" w:firstRowLastColumn="0" w:lastRowFirstColumn="0" w:lastRowLastColumn="0"/>
            <w:tcW w:w="8755" w:type="dxa"/>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Environmental impacts:</w:t>
            </w:r>
          </w:p>
          <w:p w:rsidR="00EA45F9" w:rsidRPr="009B5734" w:rsidRDefault="00EA45F9" w:rsidP="00981615">
            <w:pPr>
              <w:ind w:left="0" w:firstLine="0"/>
              <w:rPr>
                <w:rFonts w:ascii="Times New Roman" w:hAnsi="Times New Roman" w:cs="Times New Roman"/>
                <w:b w:val="0"/>
                <w:i/>
                <w:noProof/>
                <w:sz w:val="24"/>
                <w:szCs w:val="24"/>
              </w:rPr>
            </w:pPr>
            <w:r w:rsidRPr="009B5734">
              <w:rPr>
                <w:rFonts w:ascii="Times New Roman" w:hAnsi="Times New Roman" w:cs="Times New Roman"/>
                <w:b w:val="0"/>
                <w:noProof/>
                <w:sz w:val="24"/>
                <w:szCs w:val="24"/>
              </w:rPr>
              <w:t>Due to the implementation of the option, some consumers will opt for goods that can be more easily repaired. Consequently, the repaired products will have a longer lifespan than they would have had in the baseline. For this reason we can conclude that this option will have a positive impact on the environment.</w:t>
            </w:r>
          </w:p>
          <w:p w:rsidR="00EA45F9" w:rsidRPr="009B5734" w:rsidRDefault="00EA45F9" w:rsidP="00981615">
            <w:pPr>
              <w:ind w:left="0" w:firstLine="0"/>
              <w:rPr>
                <w:rFonts w:ascii="Times New Roman" w:hAnsi="Times New Roman" w:cs="Times New Roman"/>
                <w:b w:val="0"/>
                <w:i/>
                <w:noProof/>
                <w:sz w:val="24"/>
                <w:szCs w:val="24"/>
              </w:rPr>
            </w:pPr>
            <w:r w:rsidRPr="009B5734">
              <w:rPr>
                <w:rFonts w:ascii="Times New Roman" w:hAnsi="Times New Roman" w:cs="Times New Roman"/>
                <w:noProof/>
                <w:sz w:val="24"/>
              </w:rPr>
              <w:t xml:space="preserve">Climate change: </w:t>
            </w:r>
            <w:r w:rsidRPr="009B5734">
              <w:rPr>
                <w:rFonts w:ascii="Times New Roman" w:hAnsi="Times New Roman" w:cs="Times New Roman"/>
                <w:b w:val="0"/>
                <w:noProof/>
                <w:sz w:val="24"/>
                <w:szCs w:val="24"/>
              </w:rPr>
              <w:t>Due to the implementation of the option, some consumers will opt for goods that can be more easily repaired. Consequently, the repaired products will have a longer lifespan than they would have had in the baseline. For this reason we can conclude that this option will have a positive impact on the environment.</w:t>
            </w:r>
            <w:r w:rsidR="00F46F51" w:rsidRPr="009B5734">
              <w:rPr>
                <w:rFonts w:ascii="Times New Roman" w:hAnsi="Times New Roman" w:cs="Times New Roman"/>
                <w:b w:val="0"/>
                <w:noProof/>
                <w:sz w:val="24"/>
                <w:szCs w:val="24"/>
              </w:rPr>
              <w:t xml:space="preserve"> As the option will not require any physical paper repair manuals to be provided at the point of sale we can estimate that it will lead to a reduction in CO2 emissions which is at least greater than that of Option 1.3.A </w:t>
            </w:r>
            <w:r w:rsidR="00F46F51" w:rsidRPr="009B5734">
              <w:rPr>
                <w:rFonts w:ascii="Times New Roman" w:hAnsi="Times New Roman" w:cs="Times New Roman"/>
                <w:b w:val="0"/>
                <w:noProof/>
                <w:sz w:val="24"/>
              </w:rPr>
              <w:t>in the period 2025-2040</w:t>
            </w:r>
            <w:r w:rsidR="00F46F51" w:rsidRPr="009B5734">
              <w:rPr>
                <w:rFonts w:ascii="Times New Roman" w:hAnsi="Times New Roman" w:cs="Times New Roman"/>
                <w:b w:val="0"/>
                <w:noProof/>
                <w:sz w:val="24"/>
                <w:szCs w:val="24"/>
              </w:rPr>
              <w:t>.</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Other environmental impacts change: </w:t>
            </w:r>
            <w:r w:rsidRPr="009B5734">
              <w:rPr>
                <w:rFonts w:ascii="Times New Roman" w:hAnsi="Times New Roman" w:cs="Times New Roman"/>
                <w:b w:val="0"/>
                <w:noProof/>
                <w:sz w:val="24"/>
              </w:rPr>
              <w:t>The impact on the production is estimated to be moderate, and so will be the effect of the option on other environmental impacts. (7/10)</w:t>
            </w:r>
            <w:r w:rsidRPr="009B5734">
              <w:rPr>
                <w:rFonts w:ascii="Times New Roman" w:hAnsi="Times New Roman" w:cs="Times New Roman"/>
                <w:noProof/>
                <w:sz w:val="24"/>
              </w:rPr>
              <w:t xml:space="preserve"> </w:t>
            </w:r>
          </w:p>
        </w:tc>
      </w:tr>
      <w:tr w:rsidR="00EA45F9" w:rsidRPr="009B5734" w:rsidTr="6B053803">
        <w:tc>
          <w:tcPr>
            <w:cnfStyle w:val="001000000000" w:firstRow="0" w:lastRow="0" w:firstColumn="1" w:lastColumn="0" w:oddVBand="0" w:evenVBand="0" w:oddHBand="0" w:evenHBand="0" w:firstRowFirstColumn="0" w:firstRowLastColumn="0" w:lastRowFirstColumn="0" w:lastRowLastColumn="0"/>
            <w:tcW w:w="8755" w:type="dxa"/>
            <w:hideMark/>
          </w:tcPr>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Coherence: </w:t>
            </w:r>
            <w:r w:rsidRPr="009B5734">
              <w:rPr>
                <w:rFonts w:ascii="Times New Roman" w:hAnsi="Times New Roman" w:cs="Times New Roman"/>
                <w:b w:val="0"/>
                <w:noProof/>
                <w:sz w:val="24"/>
              </w:rPr>
              <w:t>Due to the fact that the information to be provided under this option is to be provided at the point of sale only when made available by the manufacturer or where made available under applicable national or EU law, a very high level of coherence with existing EU law is ensured</w:t>
            </w:r>
            <w:r w:rsidRPr="009B5734">
              <w:rPr>
                <w:rFonts w:ascii="Times New Roman" w:hAnsi="Times New Roman" w:cs="Times New Roman"/>
                <w:noProof/>
                <w:sz w:val="24"/>
              </w:rPr>
              <w:t xml:space="preserve">  </w:t>
            </w:r>
            <w:r w:rsidRPr="009B5734">
              <w:rPr>
                <w:rFonts w:ascii="Times New Roman" w:hAnsi="Times New Roman" w:cs="Times New Roman"/>
                <w:b w:val="0"/>
                <w:noProof/>
                <w:sz w:val="24"/>
              </w:rPr>
              <w:t>(9/10)</w:t>
            </w:r>
          </w:p>
        </w:tc>
      </w:tr>
      <w:tr w:rsidR="00EA45F9" w:rsidRPr="009B5734" w:rsidTr="6B053803">
        <w:tc>
          <w:tcPr>
            <w:cnfStyle w:val="001000000000" w:firstRow="0" w:lastRow="0" w:firstColumn="1" w:lastColumn="0" w:oddVBand="0" w:evenVBand="0" w:oddHBand="0" w:evenHBand="0" w:firstRowFirstColumn="0" w:firstRowLastColumn="0" w:lastRowFirstColumn="0" w:lastRowLastColumn="0"/>
            <w:tcW w:w="8755" w:type="dxa"/>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Overarching impacts: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Circularity and sustainable consumption: </w:t>
            </w:r>
            <w:r w:rsidRPr="009B5734">
              <w:rPr>
                <w:rFonts w:ascii="Times New Roman" w:hAnsi="Times New Roman" w:cs="Times New Roman"/>
                <w:b w:val="0"/>
                <w:noProof/>
                <w:sz w:val="24"/>
              </w:rPr>
              <w:t xml:space="preserve">The option will help to increase the share of products that are repaired instead of replaced. This contributes to a reduction of waste, and to a more circular and sustainable economy.  </w:t>
            </w:r>
            <w:r w:rsidR="00932EEA" w:rsidRPr="009B5734">
              <w:rPr>
                <w:rFonts w:ascii="Times New Roman" w:hAnsi="Times New Roman" w:cs="Times New Roman"/>
                <w:b w:val="0"/>
                <w:noProof/>
                <w:sz w:val="24"/>
              </w:rPr>
              <w:t>(7</w:t>
            </w:r>
            <w:r w:rsidRPr="009B5734">
              <w:rPr>
                <w:rFonts w:ascii="Times New Roman" w:hAnsi="Times New Roman" w:cs="Times New Roman"/>
                <w:b w:val="0"/>
                <w:noProof/>
                <w:sz w:val="24"/>
              </w:rPr>
              <w:t>/10)</w:t>
            </w:r>
          </w:p>
          <w:p w:rsidR="00EA45F9" w:rsidRPr="00F67503" w:rsidRDefault="00EA45F9">
            <w:pPr>
              <w:ind w:left="0" w:firstLine="0"/>
              <w:rPr>
                <w:rFonts w:ascii="Times New Roman" w:hAnsi="Times New Roman" w:cs="Times New Roman"/>
                <w:b w:val="0"/>
                <w:noProof/>
                <w:sz w:val="24"/>
                <w:szCs w:val="24"/>
              </w:rPr>
            </w:pPr>
            <w:r w:rsidRPr="005D24D2">
              <w:rPr>
                <w:rFonts w:ascii="Times New Roman" w:hAnsi="Times New Roman" w:cs="Times New Roman"/>
                <w:noProof/>
                <w:sz w:val="24"/>
                <w:szCs w:val="24"/>
              </w:rPr>
              <w:t xml:space="preserve">Application of the EU legal consumer framework: </w:t>
            </w:r>
            <w:r w:rsidRPr="009B5734">
              <w:rPr>
                <w:rFonts w:ascii="Times New Roman" w:hAnsi="Times New Roman" w:cs="Times New Roman"/>
                <w:b w:val="0"/>
                <w:bCs w:val="0"/>
                <w:noProof/>
                <w:sz w:val="24"/>
                <w:szCs w:val="24"/>
              </w:rPr>
              <w:t>This option is coherent with the legal framework, in that it provides for repair information to be made available at the point of sale in precisely those cases where the existing legal framework already requires such information to be provided by manufacturers, as well as where manufacturers chose to provide such information voluntarily. It is also complementary to potential future Ecodesign/SPI requirements which may provide for further specifications concerning what repair information should be included for specific product categories, as well as its method of presentation (e.g. via product passport or other).</w:t>
            </w:r>
            <w:r w:rsidR="00932EEA" w:rsidRPr="009B5734">
              <w:rPr>
                <w:rFonts w:ascii="Times New Roman" w:hAnsi="Times New Roman" w:cs="Times New Roman"/>
                <w:b w:val="0"/>
                <w:bCs w:val="0"/>
                <w:noProof/>
                <w:sz w:val="24"/>
                <w:szCs w:val="24"/>
              </w:rPr>
              <w:t xml:space="preserve"> (6</w:t>
            </w:r>
            <w:r w:rsidRPr="009B5734">
              <w:rPr>
                <w:rFonts w:ascii="Times New Roman" w:hAnsi="Times New Roman" w:cs="Times New Roman"/>
                <w:b w:val="0"/>
                <w:bCs w:val="0"/>
                <w:noProof/>
                <w:sz w:val="24"/>
                <w:szCs w:val="24"/>
              </w:rPr>
              <w:t>/10)</w:t>
            </w:r>
          </w:p>
        </w:tc>
      </w:tr>
    </w:tbl>
    <w:p w:rsidR="00EA45F9" w:rsidRPr="009B5734" w:rsidRDefault="00EA45F9" w:rsidP="00EA45F9">
      <w:pPr>
        <w:rPr>
          <w:noProof/>
        </w:rPr>
      </w:pPr>
    </w:p>
    <w:p w:rsidR="00EA45F9" w:rsidRPr="009B5734" w:rsidRDefault="00EA45F9" w:rsidP="00EA45F9">
      <w:pPr>
        <w:ind w:left="0" w:firstLine="0"/>
        <w:rPr>
          <w:noProof/>
        </w:rPr>
      </w:pPr>
    </w:p>
    <w:p w:rsidR="00EA45F9" w:rsidRPr="009B5734" w:rsidRDefault="00EA45F9" w:rsidP="00EA45F9">
      <w:pPr>
        <w:rPr>
          <w:noProof/>
        </w:rPr>
      </w:pPr>
    </w:p>
    <w:p w:rsidR="00EA45F9" w:rsidRPr="004931D3" w:rsidRDefault="00EA45F9">
      <w:pPr>
        <w:pStyle w:val="Heading5"/>
        <w:rPr>
          <w:rFonts w:ascii="Times New Roman" w:hAnsi="Times New Roman" w:cs="Times New Roman"/>
          <w:i w:val="0"/>
          <w:noProof/>
          <w:sz w:val="24"/>
        </w:rPr>
      </w:pPr>
      <w:bookmarkStart w:id="693" w:name="_Ref59616079"/>
      <w:bookmarkStart w:id="694" w:name="_Toc60734117"/>
      <w:bookmarkStart w:id="695" w:name="_Toc75441007"/>
      <w:bookmarkStart w:id="696" w:name="_Toc75447006"/>
      <w:bookmarkStart w:id="697" w:name="_Toc75448879"/>
      <w:r w:rsidRPr="6B053803">
        <w:rPr>
          <w:rFonts w:ascii="Times New Roman" w:hAnsi="Times New Roman" w:cs="Times New Roman"/>
          <w:i w:val="0"/>
          <w:noProof/>
          <w:sz w:val="24"/>
        </w:rPr>
        <w:t>Recap of the assessment of the options</w:t>
      </w:r>
      <w:bookmarkEnd w:id="693"/>
      <w:bookmarkEnd w:id="694"/>
      <w:bookmarkEnd w:id="695"/>
      <w:bookmarkEnd w:id="696"/>
      <w:bookmarkEnd w:id="697"/>
    </w:p>
    <w:tbl>
      <w:tblPr>
        <w:tblStyle w:val="GridTable4-Accent3"/>
        <w:tblW w:w="0" w:type="auto"/>
        <w:tblLayout w:type="fixed"/>
        <w:tblLook w:val="04A0" w:firstRow="1" w:lastRow="0" w:firstColumn="1" w:lastColumn="0" w:noHBand="0" w:noVBand="1"/>
      </w:tblPr>
      <w:tblGrid>
        <w:gridCol w:w="1787"/>
        <w:gridCol w:w="1797"/>
        <w:gridCol w:w="1049"/>
        <w:gridCol w:w="1050"/>
        <w:gridCol w:w="1050"/>
        <w:gridCol w:w="1050"/>
        <w:gridCol w:w="1050"/>
      </w:tblGrid>
      <w:tr w:rsidR="00EA45F9" w:rsidRPr="009B5734" w:rsidTr="00C84A99">
        <w:trPr>
          <w:cnfStyle w:val="100000000000" w:firstRow="1" w:lastRow="0" w:firstColumn="0" w:lastColumn="0" w:oddVBand="0" w:evenVBand="0" w:oddHBand="0" w:evenHBand="0" w:firstRowFirstColumn="0" w:firstRowLastColumn="0" w:lastRowFirstColumn="0" w:lastRowLastColumn="0"/>
          <w:trHeight w:val="1358"/>
        </w:trPr>
        <w:tc>
          <w:tcPr>
            <w:cnfStyle w:val="001000000000" w:firstRow="0" w:lastRow="0" w:firstColumn="1" w:lastColumn="0" w:oddVBand="0" w:evenVBand="0" w:oddHBand="0" w:evenHBand="0" w:firstRowFirstColumn="0" w:firstRowLastColumn="0" w:lastRowFirstColumn="0" w:lastRowLastColumn="0"/>
            <w:tcW w:w="3584" w:type="dxa"/>
            <w:gridSpan w:val="2"/>
            <w:shd w:val="clear" w:color="auto" w:fill="F79646" w:themeFill="accent6"/>
            <w:vAlign w:val="center"/>
          </w:tcPr>
          <w:p w:rsidR="00EA45F9" w:rsidRPr="009B5734" w:rsidRDefault="00EA45F9" w:rsidP="00981615">
            <w:pPr>
              <w:pStyle w:val="Text2"/>
              <w:spacing w:after="0"/>
              <w:ind w:left="0" w:firstLine="0"/>
              <w:jc w:val="center"/>
              <w:rPr>
                <w:noProof/>
              </w:rPr>
            </w:pPr>
            <w:r w:rsidRPr="009B5734">
              <w:rPr>
                <w:noProof/>
              </w:rPr>
              <w:t>Criteria and sub-criteria</w:t>
            </w:r>
          </w:p>
        </w:tc>
        <w:tc>
          <w:tcPr>
            <w:tcW w:w="1049" w:type="dxa"/>
            <w:shd w:val="clear" w:color="auto" w:fill="F79646" w:themeFill="accent6"/>
            <w:vAlign w:val="center"/>
          </w:tcPr>
          <w:p w:rsidR="00EA45F9" w:rsidRPr="009B5734" w:rsidRDefault="00EA45F9" w:rsidP="00981615">
            <w:pPr>
              <w:pStyle w:val="Text2"/>
              <w:spacing w:after="0"/>
              <w:ind w:left="0" w:firstLine="0"/>
              <w:jc w:val="center"/>
              <w:cnfStyle w:val="100000000000" w:firstRow="1" w:lastRow="0" w:firstColumn="0" w:lastColumn="0" w:oddVBand="0" w:evenVBand="0" w:oddHBand="0" w:evenHBand="0" w:firstRowFirstColumn="0" w:firstRowLastColumn="0" w:lastRowFirstColumn="0" w:lastRowLastColumn="0"/>
              <w:rPr>
                <w:noProof/>
              </w:rPr>
            </w:pPr>
            <w:r w:rsidRPr="009B5734">
              <w:rPr>
                <w:noProof/>
              </w:rPr>
              <w:t>Option 1.3.A Repair manual</w:t>
            </w:r>
          </w:p>
        </w:tc>
        <w:tc>
          <w:tcPr>
            <w:tcW w:w="1050" w:type="dxa"/>
            <w:shd w:val="clear" w:color="auto" w:fill="F79646" w:themeFill="accent6"/>
            <w:vAlign w:val="center"/>
          </w:tcPr>
          <w:p w:rsidR="00EA45F9" w:rsidRPr="009B5734" w:rsidRDefault="00EA45F9" w:rsidP="00981615">
            <w:pPr>
              <w:pStyle w:val="Text2"/>
              <w:spacing w:after="0"/>
              <w:ind w:left="0" w:firstLine="0"/>
              <w:jc w:val="center"/>
              <w:cnfStyle w:val="100000000000" w:firstRow="1" w:lastRow="0" w:firstColumn="0" w:lastColumn="0" w:oddVBand="0" w:evenVBand="0" w:oddHBand="0" w:evenHBand="0" w:firstRowFirstColumn="0" w:firstRowLastColumn="0" w:lastRowFirstColumn="0" w:lastRowLastColumn="0"/>
              <w:rPr>
                <w:noProof/>
              </w:rPr>
            </w:pPr>
            <w:r w:rsidRPr="009B5734">
              <w:rPr>
                <w:noProof/>
              </w:rPr>
              <w:t>Option 1.3.B</w:t>
            </w:r>
          </w:p>
          <w:p w:rsidR="00EA45F9" w:rsidRPr="009B5734" w:rsidRDefault="00EA45F9" w:rsidP="00981615">
            <w:pPr>
              <w:pStyle w:val="Text2"/>
              <w:spacing w:after="0"/>
              <w:ind w:left="0" w:firstLine="0"/>
              <w:jc w:val="center"/>
              <w:cnfStyle w:val="100000000000" w:firstRow="1" w:lastRow="0" w:firstColumn="0" w:lastColumn="0" w:oddVBand="0" w:evenVBand="0" w:oddHBand="0" w:evenHBand="0" w:firstRowFirstColumn="0" w:firstRowLastColumn="0" w:lastRowFirstColumn="0" w:lastRowLastColumn="0"/>
              <w:rPr>
                <w:noProof/>
              </w:rPr>
            </w:pPr>
            <w:r w:rsidRPr="009B5734">
              <w:rPr>
                <w:noProof/>
              </w:rPr>
              <w:t>Info on spare parts</w:t>
            </w:r>
          </w:p>
        </w:tc>
        <w:tc>
          <w:tcPr>
            <w:tcW w:w="1050" w:type="dxa"/>
            <w:shd w:val="clear" w:color="auto" w:fill="F79646" w:themeFill="accent6"/>
          </w:tcPr>
          <w:p w:rsidR="00EA45F9" w:rsidRPr="009B5734" w:rsidRDefault="00EA45F9" w:rsidP="00981615">
            <w:pPr>
              <w:pStyle w:val="Text2"/>
              <w:spacing w:after="0"/>
              <w:ind w:left="0" w:firstLine="0"/>
              <w:jc w:val="center"/>
              <w:cnfStyle w:val="100000000000" w:firstRow="1" w:lastRow="0" w:firstColumn="0" w:lastColumn="0" w:oddVBand="0" w:evenVBand="0" w:oddHBand="0" w:evenHBand="0" w:firstRowFirstColumn="0" w:firstRowLastColumn="0" w:lastRowFirstColumn="0" w:lastRowLastColumn="0"/>
              <w:rPr>
                <w:noProof/>
              </w:rPr>
            </w:pPr>
            <w:r w:rsidRPr="009B5734">
              <w:rPr>
                <w:noProof/>
              </w:rPr>
              <w:t>Option 1.3.C Info on repair services</w:t>
            </w:r>
          </w:p>
        </w:tc>
        <w:tc>
          <w:tcPr>
            <w:tcW w:w="1050" w:type="dxa"/>
            <w:shd w:val="clear" w:color="auto" w:fill="F79646" w:themeFill="accent6"/>
          </w:tcPr>
          <w:p w:rsidR="00EA45F9" w:rsidRPr="009B5734" w:rsidRDefault="00EA45F9" w:rsidP="00981615">
            <w:pPr>
              <w:pStyle w:val="Text2"/>
              <w:spacing w:after="0"/>
              <w:ind w:left="0" w:firstLine="0"/>
              <w:jc w:val="center"/>
              <w:cnfStyle w:val="100000000000" w:firstRow="1" w:lastRow="0" w:firstColumn="0" w:lastColumn="0" w:oddVBand="0" w:evenVBand="0" w:oddHBand="0" w:evenHBand="0" w:firstRowFirstColumn="0" w:firstRowLastColumn="0" w:lastRowFirstColumn="0" w:lastRowLastColumn="0"/>
              <w:rPr>
                <w:noProof/>
              </w:rPr>
            </w:pPr>
            <w:r w:rsidRPr="009B5734">
              <w:rPr>
                <w:noProof/>
              </w:rPr>
              <w:t>Option 1.3.D Rep. Scoring Index</w:t>
            </w:r>
          </w:p>
        </w:tc>
        <w:tc>
          <w:tcPr>
            <w:tcW w:w="1050" w:type="dxa"/>
            <w:shd w:val="clear" w:color="auto" w:fill="F79646" w:themeFill="accent6"/>
          </w:tcPr>
          <w:p w:rsidR="00EA45F9" w:rsidRPr="009B5734" w:rsidRDefault="00EA45F9" w:rsidP="00981615">
            <w:pPr>
              <w:pStyle w:val="Text2"/>
              <w:spacing w:after="0"/>
              <w:ind w:left="0" w:firstLine="0"/>
              <w:jc w:val="center"/>
              <w:cnfStyle w:val="100000000000" w:firstRow="1" w:lastRow="0" w:firstColumn="0" w:lastColumn="0" w:oddVBand="0" w:evenVBand="0" w:oddHBand="0" w:evenHBand="0" w:firstRowFirstColumn="0" w:firstRowLastColumn="0" w:lastRowFirstColumn="0" w:lastRowLastColumn="0"/>
              <w:rPr>
                <w:b w:val="0"/>
                <w:bCs w:val="0"/>
                <w:noProof/>
              </w:rPr>
            </w:pPr>
            <w:r w:rsidRPr="009B5734">
              <w:rPr>
                <w:noProof/>
              </w:rPr>
              <w:t>Option 1.3.E</w:t>
            </w:r>
          </w:p>
          <w:p w:rsidR="00EA45F9" w:rsidRPr="009B5734" w:rsidRDefault="00EA45F9" w:rsidP="00981615">
            <w:pPr>
              <w:pStyle w:val="Text2"/>
              <w:spacing w:after="0"/>
              <w:ind w:left="0" w:firstLine="0"/>
              <w:jc w:val="center"/>
              <w:cnfStyle w:val="100000000000" w:firstRow="1" w:lastRow="0" w:firstColumn="0" w:lastColumn="0" w:oddVBand="0" w:evenVBand="0" w:oddHBand="0" w:evenHBand="0" w:firstRowFirstColumn="0" w:firstRowLastColumn="0" w:lastRowFirstColumn="0" w:lastRowLastColumn="0"/>
              <w:rPr>
                <w:noProof/>
              </w:rPr>
            </w:pPr>
            <w:r w:rsidRPr="009B5734">
              <w:rPr>
                <w:noProof/>
                <w:szCs w:val="24"/>
              </w:rPr>
              <w:t>Provision of Repair Scoring Index, or other relevant repair information on a where applicable or where available basis</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787" w:type="dxa"/>
            <w:vMerge w:val="restart"/>
            <w:shd w:val="clear" w:color="auto" w:fill="auto"/>
          </w:tcPr>
          <w:p w:rsidR="00EA45F9" w:rsidRPr="009B5734" w:rsidRDefault="00EA45F9" w:rsidP="00981615">
            <w:pPr>
              <w:pStyle w:val="Text2"/>
              <w:ind w:left="0" w:firstLine="0"/>
              <w:rPr>
                <w:noProof/>
              </w:rPr>
            </w:pPr>
            <w:r w:rsidRPr="009B5734">
              <w:rPr>
                <w:noProof/>
              </w:rPr>
              <w:t>Impact on consumers</w:t>
            </w:r>
          </w:p>
        </w:tc>
        <w:tc>
          <w:tcPr>
            <w:tcW w:w="1797"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Quality of consumer decision-making</w:t>
            </w:r>
          </w:p>
        </w:tc>
        <w:tc>
          <w:tcPr>
            <w:tcW w:w="1049"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5/10</w:t>
            </w:r>
          </w:p>
        </w:tc>
        <w:tc>
          <w:tcPr>
            <w:tcW w:w="1050"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6/10</w:t>
            </w:r>
          </w:p>
        </w:tc>
        <w:tc>
          <w:tcPr>
            <w:tcW w:w="1050"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4/10</w:t>
            </w:r>
          </w:p>
        </w:tc>
        <w:tc>
          <w:tcPr>
            <w:tcW w:w="1050"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6/10</w:t>
            </w:r>
          </w:p>
        </w:tc>
        <w:tc>
          <w:tcPr>
            <w:tcW w:w="1050" w:type="dxa"/>
            <w:shd w:val="clear" w:color="auto" w:fill="auto"/>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7/10</w:t>
            </w:r>
          </w:p>
        </w:tc>
      </w:tr>
      <w:tr w:rsidR="00EA45F9" w:rsidRPr="009B5734" w:rsidTr="00C84A99">
        <w:trPr>
          <w:trHeight w:val="518"/>
        </w:trPr>
        <w:tc>
          <w:tcPr>
            <w:cnfStyle w:val="001000000000" w:firstRow="0" w:lastRow="0" w:firstColumn="1" w:lastColumn="0" w:oddVBand="0" w:evenVBand="0" w:oddHBand="0" w:evenHBand="0" w:firstRowFirstColumn="0" w:firstRowLastColumn="0" w:lastRowFirstColumn="0" w:lastRowLastColumn="0"/>
            <w:tcW w:w="1787" w:type="dxa"/>
            <w:vMerge/>
            <w:shd w:val="clear" w:color="auto" w:fill="auto"/>
          </w:tcPr>
          <w:p w:rsidR="00EA45F9" w:rsidRPr="009B5734" w:rsidRDefault="00EA45F9" w:rsidP="00981615">
            <w:pPr>
              <w:pStyle w:val="Text2"/>
              <w:ind w:left="0" w:firstLine="0"/>
              <w:rPr>
                <w:noProof/>
              </w:rPr>
            </w:pPr>
          </w:p>
        </w:tc>
        <w:tc>
          <w:tcPr>
            <w:tcW w:w="1797"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Consumer protection</w:t>
            </w:r>
          </w:p>
        </w:tc>
        <w:tc>
          <w:tcPr>
            <w:tcW w:w="1049"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6/10</w:t>
            </w:r>
          </w:p>
        </w:tc>
        <w:tc>
          <w:tcPr>
            <w:tcW w:w="1050"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6/10</w:t>
            </w:r>
          </w:p>
        </w:tc>
        <w:tc>
          <w:tcPr>
            <w:tcW w:w="1050"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5/10</w:t>
            </w:r>
          </w:p>
        </w:tc>
        <w:tc>
          <w:tcPr>
            <w:tcW w:w="1050"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5/10</w:t>
            </w:r>
          </w:p>
        </w:tc>
        <w:tc>
          <w:tcPr>
            <w:tcW w:w="1050" w:type="dxa"/>
            <w:shd w:val="clear" w:color="auto" w:fill="auto"/>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6/10</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787" w:type="dxa"/>
            <w:vMerge/>
            <w:shd w:val="clear" w:color="auto" w:fill="auto"/>
          </w:tcPr>
          <w:p w:rsidR="00EA45F9" w:rsidRPr="009B5734" w:rsidRDefault="00EA45F9" w:rsidP="00981615">
            <w:pPr>
              <w:pStyle w:val="Text2"/>
              <w:ind w:left="0" w:firstLine="0"/>
              <w:rPr>
                <w:noProof/>
              </w:rPr>
            </w:pPr>
          </w:p>
        </w:tc>
        <w:tc>
          <w:tcPr>
            <w:tcW w:w="1797"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Consumer trust</w:t>
            </w:r>
          </w:p>
        </w:tc>
        <w:tc>
          <w:tcPr>
            <w:tcW w:w="1049"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6/10</w:t>
            </w:r>
          </w:p>
        </w:tc>
        <w:tc>
          <w:tcPr>
            <w:tcW w:w="1050"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6/10</w:t>
            </w:r>
          </w:p>
        </w:tc>
        <w:tc>
          <w:tcPr>
            <w:tcW w:w="1050"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4/10</w:t>
            </w:r>
          </w:p>
        </w:tc>
        <w:tc>
          <w:tcPr>
            <w:tcW w:w="1050"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4/10</w:t>
            </w:r>
          </w:p>
        </w:tc>
        <w:tc>
          <w:tcPr>
            <w:tcW w:w="1050" w:type="dxa"/>
            <w:shd w:val="clear" w:color="auto" w:fill="auto"/>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6/10</w:t>
            </w:r>
          </w:p>
        </w:tc>
      </w:tr>
      <w:tr w:rsidR="00EA45F9" w:rsidRPr="009B5734" w:rsidTr="00C84A99">
        <w:trPr>
          <w:trHeight w:val="534"/>
        </w:trPr>
        <w:tc>
          <w:tcPr>
            <w:cnfStyle w:val="001000000000" w:firstRow="0" w:lastRow="0" w:firstColumn="1" w:lastColumn="0" w:oddVBand="0" w:evenVBand="0" w:oddHBand="0" w:evenHBand="0" w:firstRowFirstColumn="0" w:firstRowLastColumn="0" w:lastRowFirstColumn="0" w:lastRowLastColumn="0"/>
            <w:tcW w:w="1787" w:type="dxa"/>
            <w:vMerge/>
            <w:shd w:val="clear" w:color="auto" w:fill="auto"/>
          </w:tcPr>
          <w:p w:rsidR="00EA45F9" w:rsidRPr="009B5734" w:rsidRDefault="00EA45F9" w:rsidP="00981615">
            <w:pPr>
              <w:pStyle w:val="Text2"/>
              <w:ind w:left="0" w:firstLine="0"/>
              <w:rPr>
                <w:noProof/>
              </w:rPr>
            </w:pPr>
          </w:p>
        </w:tc>
        <w:tc>
          <w:tcPr>
            <w:tcW w:w="1797"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Monetisable consumer welfare (present value for period 2025-2040)</w:t>
            </w:r>
          </w:p>
        </w:tc>
        <w:tc>
          <w:tcPr>
            <w:tcW w:w="1049"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7/10</w:t>
            </w:r>
          </w:p>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(EUR 435 – 760 million)</w:t>
            </w:r>
          </w:p>
        </w:tc>
        <w:tc>
          <w:tcPr>
            <w:tcW w:w="1050"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8/10</w:t>
            </w:r>
          </w:p>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(EUR 1 220 – 2 970 million)</w:t>
            </w:r>
          </w:p>
        </w:tc>
        <w:tc>
          <w:tcPr>
            <w:tcW w:w="1050"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6/10</w:t>
            </w:r>
          </w:p>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(EUR 115 - 250 million)</w:t>
            </w:r>
          </w:p>
        </w:tc>
        <w:tc>
          <w:tcPr>
            <w:tcW w:w="1050"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 xml:space="preserve"> 7/10</w:t>
            </w:r>
          </w:p>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(EUR 455 – 995 million)</w:t>
            </w:r>
          </w:p>
        </w:tc>
        <w:tc>
          <w:tcPr>
            <w:tcW w:w="1050" w:type="dxa"/>
            <w:shd w:val="clear" w:color="auto" w:fill="auto"/>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p>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7/10</w:t>
            </w:r>
            <w:r w:rsidRPr="009B5734">
              <w:rPr>
                <w:rStyle w:val="FootnoteReference"/>
                <w:noProof/>
              </w:rPr>
              <w:footnoteReference w:id="234"/>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787" w:type="dxa"/>
            <w:vMerge w:val="restart"/>
            <w:shd w:val="clear" w:color="auto" w:fill="auto"/>
          </w:tcPr>
          <w:p w:rsidR="00EA45F9" w:rsidRPr="009B5734" w:rsidRDefault="00EA45F9" w:rsidP="00981615">
            <w:pPr>
              <w:pStyle w:val="Text2"/>
              <w:ind w:left="0" w:firstLine="0"/>
              <w:rPr>
                <w:noProof/>
              </w:rPr>
            </w:pPr>
            <w:r w:rsidRPr="009B5734">
              <w:rPr>
                <w:noProof/>
              </w:rPr>
              <w:t>Impact on businesses</w:t>
            </w:r>
          </w:p>
        </w:tc>
        <w:tc>
          <w:tcPr>
            <w:tcW w:w="1797"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 xml:space="preserve">Level-playing field </w:t>
            </w:r>
          </w:p>
        </w:tc>
        <w:tc>
          <w:tcPr>
            <w:tcW w:w="1049"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5/10</w:t>
            </w:r>
          </w:p>
        </w:tc>
        <w:tc>
          <w:tcPr>
            <w:tcW w:w="1050"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5/10</w:t>
            </w:r>
          </w:p>
        </w:tc>
        <w:tc>
          <w:tcPr>
            <w:tcW w:w="1050"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4/10</w:t>
            </w:r>
          </w:p>
        </w:tc>
        <w:tc>
          <w:tcPr>
            <w:tcW w:w="1050"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5/10</w:t>
            </w:r>
          </w:p>
        </w:tc>
        <w:tc>
          <w:tcPr>
            <w:tcW w:w="1050" w:type="dxa"/>
            <w:shd w:val="clear" w:color="auto" w:fill="auto"/>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6/10</w:t>
            </w:r>
          </w:p>
        </w:tc>
      </w:tr>
      <w:tr w:rsidR="00EA45F9" w:rsidRPr="009B5734" w:rsidTr="00C84A99">
        <w:trPr>
          <w:trHeight w:val="518"/>
        </w:trPr>
        <w:tc>
          <w:tcPr>
            <w:cnfStyle w:val="001000000000" w:firstRow="0" w:lastRow="0" w:firstColumn="1" w:lastColumn="0" w:oddVBand="0" w:evenVBand="0" w:oddHBand="0" w:evenHBand="0" w:firstRowFirstColumn="0" w:firstRowLastColumn="0" w:lastRowFirstColumn="0" w:lastRowLastColumn="0"/>
            <w:tcW w:w="1787" w:type="dxa"/>
            <w:vMerge/>
            <w:shd w:val="clear" w:color="auto" w:fill="auto"/>
          </w:tcPr>
          <w:p w:rsidR="00EA45F9" w:rsidRPr="009B5734" w:rsidRDefault="00EA45F9" w:rsidP="00981615">
            <w:pPr>
              <w:pStyle w:val="Text2"/>
              <w:ind w:left="0" w:firstLine="0"/>
              <w:rPr>
                <w:noProof/>
              </w:rPr>
            </w:pPr>
          </w:p>
        </w:tc>
        <w:tc>
          <w:tcPr>
            <w:tcW w:w="1797"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Reduction of barriers to cross-border trade</w:t>
            </w:r>
          </w:p>
        </w:tc>
        <w:tc>
          <w:tcPr>
            <w:tcW w:w="1049"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6/10</w:t>
            </w:r>
          </w:p>
        </w:tc>
        <w:tc>
          <w:tcPr>
            <w:tcW w:w="1050"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6/10</w:t>
            </w:r>
          </w:p>
        </w:tc>
        <w:tc>
          <w:tcPr>
            <w:tcW w:w="1050"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3/10</w:t>
            </w:r>
          </w:p>
        </w:tc>
        <w:tc>
          <w:tcPr>
            <w:tcW w:w="1050"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7/10</w:t>
            </w:r>
          </w:p>
        </w:tc>
        <w:tc>
          <w:tcPr>
            <w:tcW w:w="1050" w:type="dxa"/>
            <w:shd w:val="clear" w:color="auto" w:fill="auto"/>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6/10</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787" w:type="dxa"/>
            <w:vMerge/>
            <w:shd w:val="clear" w:color="auto" w:fill="auto"/>
          </w:tcPr>
          <w:p w:rsidR="00EA45F9" w:rsidRPr="009B5734" w:rsidRDefault="00EA45F9" w:rsidP="00981615">
            <w:pPr>
              <w:pStyle w:val="Text2"/>
              <w:ind w:left="0" w:firstLine="0"/>
              <w:rPr>
                <w:noProof/>
              </w:rPr>
            </w:pPr>
          </w:p>
        </w:tc>
        <w:tc>
          <w:tcPr>
            <w:tcW w:w="1797"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Administrative burdens (present value for period 2025-2040)</w:t>
            </w:r>
          </w:p>
        </w:tc>
        <w:tc>
          <w:tcPr>
            <w:tcW w:w="1049"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 xml:space="preserve">EUR </w:t>
            </w:r>
            <w:r w:rsidRPr="009B5734">
              <w:rPr>
                <w:bCs/>
                <w:noProof/>
              </w:rPr>
              <w:t xml:space="preserve">785 – 935 </w:t>
            </w:r>
            <w:r w:rsidRPr="009B5734" w:rsidDel="00917126">
              <w:rPr>
                <w:noProof/>
              </w:rPr>
              <w:t>million</w:t>
            </w:r>
          </w:p>
        </w:tc>
        <w:tc>
          <w:tcPr>
            <w:tcW w:w="1050"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 xml:space="preserve">EUR </w:t>
            </w:r>
            <w:r w:rsidRPr="009B5734">
              <w:rPr>
                <w:bCs/>
                <w:noProof/>
              </w:rPr>
              <w:t>1 685 – 1 715</w:t>
            </w:r>
            <w:r w:rsidRPr="009B5734">
              <w:rPr>
                <w:b/>
                <w:noProof/>
              </w:rPr>
              <w:t xml:space="preserve"> </w:t>
            </w:r>
            <w:r w:rsidRPr="009B5734" w:rsidDel="00917126">
              <w:rPr>
                <w:noProof/>
              </w:rPr>
              <w:t>million</w:t>
            </w:r>
          </w:p>
        </w:tc>
        <w:tc>
          <w:tcPr>
            <w:tcW w:w="1050"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 xml:space="preserve">EUR 3 120 – 3 380 </w:t>
            </w:r>
            <w:r w:rsidRPr="009B5734" w:rsidDel="00917126">
              <w:rPr>
                <w:noProof/>
              </w:rPr>
              <w:t>million</w:t>
            </w:r>
          </w:p>
        </w:tc>
        <w:tc>
          <w:tcPr>
            <w:tcW w:w="1050"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 xml:space="preserve">EUR 4 180 – 4 360 </w:t>
            </w:r>
            <w:r w:rsidRPr="009B5734" w:rsidDel="00917126">
              <w:rPr>
                <w:noProof/>
              </w:rPr>
              <w:t>million</w:t>
            </w:r>
          </w:p>
        </w:tc>
        <w:tc>
          <w:tcPr>
            <w:tcW w:w="1050" w:type="dxa"/>
            <w:shd w:val="clear" w:color="auto" w:fill="auto"/>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 xml:space="preserve">EUR 222 </w:t>
            </w:r>
            <w:r w:rsidRPr="009B5734" w:rsidDel="00917126">
              <w:rPr>
                <w:noProof/>
              </w:rPr>
              <w:t>million</w:t>
            </w:r>
          </w:p>
        </w:tc>
      </w:tr>
      <w:tr w:rsidR="00EA45F9" w:rsidRPr="009B5734" w:rsidTr="00C84A99">
        <w:trPr>
          <w:trHeight w:val="518"/>
        </w:trPr>
        <w:tc>
          <w:tcPr>
            <w:cnfStyle w:val="001000000000" w:firstRow="0" w:lastRow="0" w:firstColumn="1" w:lastColumn="0" w:oddVBand="0" w:evenVBand="0" w:oddHBand="0" w:evenHBand="0" w:firstRowFirstColumn="0" w:firstRowLastColumn="0" w:lastRowFirstColumn="0" w:lastRowLastColumn="0"/>
            <w:tcW w:w="1787" w:type="dxa"/>
            <w:vMerge/>
            <w:shd w:val="clear" w:color="auto" w:fill="auto"/>
          </w:tcPr>
          <w:p w:rsidR="00EA45F9" w:rsidRPr="009B5734" w:rsidRDefault="00EA45F9" w:rsidP="00981615">
            <w:pPr>
              <w:pStyle w:val="Text2"/>
              <w:ind w:left="0" w:firstLine="0"/>
              <w:rPr>
                <w:noProof/>
              </w:rPr>
            </w:pPr>
          </w:p>
        </w:tc>
        <w:tc>
          <w:tcPr>
            <w:tcW w:w="1797"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Substantive compliance costs (present value in EUR for period 2025-2040)</w:t>
            </w:r>
          </w:p>
        </w:tc>
        <w:tc>
          <w:tcPr>
            <w:tcW w:w="1049" w:type="dxa"/>
            <w:shd w:val="clear" w:color="auto" w:fill="auto"/>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p>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0</w:t>
            </w:r>
          </w:p>
        </w:tc>
        <w:tc>
          <w:tcPr>
            <w:tcW w:w="1050" w:type="dxa"/>
            <w:shd w:val="clear" w:color="auto" w:fill="auto"/>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p>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0</w:t>
            </w:r>
          </w:p>
        </w:tc>
        <w:tc>
          <w:tcPr>
            <w:tcW w:w="1050" w:type="dxa"/>
            <w:shd w:val="clear" w:color="auto" w:fill="auto"/>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p>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0</w:t>
            </w:r>
          </w:p>
        </w:tc>
        <w:tc>
          <w:tcPr>
            <w:tcW w:w="1050" w:type="dxa"/>
            <w:shd w:val="clear" w:color="auto" w:fill="auto"/>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p>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0</w:t>
            </w:r>
          </w:p>
        </w:tc>
        <w:tc>
          <w:tcPr>
            <w:tcW w:w="1050" w:type="dxa"/>
            <w:shd w:val="clear" w:color="auto" w:fill="auto"/>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p>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0</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787" w:type="dxa"/>
            <w:vMerge/>
            <w:shd w:val="clear" w:color="auto" w:fill="auto"/>
          </w:tcPr>
          <w:p w:rsidR="00EA45F9" w:rsidRPr="009B5734" w:rsidRDefault="00EA45F9" w:rsidP="00981615">
            <w:pPr>
              <w:pStyle w:val="Text2"/>
              <w:ind w:left="0" w:firstLine="0"/>
              <w:rPr>
                <w:noProof/>
              </w:rPr>
            </w:pPr>
          </w:p>
        </w:tc>
        <w:tc>
          <w:tcPr>
            <w:tcW w:w="1797"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Indirect costs</w:t>
            </w:r>
          </w:p>
        </w:tc>
        <w:tc>
          <w:tcPr>
            <w:tcW w:w="1049" w:type="dxa"/>
            <w:shd w:val="clear" w:color="auto" w:fill="auto"/>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 xml:space="preserve"> 5/10</w:t>
            </w:r>
          </w:p>
        </w:tc>
        <w:tc>
          <w:tcPr>
            <w:tcW w:w="1050" w:type="dxa"/>
            <w:shd w:val="clear" w:color="auto" w:fill="auto"/>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5/10</w:t>
            </w:r>
          </w:p>
        </w:tc>
        <w:tc>
          <w:tcPr>
            <w:tcW w:w="1050" w:type="dxa"/>
            <w:shd w:val="clear" w:color="auto" w:fill="auto"/>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5/10</w:t>
            </w:r>
          </w:p>
        </w:tc>
        <w:tc>
          <w:tcPr>
            <w:tcW w:w="1050" w:type="dxa"/>
            <w:shd w:val="clear" w:color="auto" w:fill="auto"/>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5/10</w:t>
            </w:r>
          </w:p>
        </w:tc>
        <w:tc>
          <w:tcPr>
            <w:tcW w:w="1050" w:type="dxa"/>
            <w:shd w:val="clear" w:color="auto" w:fill="auto"/>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5/10</w:t>
            </w:r>
          </w:p>
        </w:tc>
      </w:tr>
      <w:tr w:rsidR="00EA45F9" w:rsidRPr="009B5734" w:rsidTr="00C84A99">
        <w:trPr>
          <w:trHeight w:val="518"/>
        </w:trPr>
        <w:tc>
          <w:tcPr>
            <w:cnfStyle w:val="001000000000" w:firstRow="0" w:lastRow="0" w:firstColumn="1" w:lastColumn="0" w:oddVBand="0" w:evenVBand="0" w:oddHBand="0" w:evenHBand="0" w:firstRowFirstColumn="0" w:firstRowLastColumn="0" w:lastRowFirstColumn="0" w:lastRowLastColumn="0"/>
            <w:tcW w:w="1787" w:type="dxa"/>
            <w:vMerge/>
            <w:shd w:val="clear" w:color="auto" w:fill="auto"/>
          </w:tcPr>
          <w:p w:rsidR="00EA45F9" w:rsidRPr="009B5734" w:rsidRDefault="00EA45F9" w:rsidP="00981615">
            <w:pPr>
              <w:pStyle w:val="Text2"/>
              <w:ind w:left="0" w:firstLine="0"/>
              <w:rPr>
                <w:noProof/>
              </w:rPr>
            </w:pPr>
          </w:p>
        </w:tc>
        <w:tc>
          <w:tcPr>
            <w:tcW w:w="1797"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SME growth</w:t>
            </w:r>
          </w:p>
        </w:tc>
        <w:tc>
          <w:tcPr>
            <w:tcW w:w="1049"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5/10</w:t>
            </w:r>
          </w:p>
        </w:tc>
        <w:tc>
          <w:tcPr>
            <w:tcW w:w="1050"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5/10</w:t>
            </w:r>
          </w:p>
        </w:tc>
        <w:tc>
          <w:tcPr>
            <w:tcW w:w="1050"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4/10</w:t>
            </w:r>
          </w:p>
        </w:tc>
        <w:tc>
          <w:tcPr>
            <w:tcW w:w="1050"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4/10</w:t>
            </w:r>
          </w:p>
        </w:tc>
        <w:tc>
          <w:tcPr>
            <w:tcW w:w="1050" w:type="dxa"/>
            <w:shd w:val="clear" w:color="auto" w:fill="auto"/>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5/10</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787" w:type="dxa"/>
            <w:shd w:val="clear" w:color="auto" w:fill="auto"/>
          </w:tcPr>
          <w:p w:rsidR="00EA45F9" w:rsidRPr="009B5734" w:rsidRDefault="00EA45F9" w:rsidP="00981615">
            <w:pPr>
              <w:pStyle w:val="Text2"/>
              <w:ind w:left="0" w:firstLine="0"/>
              <w:rPr>
                <w:noProof/>
              </w:rPr>
            </w:pPr>
            <w:r w:rsidRPr="009B5734">
              <w:rPr>
                <w:noProof/>
              </w:rPr>
              <w:t>Impacts on public administration</w:t>
            </w:r>
          </w:p>
        </w:tc>
        <w:tc>
          <w:tcPr>
            <w:tcW w:w="1797"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Enforcement costs and other costs (present value for period 2025-2040)</w:t>
            </w:r>
          </w:p>
        </w:tc>
        <w:tc>
          <w:tcPr>
            <w:tcW w:w="1049"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 xml:space="preserve">EUR 16-21 </w:t>
            </w:r>
            <w:r w:rsidRPr="009B5734" w:rsidDel="00B70A70">
              <w:rPr>
                <w:noProof/>
              </w:rPr>
              <w:t>million</w:t>
            </w:r>
          </w:p>
        </w:tc>
        <w:tc>
          <w:tcPr>
            <w:tcW w:w="1050"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 xml:space="preserve">EUR 16-21 </w:t>
            </w:r>
            <w:r w:rsidRPr="009B5734" w:rsidDel="00B70A70">
              <w:rPr>
                <w:noProof/>
              </w:rPr>
              <w:t>million</w:t>
            </w:r>
          </w:p>
        </w:tc>
        <w:tc>
          <w:tcPr>
            <w:tcW w:w="1050"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 xml:space="preserve">EUR </w:t>
            </w:r>
          </w:p>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 xml:space="preserve">8-13 </w:t>
            </w:r>
            <w:r w:rsidRPr="009B5734" w:rsidDel="00B70A70">
              <w:rPr>
                <w:noProof/>
              </w:rPr>
              <w:t>million</w:t>
            </w:r>
          </w:p>
        </w:tc>
        <w:tc>
          <w:tcPr>
            <w:tcW w:w="1050"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 xml:space="preserve">EUR 32-37 </w:t>
            </w:r>
            <w:r w:rsidRPr="009B5734" w:rsidDel="00B70A70">
              <w:rPr>
                <w:noProof/>
              </w:rPr>
              <w:t>million</w:t>
            </w:r>
          </w:p>
        </w:tc>
        <w:tc>
          <w:tcPr>
            <w:tcW w:w="1050" w:type="dxa"/>
            <w:shd w:val="clear" w:color="auto" w:fill="auto"/>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p>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EUR</w:t>
            </w:r>
          </w:p>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0.12 million</w:t>
            </w:r>
          </w:p>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p>
        </w:tc>
      </w:tr>
      <w:tr w:rsidR="00EA45F9" w:rsidRPr="009B5734" w:rsidTr="00C84A99">
        <w:trPr>
          <w:trHeight w:val="518"/>
        </w:trPr>
        <w:tc>
          <w:tcPr>
            <w:cnfStyle w:val="001000000000" w:firstRow="0" w:lastRow="0" w:firstColumn="1" w:lastColumn="0" w:oddVBand="0" w:evenVBand="0" w:oddHBand="0" w:evenHBand="0" w:firstRowFirstColumn="0" w:firstRowLastColumn="0" w:lastRowFirstColumn="0" w:lastRowLastColumn="0"/>
            <w:tcW w:w="1787" w:type="dxa"/>
            <w:vMerge w:val="restart"/>
            <w:shd w:val="clear" w:color="auto" w:fill="auto"/>
          </w:tcPr>
          <w:p w:rsidR="00EA45F9" w:rsidRPr="009B5734" w:rsidRDefault="00EA45F9" w:rsidP="00981615">
            <w:pPr>
              <w:pStyle w:val="Text2"/>
              <w:ind w:left="0" w:firstLine="0"/>
              <w:rPr>
                <w:noProof/>
              </w:rPr>
            </w:pPr>
            <w:r w:rsidRPr="009B5734">
              <w:rPr>
                <w:noProof/>
              </w:rPr>
              <w:t>Environmental impacts</w:t>
            </w:r>
          </w:p>
        </w:tc>
        <w:tc>
          <w:tcPr>
            <w:tcW w:w="1797"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Climate change (present value for period 2025-2040)</w:t>
            </w:r>
          </w:p>
        </w:tc>
        <w:tc>
          <w:tcPr>
            <w:tcW w:w="1049"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 xml:space="preserve">EUR 19-33 </w:t>
            </w:r>
            <w:r w:rsidRPr="009B5734" w:rsidDel="00B70A70">
              <w:rPr>
                <w:noProof/>
              </w:rPr>
              <w:t>million</w:t>
            </w:r>
          </w:p>
        </w:tc>
        <w:tc>
          <w:tcPr>
            <w:tcW w:w="1050"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 xml:space="preserve">EUR </w:t>
            </w:r>
          </w:p>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 xml:space="preserve">39-68 </w:t>
            </w:r>
            <w:r w:rsidRPr="009B5734" w:rsidDel="00B70A70">
              <w:rPr>
                <w:noProof/>
              </w:rPr>
              <w:t>million</w:t>
            </w:r>
          </w:p>
        </w:tc>
        <w:tc>
          <w:tcPr>
            <w:tcW w:w="1050"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 xml:space="preserve">EUR </w:t>
            </w:r>
          </w:p>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 xml:space="preserve">1-2 </w:t>
            </w:r>
            <w:r w:rsidRPr="009B5734" w:rsidDel="00B70A70">
              <w:rPr>
                <w:noProof/>
              </w:rPr>
              <w:t>million</w:t>
            </w:r>
          </w:p>
        </w:tc>
        <w:tc>
          <w:tcPr>
            <w:tcW w:w="1050"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 xml:space="preserve">EUR 52-78 </w:t>
            </w:r>
            <w:r w:rsidRPr="009B5734" w:rsidDel="00B70A70">
              <w:rPr>
                <w:noProof/>
              </w:rPr>
              <w:t>million</w:t>
            </w:r>
          </w:p>
        </w:tc>
        <w:tc>
          <w:tcPr>
            <w:tcW w:w="1050" w:type="dxa"/>
            <w:shd w:val="clear" w:color="auto" w:fill="auto"/>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sidDel="00B70A70">
              <w:rPr>
                <w:noProof/>
              </w:rPr>
              <w:t>&gt;0</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787" w:type="dxa"/>
            <w:vMerge/>
            <w:shd w:val="clear" w:color="auto" w:fill="auto"/>
          </w:tcPr>
          <w:p w:rsidR="00EA45F9" w:rsidRPr="009B5734" w:rsidRDefault="00EA45F9" w:rsidP="00981615">
            <w:pPr>
              <w:pStyle w:val="Text2"/>
              <w:ind w:left="0" w:firstLine="0"/>
              <w:rPr>
                <w:noProof/>
              </w:rPr>
            </w:pPr>
          </w:p>
        </w:tc>
        <w:tc>
          <w:tcPr>
            <w:tcW w:w="1797"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Other environmental impacts</w:t>
            </w:r>
          </w:p>
        </w:tc>
        <w:tc>
          <w:tcPr>
            <w:tcW w:w="1049"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7/10</w:t>
            </w:r>
          </w:p>
        </w:tc>
        <w:tc>
          <w:tcPr>
            <w:tcW w:w="1050"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7/10</w:t>
            </w:r>
          </w:p>
        </w:tc>
        <w:tc>
          <w:tcPr>
            <w:tcW w:w="1050"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6/10</w:t>
            </w:r>
          </w:p>
        </w:tc>
        <w:tc>
          <w:tcPr>
            <w:tcW w:w="1050"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7/10</w:t>
            </w:r>
          </w:p>
        </w:tc>
        <w:tc>
          <w:tcPr>
            <w:tcW w:w="1050" w:type="dxa"/>
            <w:shd w:val="clear" w:color="auto" w:fill="auto"/>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7/10</w:t>
            </w:r>
          </w:p>
        </w:tc>
      </w:tr>
      <w:tr w:rsidR="00EA45F9" w:rsidRPr="009B5734" w:rsidTr="00C84A99">
        <w:trPr>
          <w:trHeight w:val="518"/>
        </w:trPr>
        <w:tc>
          <w:tcPr>
            <w:cnfStyle w:val="001000000000" w:firstRow="0" w:lastRow="0" w:firstColumn="1" w:lastColumn="0" w:oddVBand="0" w:evenVBand="0" w:oddHBand="0" w:evenHBand="0" w:firstRowFirstColumn="0" w:firstRowLastColumn="0" w:lastRowFirstColumn="0" w:lastRowLastColumn="0"/>
            <w:tcW w:w="1787" w:type="dxa"/>
            <w:shd w:val="clear" w:color="auto" w:fill="auto"/>
          </w:tcPr>
          <w:p w:rsidR="00EA45F9" w:rsidRPr="009B5734" w:rsidRDefault="00EA45F9" w:rsidP="00981615">
            <w:pPr>
              <w:pStyle w:val="Text2"/>
              <w:ind w:left="0" w:firstLine="0"/>
              <w:rPr>
                <w:noProof/>
              </w:rPr>
            </w:pPr>
            <w:r w:rsidRPr="009B5734">
              <w:rPr>
                <w:noProof/>
              </w:rPr>
              <w:t>Coherence</w:t>
            </w:r>
          </w:p>
        </w:tc>
        <w:tc>
          <w:tcPr>
            <w:tcW w:w="1797"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Coherence with other EU legislation</w:t>
            </w:r>
          </w:p>
        </w:tc>
        <w:tc>
          <w:tcPr>
            <w:tcW w:w="1049"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8/10</w:t>
            </w:r>
          </w:p>
        </w:tc>
        <w:tc>
          <w:tcPr>
            <w:tcW w:w="1050"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8/10</w:t>
            </w:r>
          </w:p>
        </w:tc>
        <w:tc>
          <w:tcPr>
            <w:tcW w:w="1050"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8/10</w:t>
            </w:r>
          </w:p>
        </w:tc>
        <w:tc>
          <w:tcPr>
            <w:tcW w:w="1050"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8/10</w:t>
            </w:r>
          </w:p>
        </w:tc>
        <w:tc>
          <w:tcPr>
            <w:tcW w:w="1050" w:type="dxa"/>
            <w:shd w:val="clear" w:color="auto" w:fill="auto"/>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9/10</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787" w:type="dxa"/>
            <w:vMerge w:val="restart"/>
            <w:shd w:val="clear" w:color="auto" w:fill="auto"/>
          </w:tcPr>
          <w:p w:rsidR="00EA45F9" w:rsidRPr="009B5734" w:rsidRDefault="00EA45F9" w:rsidP="00981615">
            <w:pPr>
              <w:pStyle w:val="Text2"/>
              <w:ind w:left="0" w:firstLine="0"/>
              <w:rPr>
                <w:noProof/>
              </w:rPr>
            </w:pPr>
            <w:r w:rsidRPr="009B5734">
              <w:rPr>
                <w:noProof/>
              </w:rPr>
              <w:t>Overarching impacts</w:t>
            </w:r>
          </w:p>
        </w:tc>
        <w:tc>
          <w:tcPr>
            <w:tcW w:w="1797"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Circularity and sustainable consumption</w:t>
            </w:r>
          </w:p>
        </w:tc>
        <w:tc>
          <w:tcPr>
            <w:tcW w:w="1049"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7/10</w:t>
            </w:r>
          </w:p>
        </w:tc>
        <w:tc>
          <w:tcPr>
            <w:tcW w:w="1050"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7/10</w:t>
            </w:r>
          </w:p>
        </w:tc>
        <w:tc>
          <w:tcPr>
            <w:tcW w:w="1050"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6/10</w:t>
            </w:r>
          </w:p>
        </w:tc>
        <w:tc>
          <w:tcPr>
            <w:tcW w:w="1050"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7/10</w:t>
            </w:r>
          </w:p>
        </w:tc>
        <w:tc>
          <w:tcPr>
            <w:tcW w:w="1050" w:type="dxa"/>
            <w:shd w:val="clear" w:color="auto" w:fill="auto"/>
          </w:tcPr>
          <w:p w:rsidR="00EA45F9" w:rsidRPr="009B5734" w:rsidRDefault="00932EEA"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7</w:t>
            </w:r>
            <w:r w:rsidR="00EA45F9" w:rsidRPr="009B5734">
              <w:rPr>
                <w:noProof/>
              </w:rPr>
              <w:t>/10</w:t>
            </w:r>
          </w:p>
        </w:tc>
      </w:tr>
      <w:tr w:rsidR="00EA45F9" w:rsidRPr="009B5734" w:rsidTr="00C84A99">
        <w:trPr>
          <w:trHeight w:val="518"/>
        </w:trPr>
        <w:tc>
          <w:tcPr>
            <w:cnfStyle w:val="001000000000" w:firstRow="0" w:lastRow="0" w:firstColumn="1" w:lastColumn="0" w:oddVBand="0" w:evenVBand="0" w:oddHBand="0" w:evenHBand="0" w:firstRowFirstColumn="0" w:firstRowLastColumn="0" w:lastRowFirstColumn="0" w:lastRowLastColumn="0"/>
            <w:tcW w:w="1787" w:type="dxa"/>
            <w:vMerge/>
            <w:shd w:val="clear" w:color="auto" w:fill="auto"/>
          </w:tcPr>
          <w:p w:rsidR="00EA45F9" w:rsidRPr="009B5734" w:rsidRDefault="00EA45F9" w:rsidP="00981615">
            <w:pPr>
              <w:pStyle w:val="Text2"/>
              <w:ind w:left="0" w:firstLine="0"/>
              <w:rPr>
                <w:noProof/>
              </w:rPr>
            </w:pPr>
          </w:p>
        </w:tc>
        <w:tc>
          <w:tcPr>
            <w:tcW w:w="1797"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Application of the EU legal framework</w:t>
            </w:r>
          </w:p>
        </w:tc>
        <w:tc>
          <w:tcPr>
            <w:tcW w:w="1049"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5/10</w:t>
            </w:r>
          </w:p>
        </w:tc>
        <w:tc>
          <w:tcPr>
            <w:tcW w:w="1050"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5/10</w:t>
            </w:r>
          </w:p>
        </w:tc>
        <w:tc>
          <w:tcPr>
            <w:tcW w:w="1050"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4/10</w:t>
            </w:r>
          </w:p>
        </w:tc>
        <w:tc>
          <w:tcPr>
            <w:tcW w:w="1050"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4/10</w:t>
            </w:r>
          </w:p>
        </w:tc>
        <w:tc>
          <w:tcPr>
            <w:tcW w:w="1050" w:type="dxa"/>
            <w:shd w:val="clear" w:color="auto" w:fill="auto"/>
          </w:tcPr>
          <w:p w:rsidR="00EA45F9" w:rsidRPr="009B5734" w:rsidRDefault="00932EEA"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6</w:t>
            </w:r>
            <w:r w:rsidR="00EA45F9" w:rsidRPr="009B5734">
              <w:rPr>
                <w:noProof/>
              </w:rPr>
              <w:t>/10</w:t>
            </w:r>
          </w:p>
        </w:tc>
      </w:tr>
    </w:tbl>
    <w:p w:rsidR="00EA45F9" w:rsidRPr="009B5734" w:rsidRDefault="00EA45F9" w:rsidP="00EA45F9">
      <w:pPr>
        <w:ind w:left="0" w:firstLine="0"/>
        <w:rPr>
          <w:noProof/>
        </w:rPr>
      </w:pPr>
    </w:p>
    <w:p w:rsidR="00EA45F9" w:rsidRPr="009B5734" w:rsidRDefault="00A00208" w:rsidP="00A00208">
      <w:pPr>
        <w:pStyle w:val="Heading2"/>
        <w:rPr>
          <w:noProof/>
        </w:rPr>
      </w:pPr>
      <w:bookmarkStart w:id="698" w:name="_Toc60734118"/>
      <w:bookmarkStart w:id="699" w:name="_Toc75441008"/>
      <w:bookmarkStart w:id="700" w:name="_Toc75447007"/>
      <w:bookmarkStart w:id="701" w:name="_Toc75448880"/>
      <w:bookmarkStart w:id="702" w:name="_Toc77844268"/>
      <w:bookmarkStart w:id="703" w:name="_Toc86391771"/>
      <w:r w:rsidRPr="00A00208">
        <w:t>2.</w:t>
      </w:r>
      <w:r w:rsidRPr="00A00208">
        <w:tab/>
      </w:r>
      <w:r w:rsidR="00EA45F9" w:rsidRPr="009B5734">
        <w:rPr>
          <w:noProof/>
        </w:rPr>
        <w:t xml:space="preserve">Problem 2: Consumers face </w:t>
      </w:r>
      <w:r w:rsidR="00B73C39">
        <w:rPr>
          <w:noProof/>
        </w:rPr>
        <w:t>misleading commercial</w:t>
      </w:r>
      <w:r w:rsidR="00EA45F9" w:rsidRPr="009B5734">
        <w:rPr>
          <w:noProof/>
        </w:rPr>
        <w:t xml:space="preserve"> practices</w:t>
      </w:r>
      <w:bookmarkEnd w:id="698"/>
      <w:bookmarkEnd w:id="699"/>
      <w:bookmarkEnd w:id="700"/>
      <w:bookmarkEnd w:id="701"/>
      <w:r w:rsidR="00B73C39">
        <w:rPr>
          <w:noProof/>
        </w:rPr>
        <w:t xml:space="preserve"> </w:t>
      </w:r>
      <w:r w:rsidR="0080633B">
        <w:rPr>
          <w:noProof/>
        </w:rPr>
        <w:t>related</w:t>
      </w:r>
      <w:r w:rsidR="00B73C39">
        <w:rPr>
          <w:noProof/>
        </w:rPr>
        <w:t xml:space="preserve"> to </w:t>
      </w:r>
      <w:r w:rsidR="0080633B">
        <w:rPr>
          <w:noProof/>
        </w:rPr>
        <w:t>the sustainability of products</w:t>
      </w:r>
      <w:bookmarkEnd w:id="702"/>
      <w:bookmarkEnd w:id="703"/>
    </w:p>
    <w:p w:rsidR="00EA45F9" w:rsidRPr="009B5734" w:rsidRDefault="00A00208" w:rsidP="00A00208">
      <w:pPr>
        <w:pStyle w:val="Heading4"/>
        <w:rPr>
          <w:noProof/>
        </w:rPr>
      </w:pPr>
      <w:bookmarkStart w:id="704" w:name="_Toc60734119"/>
      <w:bookmarkStart w:id="705" w:name="_Toc75441009"/>
      <w:bookmarkStart w:id="706" w:name="_Toc75447008"/>
      <w:bookmarkStart w:id="707" w:name="_Toc75448881"/>
      <w:r w:rsidRPr="00A00208">
        <w:t>2.1.</w:t>
      </w:r>
      <w:r w:rsidRPr="00A00208">
        <w:tab/>
      </w:r>
      <w:r w:rsidR="00EA45F9" w:rsidRPr="009B5734">
        <w:rPr>
          <w:noProof/>
        </w:rPr>
        <w:t>Sub-Problem 2.1: Consumers are sold products that do not last as long as they should and consumers expect</w:t>
      </w:r>
      <w:bookmarkEnd w:id="704"/>
      <w:bookmarkEnd w:id="705"/>
      <w:bookmarkEnd w:id="706"/>
      <w:bookmarkEnd w:id="707"/>
    </w:p>
    <w:p w:rsidR="00EA45F9" w:rsidRPr="009B5734" w:rsidRDefault="00EA45F9" w:rsidP="00EA45F9">
      <w:pPr>
        <w:pStyle w:val="Heading5"/>
        <w:rPr>
          <w:rFonts w:ascii="Times New Roman" w:hAnsi="Times New Roman" w:cs="Times New Roman"/>
          <w:i w:val="0"/>
          <w:noProof/>
          <w:sz w:val="24"/>
        </w:rPr>
      </w:pPr>
      <w:bookmarkStart w:id="708" w:name="_Toc75441010"/>
      <w:bookmarkStart w:id="709" w:name="_Toc75447009"/>
      <w:bookmarkStart w:id="710" w:name="_Toc75448882"/>
      <w:bookmarkStart w:id="711" w:name="_Toc60734120"/>
      <w:r w:rsidRPr="009B5734">
        <w:rPr>
          <w:rFonts w:ascii="Times New Roman" w:hAnsi="Times New Roman" w:cs="Times New Roman"/>
          <w:i w:val="0"/>
          <w:noProof/>
          <w:sz w:val="24"/>
        </w:rPr>
        <w:t>Assessment of the options</w:t>
      </w:r>
      <w:bookmarkEnd w:id="708"/>
      <w:bookmarkEnd w:id="709"/>
      <w:bookmarkEnd w:id="710"/>
    </w:p>
    <w:p w:rsidR="00EA45F9" w:rsidRPr="009B5734" w:rsidRDefault="00EA45F9" w:rsidP="00EA45F9">
      <w:pPr>
        <w:rPr>
          <w:noProof/>
        </w:rPr>
      </w:pPr>
    </w:p>
    <w:tbl>
      <w:tblPr>
        <w:tblStyle w:val="GridTable1Light-Accent2"/>
        <w:tblW w:w="0" w:type="auto"/>
        <w:tblLook w:val="04A0" w:firstRow="1" w:lastRow="0" w:firstColumn="1" w:lastColumn="0" w:noHBand="0" w:noVBand="1"/>
      </w:tblPr>
      <w:tblGrid>
        <w:gridCol w:w="8607"/>
      </w:tblGrid>
      <w:tr w:rsidR="00B30A0F" w:rsidRPr="009B5734" w:rsidTr="00C84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right w:val="single" w:sz="4" w:space="0" w:color="E5B8B7" w:themeColor="accent2" w:themeTint="66"/>
            </w:tcBorders>
            <w:shd w:val="clear" w:color="auto" w:fill="E5B8B7" w:themeFill="accent2" w:themeFillTint="66"/>
            <w:hideMark/>
          </w:tcPr>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Option 2.1.A: Collection of evidence on early failures of products identified by authorised entities</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consumers: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Quality of decision-making: </w:t>
            </w:r>
            <w:r w:rsidRPr="009B5734">
              <w:rPr>
                <w:rFonts w:ascii="Times New Roman" w:hAnsi="Times New Roman" w:cs="Times New Roman"/>
                <w:b w:val="0"/>
                <w:noProof/>
                <w:sz w:val="24"/>
              </w:rPr>
              <w:t>The option is expected to help consumers become aware of possible problems with certain products and therefore take more informed decisions.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b w:val="0"/>
                <w:noProof/>
                <w:sz w:val="24"/>
              </w:rPr>
              <w:t>The effectiveness of the option might be reduced by the fact that the consumers will have to actively look for the information on the websites of third parties (for instance, consumer organisations or market monitoring public bodies that are assigned by the MS).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b w:val="0"/>
                <w:noProof/>
                <w:sz w:val="24"/>
              </w:rPr>
              <w:t>Furthermore, the option does not require third parties to consistently record evidence of early failures of products present in the market. It only requires third parties to communicate it if they have recorded it. This means that the share of products effectively covered will depend on voluntary actions and that the sample of products covered might not be fully balanced. (6/10)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Consumer protection: </w:t>
            </w:r>
            <w:r w:rsidRPr="009B5734">
              <w:rPr>
                <w:rFonts w:ascii="Times New Roman" w:hAnsi="Times New Roman" w:cs="Times New Roman"/>
                <w:b w:val="0"/>
                <w:noProof/>
                <w:sz w:val="24"/>
              </w:rPr>
              <w:t>This option contributes to protecting consumers from unknowingly purchasing products that are likely to fail earlier than they would expect. (6/10)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Consumer trust: </w:t>
            </w:r>
            <w:r w:rsidRPr="009B5734">
              <w:rPr>
                <w:rFonts w:ascii="Times New Roman" w:hAnsi="Times New Roman" w:cs="Times New Roman"/>
                <w:b w:val="0"/>
                <w:noProof/>
                <w:sz w:val="24"/>
              </w:rPr>
              <w:t>This option will increase the consumer trust in the market as it increases transparency regarding possible problems with certain products.  (6/10)</w:t>
            </w:r>
          </w:p>
          <w:p w:rsidR="00EA45F9" w:rsidRPr="00D74A7C" w:rsidRDefault="00EA45F9">
            <w:pPr>
              <w:ind w:left="0" w:firstLine="0"/>
              <w:rPr>
                <w:rFonts w:ascii="Times New Roman" w:hAnsi="Times New Roman" w:cs="Times New Roman"/>
                <w:b w:val="0"/>
                <w:noProof/>
                <w:sz w:val="24"/>
                <w:szCs w:val="24"/>
              </w:rPr>
            </w:pPr>
            <w:r w:rsidRPr="005D24D2">
              <w:rPr>
                <w:rFonts w:ascii="Times New Roman" w:hAnsi="Times New Roman" w:cs="Times New Roman"/>
                <w:noProof/>
                <w:sz w:val="24"/>
                <w:szCs w:val="24"/>
              </w:rPr>
              <w:t xml:space="preserve">Monetisable Consumer welfare: </w:t>
            </w:r>
            <w:r w:rsidRPr="00D74A7C">
              <w:rPr>
                <w:rFonts w:ascii="Times New Roman" w:hAnsi="Times New Roman" w:cs="Times New Roman"/>
                <w:b w:val="0"/>
                <w:noProof/>
                <w:sz w:val="24"/>
                <w:szCs w:val="24"/>
              </w:rPr>
              <w:t>Evidence collected i</w:t>
            </w:r>
            <w:r w:rsidRPr="00D74A7C">
              <w:rPr>
                <w:rFonts w:ascii="Times New Roman" w:hAnsi="Times New Roman" w:cs="Times New Roman"/>
                <w:b w:val="0"/>
                <w:bCs w:val="0"/>
                <w:noProof/>
                <w:sz w:val="24"/>
                <w:szCs w:val="24"/>
              </w:rPr>
              <w:t>n the context of this study indicate that a share of products fails before what could be reasonably expected</w:t>
            </w:r>
            <w:r w:rsidRPr="00D74A7C">
              <w:rPr>
                <w:rStyle w:val="FootnoteReference"/>
                <w:rFonts w:ascii="Times New Roman" w:hAnsi="Times New Roman" w:cs="Times New Roman"/>
                <w:b w:val="0"/>
                <w:bCs w:val="0"/>
                <w:noProof/>
                <w:sz w:val="24"/>
                <w:szCs w:val="24"/>
              </w:rPr>
              <w:footnoteReference w:id="235"/>
            </w:r>
            <w:r w:rsidRPr="00D74A7C">
              <w:rPr>
                <w:rFonts w:ascii="Times New Roman" w:hAnsi="Times New Roman" w:cs="Times New Roman"/>
                <w:b w:val="0"/>
                <w:bCs w:val="0"/>
                <w:noProof/>
                <w:sz w:val="24"/>
                <w:szCs w:val="24"/>
              </w:rPr>
              <w:t xml:space="preserve">, causing personal consumer detriment. As such </w:t>
            </w:r>
            <w:r w:rsidRPr="00D74A7C">
              <w:rPr>
                <w:rFonts w:ascii="Times New Roman" w:hAnsi="Times New Roman" w:cs="Times New Roman"/>
                <w:b w:val="0"/>
                <w:noProof/>
                <w:sz w:val="24"/>
                <w:szCs w:val="24"/>
              </w:rPr>
              <w:t>this option is expected to lead to an increase in the consumer surplus, which is estimated to amount to EUR 100-180 million (present value for the period 2025-2040) as consumers will avoid product that would fail earlier than they expect. (</w:t>
            </w:r>
            <w:r w:rsidR="00542C1F" w:rsidRPr="00D74A7C">
              <w:rPr>
                <w:rFonts w:ascii="Times New Roman" w:hAnsi="Times New Roman" w:cs="Times New Roman"/>
                <w:b w:val="0"/>
                <w:noProof/>
                <w:sz w:val="24"/>
                <w:szCs w:val="24"/>
              </w:rPr>
              <w:t>6</w:t>
            </w:r>
            <w:r w:rsidRPr="00D74A7C">
              <w:rPr>
                <w:rFonts w:ascii="Times New Roman" w:hAnsi="Times New Roman" w:cs="Times New Roman"/>
                <w:b w:val="0"/>
                <w:noProof/>
                <w:sz w:val="24"/>
                <w:szCs w:val="24"/>
              </w:rPr>
              <w:t>/10)</w:t>
            </w:r>
          </w:p>
          <w:p w:rsidR="00EA45F9" w:rsidRPr="009B5734" w:rsidRDefault="00EA45F9" w:rsidP="00981615">
            <w:pPr>
              <w:ind w:left="0" w:firstLine="0"/>
              <w:rPr>
                <w:rFonts w:ascii="Times New Roman" w:hAnsi="Times New Roman" w:cs="Times New Roman"/>
                <w:noProof/>
                <w:sz w:val="24"/>
              </w:rPr>
            </w:pP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businesses: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Level-playing field: </w:t>
            </w:r>
            <w:r w:rsidRPr="009B5734">
              <w:rPr>
                <w:rFonts w:ascii="Times New Roman" w:hAnsi="Times New Roman" w:cs="Times New Roman"/>
                <w:b w:val="0"/>
                <w:noProof/>
                <w:sz w:val="24"/>
              </w:rPr>
              <w:t>The option is expected to have an impact on the level playing field. However, issues related to possible incomprehensive and unbalanced coverage might limit this impact and some third parties might be more active than others. Nevertheless, cooperation between the assigned third parties in different Member States may limit costs and allows for specialisation (e.g. on certain product categories). (7/10)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Reduction of barriers to cross-border trade: </w:t>
            </w:r>
            <w:r w:rsidRPr="009B5734">
              <w:rPr>
                <w:rFonts w:ascii="Times New Roman" w:hAnsi="Times New Roman" w:cs="Times New Roman"/>
                <w:b w:val="0"/>
                <w:noProof/>
                <w:sz w:val="24"/>
              </w:rPr>
              <w:t>The option is expected to have some impact on barriers to cross-border trade, as in the future, it is expected that some Member States will independently legislate on this if no EU level legislation is in place. A harmonised approach to inform consumers about possible evidence of early failure will therefore contribute to a more consistent approach and avoid duplication. (7/10)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Administrative burdens: </w:t>
            </w:r>
            <w:r w:rsidRPr="009B5734">
              <w:rPr>
                <w:rFonts w:ascii="Times New Roman" w:hAnsi="Times New Roman" w:cs="Times New Roman"/>
                <w:b w:val="0"/>
                <w:noProof/>
                <w:sz w:val="24"/>
              </w:rPr>
              <w:t>The option does not oblige third parties to collect the information, only to make it available to consumers. Consequently, third parties have costs with updating their websites with the information collected (estimated at is EUR 4-5 million for the period 2025-2040) but the non-pubic third parties may compensate it through membership fees, or public funds made available to them.</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Substantive compliance costs: </w:t>
            </w:r>
            <w:r w:rsidRPr="009B5734">
              <w:rPr>
                <w:rFonts w:ascii="Times New Roman" w:hAnsi="Times New Roman" w:cs="Times New Roman"/>
                <w:b w:val="0"/>
                <w:noProof/>
                <w:sz w:val="24"/>
              </w:rPr>
              <w:t>None have been identified.</w:t>
            </w:r>
            <w:r w:rsidRPr="009B5734">
              <w:rPr>
                <w:rFonts w:ascii="Times New Roman" w:hAnsi="Times New Roman" w:cs="Times New Roman"/>
                <w:noProof/>
                <w:sz w:val="24"/>
              </w:rPr>
              <w:t xml:space="preserve"> </w:t>
            </w:r>
            <w:r w:rsidRPr="009B5734">
              <w:rPr>
                <w:rFonts w:ascii="Times New Roman" w:hAnsi="Times New Roman" w:cs="Times New Roman"/>
                <w:b w:val="0"/>
                <w:noProof/>
                <w:sz w:val="24"/>
              </w:rPr>
              <w:t>(EUR 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Indirect costs: </w:t>
            </w:r>
            <w:r w:rsidRPr="009B5734">
              <w:rPr>
                <w:rFonts w:ascii="Times New Roman" w:hAnsi="Times New Roman" w:cs="Times New Roman"/>
                <w:b w:val="0"/>
                <w:noProof/>
                <w:sz w:val="24"/>
              </w:rPr>
              <w:t>No impact expected.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SME growth:</w:t>
            </w:r>
            <w:r w:rsidRPr="009B5734">
              <w:rPr>
                <w:rFonts w:ascii="Times New Roman" w:hAnsi="Times New Roman" w:cs="Times New Roman"/>
                <w:b w:val="0"/>
                <w:noProof/>
                <w:sz w:val="24"/>
              </w:rPr>
              <w:t xml:space="preserve"> No impact expected. (5/10) </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public administrations:</w:t>
            </w:r>
          </w:p>
          <w:p w:rsidR="00EA45F9" w:rsidRPr="009B5734" w:rsidRDefault="00EA45F9" w:rsidP="00502070">
            <w:pPr>
              <w:ind w:left="0" w:firstLine="0"/>
              <w:rPr>
                <w:rFonts w:ascii="Times New Roman" w:hAnsi="Times New Roman" w:cs="Times New Roman"/>
                <w:noProof/>
                <w:sz w:val="24"/>
              </w:rPr>
            </w:pPr>
            <w:r w:rsidRPr="009B5734">
              <w:rPr>
                <w:rFonts w:ascii="Times New Roman" w:hAnsi="Times New Roman" w:cs="Times New Roman"/>
                <w:noProof/>
                <w:sz w:val="24"/>
              </w:rPr>
              <w:t xml:space="preserve">Enforcement costs: </w:t>
            </w:r>
            <w:r w:rsidRPr="009B5734">
              <w:rPr>
                <w:rFonts w:ascii="Times New Roman" w:hAnsi="Times New Roman" w:cs="Times New Roman"/>
                <w:b w:val="0"/>
                <w:noProof/>
                <w:sz w:val="24"/>
              </w:rPr>
              <w:t>Enforcement of the option will be challenging due to the voluntary nature of collecting information, which means that enforcement authorities will have difficulties in identifying situations in which the third party has information but does not disclose it. However, these situations are expected to be rare.</w:t>
            </w:r>
            <w:r w:rsidRPr="009B5734">
              <w:rPr>
                <w:rFonts w:ascii="Times New Roman" w:hAnsi="Times New Roman" w:cs="Times New Roman"/>
                <w:noProof/>
                <w:sz w:val="24"/>
              </w:rPr>
              <w:t xml:space="preserve"> </w:t>
            </w:r>
            <w:r w:rsidRPr="009B5734">
              <w:rPr>
                <w:rFonts w:ascii="Times New Roman" w:hAnsi="Times New Roman" w:cs="Times New Roman"/>
                <w:b w:val="0"/>
                <w:noProof/>
                <w:sz w:val="24"/>
              </w:rPr>
              <w:t>Based on interviews with some authorities, it is assumed that the option would not require significant additional resources on top of the existing ones to enforce UCPD.</w:t>
            </w:r>
            <w:r w:rsidRPr="009B5734">
              <w:rPr>
                <w:rFonts w:ascii="Times New Roman" w:hAnsi="Times New Roman" w:cs="Times New Roman"/>
                <w:noProof/>
                <w:sz w:val="24"/>
              </w:rPr>
              <w:t xml:space="preserve"> </w:t>
            </w:r>
            <w:r w:rsidRPr="009B5734">
              <w:rPr>
                <w:rFonts w:ascii="Times New Roman" w:hAnsi="Times New Roman" w:cs="Times New Roman"/>
                <w:b w:val="0"/>
                <w:noProof/>
                <w:sz w:val="24"/>
              </w:rPr>
              <w:t>The costs</w:t>
            </w:r>
            <w:r w:rsidRPr="009B5734">
              <w:rPr>
                <w:rFonts w:ascii="Times New Roman" w:hAnsi="Times New Roman" w:cs="Times New Roman"/>
                <w:noProof/>
                <w:sz w:val="24"/>
              </w:rPr>
              <w:t xml:space="preserve"> </w:t>
            </w:r>
            <w:r w:rsidRPr="009B5734">
              <w:rPr>
                <w:rFonts w:ascii="Times New Roman" w:hAnsi="Times New Roman" w:cs="Times New Roman"/>
                <w:b w:val="0"/>
                <w:noProof/>
                <w:sz w:val="24"/>
              </w:rPr>
              <w:t>are estimated to be of EUR 7-</w:t>
            </w:r>
            <w:r w:rsidR="00502070">
              <w:rPr>
                <w:rFonts w:ascii="Times New Roman" w:hAnsi="Times New Roman" w:cs="Times New Roman"/>
                <w:b w:val="0"/>
                <w:noProof/>
                <w:sz w:val="24"/>
              </w:rPr>
              <w:t>8</w:t>
            </w:r>
            <w:r w:rsidR="00502070" w:rsidRPr="009B5734" w:rsidDel="0058278F">
              <w:rPr>
                <w:rFonts w:ascii="Times New Roman" w:hAnsi="Times New Roman" w:cs="Times New Roman"/>
                <w:b w:val="0"/>
                <w:noProof/>
                <w:sz w:val="24"/>
              </w:rPr>
              <w:t xml:space="preserve"> </w:t>
            </w:r>
            <w:r w:rsidRPr="009B5734">
              <w:rPr>
                <w:rFonts w:ascii="Times New Roman" w:hAnsi="Times New Roman" w:cs="Times New Roman"/>
                <w:b w:val="0"/>
                <w:noProof/>
                <w:sz w:val="24"/>
              </w:rPr>
              <w:t>million for the period 2025-2040</w:t>
            </w:r>
            <w:r w:rsidRPr="009B5734">
              <w:rPr>
                <w:rStyle w:val="FootnoteReference"/>
                <w:rFonts w:ascii="Times New Roman" w:hAnsi="Times New Roman" w:cs="Times New Roman"/>
                <w:b w:val="0"/>
                <w:noProof/>
                <w:sz w:val="24"/>
              </w:rPr>
              <w:footnoteReference w:id="236"/>
            </w:r>
            <w:r w:rsidRPr="009B5734">
              <w:rPr>
                <w:rFonts w:ascii="Times New Roman" w:hAnsi="Times New Roman" w:cs="Times New Roman"/>
                <w:b w:val="0"/>
                <w:noProof/>
                <w:sz w:val="24"/>
              </w:rPr>
              <w:t xml:space="preserve">(present value).  </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Environmental impacts: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Climate change: </w:t>
            </w:r>
            <w:r w:rsidRPr="009B5734">
              <w:rPr>
                <w:rFonts w:ascii="Times New Roman" w:hAnsi="Times New Roman" w:cs="Times New Roman"/>
                <w:b w:val="0"/>
                <w:noProof/>
                <w:sz w:val="24"/>
              </w:rPr>
              <w:t>Due to the implementation of the option, (some) consumers will purchase products that will last longer. Consequently, the average lifespan of the products owned by consumers will increase. This will lead to a reduction of produced units and thus of CO2 emissions estimated at 0.2 – 0.4 mega tons (present value for the period 2025-2040 of EUR 4 - 8 million) during production (estimate under a scenario based on products lasting at least 1 year longer), for the period 2025-2040.</w:t>
            </w:r>
          </w:p>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Other environmental impacts change. </w:t>
            </w:r>
            <w:r w:rsidRPr="009B5734">
              <w:rPr>
                <w:rFonts w:ascii="Times New Roman" w:hAnsi="Times New Roman" w:cs="Times New Roman"/>
                <w:b w:val="0"/>
                <w:noProof/>
                <w:sz w:val="24"/>
              </w:rPr>
              <w:t>The impact on the production is estimated to be moderate, and so will be the effect of the option on other environmental impacts and on the production of electric and electronic waste. (7/10)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Coherence: </w:t>
            </w:r>
            <w:r w:rsidRPr="009B5734">
              <w:rPr>
                <w:rFonts w:ascii="Times New Roman" w:hAnsi="Times New Roman" w:cs="Times New Roman"/>
                <w:b w:val="0"/>
                <w:noProof/>
                <w:sz w:val="24"/>
              </w:rPr>
              <w:t>No issue of coherence identified. (8/10)</w:t>
            </w:r>
            <w:r w:rsidRPr="009B5734">
              <w:rPr>
                <w:rFonts w:ascii="Times New Roman" w:hAnsi="Times New Roman" w:cs="Times New Roman"/>
                <w:noProof/>
                <w:sz w:val="24"/>
              </w:rPr>
              <w:t xml:space="preserve"> </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Overarching impacts: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Circularity and sustainable consumption: </w:t>
            </w:r>
            <w:r w:rsidRPr="009B5734">
              <w:rPr>
                <w:rFonts w:ascii="Times New Roman" w:hAnsi="Times New Roman" w:cs="Times New Roman"/>
                <w:b w:val="0"/>
                <w:noProof/>
                <w:sz w:val="24"/>
              </w:rPr>
              <w:t xml:space="preserve">The option will help to increase the share of products that last longer. This contributes to a reduction of waste, and to a more circular and sustainable economy.  (6/10) </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Application of the EU legal consumer framework: </w:t>
            </w:r>
            <w:r w:rsidRPr="009B5734">
              <w:rPr>
                <w:rFonts w:ascii="Times New Roman" w:hAnsi="Times New Roman" w:cs="Times New Roman"/>
                <w:b w:val="0"/>
                <w:noProof/>
                <w:sz w:val="24"/>
              </w:rPr>
              <w:t>No impact expected. (5/10)</w:t>
            </w:r>
          </w:p>
          <w:p w:rsidR="00EA45F9" w:rsidRPr="009B5734" w:rsidRDefault="00EA45F9" w:rsidP="00981615">
            <w:pPr>
              <w:pStyle w:val="Text2"/>
              <w:spacing w:after="0"/>
              <w:ind w:left="0" w:firstLine="0"/>
              <w:rPr>
                <w:noProof/>
              </w:rPr>
            </w:pPr>
          </w:p>
        </w:tc>
      </w:tr>
      <w:bookmarkEnd w:id="711"/>
    </w:tbl>
    <w:p w:rsidR="00EA45F9" w:rsidRPr="009B5734" w:rsidRDefault="00EA45F9" w:rsidP="00EA45F9">
      <w:pPr>
        <w:rPr>
          <w:noProof/>
        </w:rPr>
      </w:pPr>
    </w:p>
    <w:tbl>
      <w:tblPr>
        <w:tblStyle w:val="GridTable1Light-Accent2"/>
        <w:tblW w:w="0" w:type="auto"/>
        <w:tblLook w:val="04A0" w:firstRow="1" w:lastRow="0" w:firstColumn="1" w:lastColumn="0" w:noHBand="0" w:noVBand="1"/>
      </w:tblPr>
      <w:tblGrid>
        <w:gridCol w:w="8607"/>
      </w:tblGrid>
      <w:tr w:rsidR="00B30A0F" w:rsidRPr="009B5734" w:rsidTr="00C84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right w:val="single" w:sz="4" w:space="0" w:color="E5B8B7" w:themeColor="accent2" w:themeTint="66"/>
            </w:tcBorders>
            <w:shd w:val="clear" w:color="auto" w:fill="E5B8B7" w:themeFill="accent2" w:themeFillTint="66"/>
            <w:hideMark/>
          </w:tcPr>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Option 2.1.B: Ban of certain identified practices associated to early obsolescence</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consumers: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Quality of decision-making: </w:t>
            </w:r>
            <w:r w:rsidRPr="009B5734">
              <w:rPr>
                <w:rFonts w:ascii="Times New Roman" w:hAnsi="Times New Roman" w:cs="Times New Roman"/>
                <w:b w:val="0"/>
                <w:noProof/>
                <w:sz w:val="24"/>
              </w:rPr>
              <w:t>No impact expected.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Consumer protection: </w:t>
            </w:r>
            <w:r w:rsidRPr="009B5734">
              <w:rPr>
                <w:rFonts w:ascii="Times New Roman" w:hAnsi="Times New Roman" w:cs="Times New Roman"/>
                <w:b w:val="0"/>
                <w:noProof/>
                <w:sz w:val="24"/>
              </w:rPr>
              <w:t>This option contributes to protecting consumers by removing products from the market that would fail earlier than consumers would expect as a result of certain practices banned by the option. It would also help at protecting vulnerable consumers that may be more susceptible to aggressive, manipulative techniques that lure them into buying products that fail early. The magnitude of the impact will depend on the incidence of the banned practices and on the compliance level. (8/10)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Consumer trust: </w:t>
            </w:r>
            <w:r w:rsidRPr="009B5734">
              <w:rPr>
                <w:rFonts w:ascii="Times New Roman" w:hAnsi="Times New Roman" w:cs="Times New Roman"/>
                <w:b w:val="0"/>
                <w:noProof/>
                <w:sz w:val="24"/>
              </w:rPr>
              <w:t>This option will increase the consumer trust in the market as it prevents situations where consumers would be misled by traders. (9/10)</w:t>
            </w:r>
          </w:p>
          <w:p w:rsidR="00EA45F9" w:rsidRPr="00F67503" w:rsidRDefault="00EA45F9">
            <w:pPr>
              <w:ind w:left="0" w:firstLine="0"/>
              <w:rPr>
                <w:rFonts w:ascii="Times New Roman" w:hAnsi="Times New Roman" w:cs="Times New Roman"/>
                <w:noProof/>
                <w:sz w:val="24"/>
                <w:szCs w:val="24"/>
              </w:rPr>
            </w:pPr>
            <w:r w:rsidRPr="005D24D2">
              <w:rPr>
                <w:rFonts w:ascii="Times New Roman" w:hAnsi="Times New Roman" w:cs="Times New Roman"/>
                <w:noProof/>
                <w:sz w:val="24"/>
                <w:szCs w:val="24"/>
              </w:rPr>
              <w:t xml:space="preserve">Monetisable Consumer welfare: </w:t>
            </w:r>
            <w:r w:rsidRPr="00AB7BD8">
              <w:rPr>
                <w:rFonts w:ascii="Times New Roman" w:hAnsi="Times New Roman" w:cs="Times New Roman"/>
                <w:b w:val="0"/>
                <w:noProof/>
                <w:sz w:val="24"/>
                <w:szCs w:val="24"/>
              </w:rPr>
              <w:t>A share (5%-20% depending on the product type) of products fails significantly earlier than could be reasonably expected, which leads to personal consumer detriment. This option is expected to lead to an increase in the consumer surplus, which is estimated to amount to EUR 1 800 – 2 250 million for the period 2025-2040 (present value based on failures occurring the first 60% of the product lifespan).</w:t>
            </w:r>
            <w:r w:rsidRPr="6B053803">
              <w:rPr>
                <w:rFonts w:ascii="Times New Roman" w:hAnsi="Times New Roman" w:cs="Times New Roman"/>
                <w:noProof/>
                <w:sz w:val="24"/>
                <w:szCs w:val="24"/>
              </w:rPr>
              <w:t xml:space="preserve"> (8/10)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businesses: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Level-playing field: </w:t>
            </w:r>
            <w:r w:rsidRPr="009B5734">
              <w:rPr>
                <w:rFonts w:ascii="Times New Roman" w:hAnsi="Times New Roman" w:cs="Times New Roman"/>
                <w:b w:val="0"/>
                <w:noProof/>
                <w:sz w:val="24"/>
              </w:rPr>
              <w:t>The option is expected to contribute very positively to the level playing field. This is because, in the baseline, companies engaging in the banned practices have lower costs than their competitors and charge higher prices to consumers (than they would if consumers knew the real expected lifespan of the products) because consumers assume that the products would have an expected lifespan not much different from the average. (9/10)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Reduction of barriers to cross-border trade: </w:t>
            </w:r>
            <w:r w:rsidRPr="009B5734">
              <w:rPr>
                <w:rFonts w:ascii="Times New Roman" w:hAnsi="Times New Roman" w:cs="Times New Roman"/>
                <w:b w:val="0"/>
                <w:noProof/>
                <w:sz w:val="24"/>
              </w:rPr>
              <w:t>The option is expected to reduce barriers to cross-border trade, as one Member State has already legislated on this issue and others may legislate as well (two are currently discussing specific proposals for legislation) if no EU-level legislation is in place. (8/10)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Administrative burdens: </w:t>
            </w:r>
            <w:r w:rsidRPr="009B5734">
              <w:rPr>
                <w:rFonts w:ascii="Times New Roman" w:hAnsi="Times New Roman" w:cs="Times New Roman"/>
                <w:b w:val="0"/>
                <w:noProof/>
                <w:sz w:val="24"/>
              </w:rPr>
              <w:t xml:space="preserve">None identified. </w:t>
            </w:r>
            <w:r w:rsidRPr="009B5734">
              <w:rPr>
                <w:rFonts w:ascii="Times New Roman" w:hAnsi="Times New Roman" w:cs="Times New Roman"/>
                <w:noProof/>
                <w:sz w:val="24"/>
              </w:rPr>
              <w:t xml:space="preserve"> </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Substantive compliance costs: </w:t>
            </w:r>
            <w:r w:rsidRPr="009B5734">
              <w:rPr>
                <w:rFonts w:ascii="Times New Roman" w:hAnsi="Times New Roman" w:cs="Times New Roman"/>
                <w:b w:val="0"/>
                <w:noProof/>
                <w:sz w:val="24"/>
              </w:rPr>
              <w:t>The substantive compliance costs of companies will be caused by the need to revise their production process in order to not engage in the banned practices and possibly improve their products. The costs are difficult to estimate as they depend on the list of practices that will be banned, the scale of these practices and</w:t>
            </w:r>
            <w:r w:rsidRPr="009B5734" w:rsidDel="003662FB">
              <w:rPr>
                <w:rFonts w:ascii="Times New Roman" w:hAnsi="Times New Roman" w:cs="Times New Roman"/>
                <w:b w:val="0"/>
                <w:noProof/>
                <w:sz w:val="24"/>
              </w:rPr>
              <w:t xml:space="preserve"> </w:t>
            </w:r>
            <w:r w:rsidRPr="009B5734">
              <w:rPr>
                <w:rFonts w:ascii="Times New Roman" w:hAnsi="Times New Roman" w:cs="Times New Roman"/>
                <w:b w:val="0"/>
                <w:noProof/>
                <w:sz w:val="24"/>
              </w:rPr>
              <w:t>the specificities of the production process of those companies engaging in these practices.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b w:val="0"/>
                <w:noProof/>
                <w:sz w:val="24"/>
              </w:rPr>
              <w:t>While fully aware of these limitations, a very rough estimation of the possible costs for companies was done by screening the prices of various product types on online marketplaces, identifying the price of the cheapest product, and assuming that it will cost between 7.5% and 15% extra to comply with the option and improve the product accordingly. Such costs are estimated to amount to EUR 1 190 – 1630 million for the period 2025-2040 (present value), falling mainly on large manufacturers.</w:t>
            </w:r>
            <w:r w:rsidRPr="009B5734">
              <w:rPr>
                <w:rFonts w:ascii="Times New Roman" w:hAnsi="Times New Roman" w:cs="Times New Roman"/>
                <w:noProof/>
                <w:sz w:val="24"/>
              </w:rPr>
              <w:t xml:space="preserve"> </w:t>
            </w:r>
            <w:r w:rsidRPr="009B5734">
              <w:rPr>
                <w:rFonts w:ascii="Times New Roman" w:hAnsi="Times New Roman" w:cs="Times New Roman"/>
                <w:b w:val="0"/>
                <w:noProof/>
                <w:sz w:val="24"/>
              </w:rPr>
              <w:t xml:space="preserve">These costs include those related to the familiarisation with the measures (applicable to all businesses) as well as those linked to the need to review internal processes for these companies using practices targeted by the option.  </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Indirect costs: </w:t>
            </w:r>
            <w:r w:rsidRPr="009B5734">
              <w:rPr>
                <w:rFonts w:ascii="Times New Roman" w:hAnsi="Times New Roman" w:cs="Times New Roman"/>
                <w:b w:val="0"/>
                <w:noProof/>
                <w:sz w:val="24"/>
              </w:rPr>
              <w:t>The substantive compliance costs will be passed on to consumers, and will be compensated by revenues to some extent (as the volume of sales might be lower due to the increase in prices).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SME growth:</w:t>
            </w:r>
            <w:r w:rsidRPr="009B5734">
              <w:rPr>
                <w:rFonts w:ascii="Times New Roman" w:hAnsi="Times New Roman" w:cs="Times New Roman"/>
                <w:b w:val="0"/>
                <w:noProof/>
                <w:sz w:val="24"/>
              </w:rPr>
              <w:t xml:space="preserve"> The number of SMEs manufacturers is very small and so the negative impact of the option on the overall SMEs growth is expected to be negligible. By preventing these unfair practices, SMEs that were not practicing them and suffered from uneven playing field will have a better opportunity to grow. (6/10)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public administrations: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Enforcement costs and other costs: </w:t>
            </w:r>
            <w:r w:rsidRPr="009B5734">
              <w:rPr>
                <w:rFonts w:ascii="Times New Roman" w:hAnsi="Times New Roman" w:cs="Times New Roman"/>
                <w:b w:val="0"/>
                <w:noProof/>
                <w:sz w:val="24"/>
              </w:rPr>
              <w:t>Enforcement of the option will require the creation or strengthening of the team currently responsible for addressing obsolescence practices in each Member State. Technical knowledge will be required so that authorities can assess compliance with a certain banned practice.</w:t>
            </w:r>
          </w:p>
          <w:p w:rsidR="00EA45F9" w:rsidRPr="009B5734" w:rsidRDefault="00EA45F9" w:rsidP="003E2F40">
            <w:pPr>
              <w:ind w:left="0" w:firstLine="0"/>
              <w:rPr>
                <w:rFonts w:ascii="Times New Roman" w:hAnsi="Times New Roman" w:cs="Times New Roman"/>
                <w:b w:val="0"/>
                <w:noProof/>
                <w:sz w:val="24"/>
              </w:rPr>
            </w:pPr>
            <w:r w:rsidRPr="009B5734">
              <w:rPr>
                <w:rFonts w:ascii="Times New Roman" w:hAnsi="Times New Roman" w:cs="Times New Roman"/>
                <w:b w:val="0"/>
                <w:noProof/>
                <w:sz w:val="24"/>
              </w:rPr>
              <w:t>Currently only 1</w:t>
            </w:r>
            <w:r w:rsidR="00B576D3">
              <w:rPr>
                <w:rFonts w:ascii="Times New Roman" w:hAnsi="Times New Roman" w:cs="Times New Roman"/>
                <w:b w:val="0"/>
                <w:noProof/>
                <w:sz w:val="24"/>
              </w:rPr>
              <w:t xml:space="preserve"> </w:t>
            </w:r>
            <w:r w:rsidRPr="009B5734">
              <w:rPr>
                <w:rFonts w:ascii="Times New Roman" w:hAnsi="Times New Roman" w:cs="Times New Roman"/>
                <w:b w:val="0"/>
                <w:noProof/>
                <w:sz w:val="24"/>
              </w:rPr>
              <w:t>Member State has specific legislation on planned obsolescence, so it is expected that nearly all Member States will need to strengthen their teams dealing with the matter. Under the assumption that each Member State would need 7 full-time staff to monitor the market, handle complaints and carry out inspections, the enforcement costs are estimated at EUR 103-</w:t>
            </w:r>
            <w:r w:rsidR="003E2F40" w:rsidRPr="009B5734">
              <w:rPr>
                <w:rFonts w:ascii="Times New Roman" w:hAnsi="Times New Roman" w:cs="Times New Roman"/>
                <w:b w:val="0"/>
                <w:noProof/>
                <w:sz w:val="24"/>
              </w:rPr>
              <w:t>10</w:t>
            </w:r>
            <w:r w:rsidR="003E2F40">
              <w:rPr>
                <w:rFonts w:ascii="Times New Roman" w:hAnsi="Times New Roman" w:cs="Times New Roman"/>
                <w:b w:val="0"/>
                <w:noProof/>
                <w:sz w:val="24"/>
              </w:rPr>
              <w:t>4</w:t>
            </w:r>
            <w:r w:rsidR="003E2F40" w:rsidRPr="009B5734">
              <w:rPr>
                <w:rFonts w:ascii="Times New Roman" w:hAnsi="Times New Roman" w:cs="Times New Roman"/>
                <w:b w:val="0"/>
                <w:noProof/>
                <w:sz w:val="24"/>
              </w:rPr>
              <w:t xml:space="preserve"> </w:t>
            </w:r>
            <w:r w:rsidRPr="009B5734">
              <w:rPr>
                <w:rFonts w:ascii="Times New Roman" w:hAnsi="Times New Roman" w:cs="Times New Roman"/>
                <w:b w:val="0"/>
                <w:noProof/>
                <w:sz w:val="24"/>
              </w:rPr>
              <w:t>million (present value) for the period from 2025 until 2040</w:t>
            </w:r>
            <w:r w:rsidRPr="009B5734">
              <w:rPr>
                <w:rStyle w:val="FootnoteReference"/>
                <w:rFonts w:ascii="Times New Roman" w:hAnsi="Times New Roman" w:cs="Times New Roman"/>
                <w:b w:val="0"/>
                <w:noProof/>
                <w:sz w:val="24"/>
              </w:rPr>
              <w:footnoteReference w:id="237"/>
            </w:r>
            <w:r w:rsidRPr="009B5734">
              <w:rPr>
                <w:rFonts w:ascii="Times New Roman" w:hAnsi="Times New Roman" w:cs="Times New Roman"/>
                <w:b w:val="0"/>
                <w:noProof/>
                <w:sz w:val="24"/>
              </w:rPr>
              <w:t xml:space="preserve">. </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Environmental impacts: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Climate change: </w:t>
            </w:r>
            <w:r w:rsidRPr="009B5734">
              <w:rPr>
                <w:rFonts w:ascii="Times New Roman" w:hAnsi="Times New Roman" w:cs="Times New Roman"/>
                <w:b w:val="0"/>
                <w:noProof/>
                <w:sz w:val="24"/>
              </w:rPr>
              <w:t>Due to the implementation of the option, the average lifespan of the product owned by consumers will increase and the need to produce replacement products decreases proportionally. This will lead to a reduction of produced units and thus of CO2 emissions estimated at 3.5 – 4.3 mega tons (present value of EUR 72 - 90 million) during production for the period 2025- 2040.</w:t>
            </w:r>
          </w:p>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Other environmental impacts change. </w:t>
            </w:r>
            <w:r w:rsidRPr="009B5734">
              <w:rPr>
                <w:rFonts w:ascii="Times New Roman" w:hAnsi="Times New Roman" w:cs="Times New Roman"/>
                <w:b w:val="0"/>
                <w:noProof/>
                <w:sz w:val="24"/>
              </w:rPr>
              <w:t>For the same reasons, it is expected that less water will be used and few matriculate latter and polluting agents will be released. Longer-lasting products are also expected to reduce the amount of waste. (8/10)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Coherence: </w:t>
            </w:r>
            <w:r w:rsidRPr="009B5734">
              <w:rPr>
                <w:rFonts w:ascii="Times New Roman" w:hAnsi="Times New Roman" w:cs="Times New Roman"/>
                <w:b w:val="0"/>
                <w:noProof/>
                <w:sz w:val="24"/>
              </w:rPr>
              <w:t>No issue of coherence identified. (8/10)</w:t>
            </w:r>
            <w:r w:rsidRPr="009B5734">
              <w:rPr>
                <w:rFonts w:ascii="Times New Roman" w:hAnsi="Times New Roman" w:cs="Times New Roman"/>
                <w:noProof/>
                <w:sz w:val="24"/>
              </w:rPr>
              <w:t xml:space="preserve"> </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Overarching impacts: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Circularity and sustainable consumption: </w:t>
            </w:r>
            <w:r w:rsidRPr="009B5734">
              <w:rPr>
                <w:rFonts w:ascii="Times New Roman" w:hAnsi="Times New Roman" w:cs="Times New Roman"/>
                <w:b w:val="0"/>
                <w:noProof/>
                <w:sz w:val="24"/>
              </w:rPr>
              <w:t xml:space="preserve">The option will help to increase the share of products that are repaired instead of replaced. This contributes to a reduction of waste, and to a more circular and sustainable economy.  (8/10) </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Application of the EU legal consumer framework: </w:t>
            </w:r>
            <w:r w:rsidRPr="009B5734">
              <w:rPr>
                <w:rFonts w:ascii="Times New Roman" w:hAnsi="Times New Roman" w:cs="Times New Roman"/>
                <w:b w:val="0"/>
                <w:noProof/>
                <w:sz w:val="24"/>
              </w:rPr>
              <w:t>This option is expected to have a significant impact on ensuring a better and coherent application of the EU legal consumer framework, in particular the Unfair Commercial Practice Directive. (8/10)</w:t>
            </w:r>
          </w:p>
          <w:p w:rsidR="00EA45F9" w:rsidRPr="009B5734" w:rsidRDefault="00EA45F9" w:rsidP="00981615">
            <w:pPr>
              <w:pStyle w:val="Text2"/>
              <w:spacing w:after="0"/>
              <w:ind w:left="0" w:firstLine="0"/>
              <w:rPr>
                <w:noProof/>
              </w:rPr>
            </w:pPr>
          </w:p>
        </w:tc>
      </w:tr>
    </w:tbl>
    <w:p w:rsidR="00EA45F9" w:rsidRPr="004931D3" w:rsidRDefault="00EA45F9">
      <w:pPr>
        <w:pStyle w:val="Heading5"/>
        <w:rPr>
          <w:rFonts w:ascii="Times New Roman" w:hAnsi="Times New Roman" w:cs="Times New Roman"/>
          <w:i w:val="0"/>
          <w:noProof/>
          <w:sz w:val="24"/>
        </w:rPr>
      </w:pPr>
      <w:bookmarkStart w:id="712" w:name="_Toc75441011"/>
      <w:bookmarkStart w:id="713" w:name="_Toc75447010"/>
      <w:bookmarkStart w:id="714" w:name="_Toc75448883"/>
      <w:bookmarkStart w:id="715" w:name="_Toc60734121"/>
      <w:r w:rsidRPr="6B053803">
        <w:rPr>
          <w:rFonts w:ascii="Times New Roman" w:hAnsi="Times New Roman" w:cs="Times New Roman"/>
          <w:i w:val="0"/>
          <w:noProof/>
          <w:sz w:val="24"/>
        </w:rPr>
        <w:t>Recap of the assessment</w:t>
      </w:r>
      <w:bookmarkEnd w:id="712"/>
      <w:bookmarkEnd w:id="713"/>
      <w:bookmarkEnd w:id="714"/>
    </w:p>
    <w:tbl>
      <w:tblPr>
        <w:tblStyle w:val="GridTable4-Accent3"/>
        <w:tblW w:w="0" w:type="auto"/>
        <w:tblLook w:val="04A0" w:firstRow="1" w:lastRow="0" w:firstColumn="1" w:lastColumn="0" w:noHBand="0" w:noVBand="1"/>
      </w:tblPr>
      <w:tblGrid>
        <w:gridCol w:w="1763"/>
        <w:gridCol w:w="1656"/>
        <w:gridCol w:w="1653"/>
        <w:gridCol w:w="1654"/>
      </w:tblGrid>
      <w:tr w:rsidR="00EA45F9" w:rsidRPr="009B5734" w:rsidTr="00C84A99">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419" w:type="dxa"/>
            <w:gridSpan w:val="2"/>
            <w:shd w:val="clear" w:color="auto" w:fill="F79646" w:themeFill="accent6"/>
            <w:vAlign w:val="center"/>
          </w:tcPr>
          <w:p w:rsidR="00EA45F9" w:rsidRPr="009B5734" w:rsidRDefault="00EA45F9" w:rsidP="00981615">
            <w:pPr>
              <w:pStyle w:val="Text2"/>
              <w:spacing w:after="0"/>
              <w:ind w:left="0" w:firstLine="0"/>
              <w:jc w:val="center"/>
              <w:rPr>
                <w:noProof/>
              </w:rPr>
            </w:pPr>
            <w:r w:rsidRPr="009B5734">
              <w:rPr>
                <w:noProof/>
              </w:rPr>
              <w:t>Criteria and sub-criteria</w:t>
            </w:r>
          </w:p>
        </w:tc>
        <w:tc>
          <w:tcPr>
            <w:tcW w:w="1653" w:type="dxa"/>
            <w:shd w:val="clear" w:color="auto" w:fill="F79646" w:themeFill="accent6"/>
            <w:vAlign w:val="center"/>
          </w:tcPr>
          <w:p w:rsidR="00EA45F9" w:rsidRPr="009B5734" w:rsidRDefault="00EA45F9" w:rsidP="00981615">
            <w:pPr>
              <w:pStyle w:val="Text2"/>
              <w:spacing w:after="0"/>
              <w:ind w:left="0" w:firstLine="0"/>
              <w:jc w:val="center"/>
              <w:cnfStyle w:val="100000000000" w:firstRow="1" w:lastRow="0" w:firstColumn="0" w:lastColumn="0" w:oddVBand="0" w:evenVBand="0" w:oddHBand="0" w:evenHBand="0" w:firstRowFirstColumn="0" w:firstRowLastColumn="0" w:lastRowFirstColumn="0" w:lastRowLastColumn="0"/>
              <w:rPr>
                <w:noProof/>
              </w:rPr>
            </w:pPr>
            <w:r w:rsidRPr="009B5734">
              <w:rPr>
                <w:noProof/>
              </w:rPr>
              <w:t>Option 2.1.A Gathering evidence on recorded early failures</w:t>
            </w:r>
          </w:p>
        </w:tc>
        <w:tc>
          <w:tcPr>
            <w:tcW w:w="1654" w:type="dxa"/>
            <w:shd w:val="clear" w:color="auto" w:fill="F79646" w:themeFill="accent6"/>
            <w:vAlign w:val="center"/>
          </w:tcPr>
          <w:p w:rsidR="00EA45F9" w:rsidRPr="009B5734" w:rsidRDefault="00EA45F9" w:rsidP="00981615">
            <w:pPr>
              <w:pStyle w:val="Text2"/>
              <w:spacing w:after="0"/>
              <w:ind w:left="0" w:firstLine="0"/>
              <w:jc w:val="center"/>
              <w:cnfStyle w:val="100000000000" w:firstRow="1" w:lastRow="0" w:firstColumn="0" w:lastColumn="0" w:oddVBand="0" w:evenVBand="0" w:oddHBand="0" w:evenHBand="0" w:firstRowFirstColumn="0" w:firstRowLastColumn="0" w:lastRowFirstColumn="0" w:lastRowLastColumn="0"/>
              <w:rPr>
                <w:noProof/>
              </w:rPr>
            </w:pPr>
            <w:r w:rsidRPr="009B5734">
              <w:rPr>
                <w:noProof/>
              </w:rPr>
              <w:t>Option 2.1.B</w:t>
            </w:r>
          </w:p>
          <w:p w:rsidR="00EA45F9" w:rsidRPr="009B5734" w:rsidRDefault="00EA45F9" w:rsidP="00981615">
            <w:pPr>
              <w:pStyle w:val="Text2"/>
              <w:spacing w:after="0"/>
              <w:ind w:left="0" w:firstLine="0"/>
              <w:jc w:val="center"/>
              <w:cnfStyle w:val="100000000000" w:firstRow="1" w:lastRow="0" w:firstColumn="0" w:lastColumn="0" w:oddVBand="0" w:evenVBand="0" w:oddHBand="0" w:evenHBand="0" w:firstRowFirstColumn="0" w:firstRowLastColumn="0" w:lastRowFirstColumn="0" w:lastRowLastColumn="0"/>
              <w:rPr>
                <w:noProof/>
              </w:rPr>
            </w:pPr>
            <w:r w:rsidRPr="009B5734">
              <w:rPr>
                <w:noProof/>
              </w:rPr>
              <w:t>Ban of certain practices associated to premature obsolescence</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763" w:type="dxa"/>
            <w:vMerge w:val="restart"/>
            <w:shd w:val="clear" w:color="auto" w:fill="auto"/>
          </w:tcPr>
          <w:p w:rsidR="00EA45F9" w:rsidRPr="009B5734" w:rsidRDefault="00EA45F9" w:rsidP="00981615">
            <w:pPr>
              <w:pStyle w:val="Text2"/>
              <w:ind w:left="0" w:firstLine="0"/>
              <w:rPr>
                <w:noProof/>
              </w:rPr>
            </w:pPr>
            <w:r w:rsidRPr="009B5734">
              <w:rPr>
                <w:noProof/>
              </w:rPr>
              <w:t>Impact on consumers</w:t>
            </w:r>
          </w:p>
        </w:tc>
        <w:tc>
          <w:tcPr>
            <w:tcW w:w="1656"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Quality of consumer decision-making</w:t>
            </w:r>
          </w:p>
        </w:tc>
        <w:tc>
          <w:tcPr>
            <w:tcW w:w="1653"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6/10</w:t>
            </w:r>
          </w:p>
        </w:tc>
        <w:tc>
          <w:tcPr>
            <w:tcW w:w="1654"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5/10</w:t>
            </w:r>
          </w:p>
        </w:tc>
      </w:tr>
      <w:tr w:rsidR="00EA45F9" w:rsidRPr="009B5734" w:rsidTr="00C84A99">
        <w:trPr>
          <w:trHeight w:val="518"/>
        </w:trPr>
        <w:tc>
          <w:tcPr>
            <w:cnfStyle w:val="001000000000" w:firstRow="0" w:lastRow="0" w:firstColumn="1" w:lastColumn="0" w:oddVBand="0" w:evenVBand="0" w:oddHBand="0" w:evenHBand="0" w:firstRowFirstColumn="0" w:firstRowLastColumn="0" w:lastRowFirstColumn="0" w:lastRowLastColumn="0"/>
            <w:tcW w:w="1763" w:type="dxa"/>
            <w:vMerge/>
            <w:shd w:val="clear" w:color="auto" w:fill="auto"/>
          </w:tcPr>
          <w:p w:rsidR="00EA45F9" w:rsidRPr="009B5734" w:rsidRDefault="00EA45F9" w:rsidP="00981615">
            <w:pPr>
              <w:pStyle w:val="Text2"/>
              <w:ind w:left="0" w:firstLine="0"/>
              <w:rPr>
                <w:noProof/>
              </w:rPr>
            </w:pPr>
          </w:p>
        </w:tc>
        <w:tc>
          <w:tcPr>
            <w:tcW w:w="1656"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Consumer protection</w:t>
            </w:r>
          </w:p>
        </w:tc>
        <w:tc>
          <w:tcPr>
            <w:tcW w:w="1653"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6/10</w:t>
            </w:r>
          </w:p>
        </w:tc>
        <w:tc>
          <w:tcPr>
            <w:tcW w:w="1654"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8/10</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763" w:type="dxa"/>
            <w:vMerge/>
            <w:shd w:val="clear" w:color="auto" w:fill="auto"/>
          </w:tcPr>
          <w:p w:rsidR="00EA45F9" w:rsidRPr="009B5734" w:rsidRDefault="00EA45F9" w:rsidP="00981615">
            <w:pPr>
              <w:pStyle w:val="Text2"/>
              <w:ind w:left="0" w:firstLine="0"/>
              <w:rPr>
                <w:noProof/>
              </w:rPr>
            </w:pPr>
          </w:p>
        </w:tc>
        <w:tc>
          <w:tcPr>
            <w:tcW w:w="1656"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Consumer trust</w:t>
            </w:r>
          </w:p>
        </w:tc>
        <w:tc>
          <w:tcPr>
            <w:tcW w:w="1653"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6/10</w:t>
            </w:r>
          </w:p>
        </w:tc>
        <w:tc>
          <w:tcPr>
            <w:tcW w:w="1654"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9/10</w:t>
            </w:r>
          </w:p>
        </w:tc>
      </w:tr>
      <w:tr w:rsidR="00EA45F9" w:rsidRPr="009B5734" w:rsidTr="00C84A99">
        <w:trPr>
          <w:trHeight w:val="534"/>
        </w:trPr>
        <w:tc>
          <w:tcPr>
            <w:cnfStyle w:val="001000000000" w:firstRow="0" w:lastRow="0" w:firstColumn="1" w:lastColumn="0" w:oddVBand="0" w:evenVBand="0" w:oddHBand="0" w:evenHBand="0" w:firstRowFirstColumn="0" w:firstRowLastColumn="0" w:lastRowFirstColumn="0" w:lastRowLastColumn="0"/>
            <w:tcW w:w="1763" w:type="dxa"/>
            <w:vMerge/>
            <w:shd w:val="clear" w:color="auto" w:fill="auto"/>
          </w:tcPr>
          <w:p w:rsidR="00EA45F9" w:rsidRPr="009B5734" w:rsidRDefault="00EA45F9" w:rsidP="00981615">
            <w:pPr>
              <w:pStyle w:val="Text2"/>
              <w:ind w:left="0" w:firstLine="0"/>
              <w:rPr>
                <w:noProof/>
              </w:rPr>
            </w:pPr>
          </w:p>
        </w:tc>
        <w:tc>
          <w:tcPr>
            <w:tcW w:w="1656"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Monetisable Consumer Welfare (present value for period 2025-2040)</w:t>
            </w:r>
          </w:p>
        </w:tc>
        <w:tc>
          <w:tcPr>
            <w:tcW w:w="1653" w:type="dxa"/>
            <w:shd w:val="clear" w:color="auto" w:fill="auto"/>
            <w:vAlign w:val="center"/>
          </w:tcPr>
          <w:p w:rsidR="00EA45F9" w:rsidRPr="009B5734" w:rsidRDefault="00542C1F"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6</w:t>
            </w:r>
            <w:r w:rsidR="00EA45F9" w:rsidRPr="009B5734">
              <w:rPr>
                <w:noProof/>
              </w:rPr>
              <w:t>/10</w:t>
            </w:r>
          </w:p>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(EUR 100-180 million)</w:t>
            </w:r>
          </w:p>
        </w:tc>
        <w:tc>
          <w:tcPr>
            <w:tcW w:w="1654"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8/10</w:t>
            </w:r>
          </w:p>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(EUR 1 800 – 2 250 million)</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763" w:type="dxa"/>
            <w:vMerge w:val="restart"/>
            <w:shd w:val="clear" w:color="auto" w:fill="auto"/>
          </w:tcPr>
          <w:p w:rsidR="00EA45F9" w:rsidRPr="009B5734" w:rsidRDefault="00EA45F9" w:rsidP="00981615">
            <w:pPr>
              <w:pStyle w:val="Text2"/>
              <w:ind w:left="0" w:firstLine="0"/>
              <w:rPr>
                <w:noProof/>
              </w:rPr>
            </w:pPr>
            <w:r w:rsidRPr="009B5734">
              <w:rPr>
                <w:noProof/>
              </w:rPr>
              <w:t>Impact on businesses</w:t>
            </w:r>
          </w:p>
        </w:tc>
        <w:tc>
          <w:tcPr>
            <w:tcW w:w="1656"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 xml:space="preserve">Level-playing field </w:t>
            </w:r>
          </w:p>
        </w:tc>
        <w:tc>
          <w:tcPr>
            <w:tcW w:w="1653"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7/10</w:t>
            </w:r>
          </w:p>
        </w:tc>
        <w:tc>
          <w:tcPr>
            <w:tcW w:w="1654"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9/10</w:t>
            </w:r>
          </w:p>
        </w:tc>
      </w:tr>
      <w:tr w:rsidR="00EA45F9" w:rsidRPr="009B5734" w:rsidTr="00C84A99">
        <w:trPr>
          <w:trHeight w:val="518"/>
        </w:trPr>
        <w:tc>
          <w:tcPr>
            <w:cnfStyle w:val="001000000000" w:firstRow="0" w:lastRow="0" w:firstColumn="1" w:lastColumn="0" w:oddVBand="0" w:evenVBand="0" w:oddHBand="0" w:evenHBand="0" w:firstRowFirstColumn="0" w:firstRowLastColumn="0" w:lastRowFirstColumn="0" w:lastRowLastColumn="0"/>
            <w:tcW w:w="1763" w:type="dxa"/>
            <w:vMerge/>
            <w:shd w:val="clear" w:color="auto" w:fill="auto"/>
          </w:tcPr>
          <w:p w:rsidR="00EA45F9" w:rsidRPr="009B5734" w:rsidRDefault="00EA45F9" w:rsidP="00981615">
            <w:pPr>
              <w:pStyle w:val="Text2"/>
              <w:ind w:left="0" w:firstLine="0"/>
              <w:rPr>
                <w:noProof/>
              </w:rPr>
            </w:pPr>
          </w:p>
        </w:tc>
        <w:tc>
          <w:tcPr>
            <w:tcW w:w="1656"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Reduction of barriers to cross-border trade</w:t>
            </w:r>
          </w:p>
        </w:tc>
        <w:tc>
          <w:tcPr>
            <w:tcW w:w="1653"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7/10</w:t>
            </w:r>
          </w:p>
        </w:tc>
        <w:tc>
          <w:tcPr>
            <w:tcW w:w="1654"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8/10</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763" w:type="dxa"/>
            <w:vMerge/>
            <w:shd w:val="clear" w:color="auto" w:fill="auto"/>
          </w:tcPr>
          <w:p w:rsidR="00EA45F9" w:rsidRPr="009B5734" w:rsidRDefault="00EA45F9" w:rsidP="00981615">
            <w:pPr>
              <w:pStyle w:val="Text2"/>
              <w:ind w:left="0" w:firstLine="0"/>
              <w:rPr>
                <w:noProof/>
              </w:rPr>
            </w:pPr>
          </w:p>
        </w:tc>
        <w:tc>
          <w:tcPr>
            <w:tcW w:w="1656"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Administrative burdens (present value for period 2025-2040)</w:t>
            </w:r>
          </w:p>
        </w:tc>
        <w:tc>
          <w:tcPr>
            <w:tcW w:w="1653"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 xml:space="preserve">EUR 4-5 </w:t>
            </w:r>
            <w:r w:rsidRPr="009B5734" w:rsidDel="00474B28">
              <w:rPr>
                <w:noProof/>
              </w:rPr>
              <w:t>million</w:t>
            </w:r>
          </w:p>
        </w:tc>
        <w:tc>
          <w:tcPr>
            <w:tcW w:w="1654"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sidDel="00474B28">
              <w:rPr>
                <w:noProof/>
              </w:rPr>
              <w:t>EUR 0</w:t>
            </w:r>
          </w:p>
        </w:tc>
      </w:tr>
      <w:tr w:rsidR="00EA45F9" w:rsidRPr="009B5734" w:rsidTr="00C84A99">
        <w:trPr>
          <w:trHeight w:val="518"/>
        </w:trPr>
        <w:tc>
          <w:tcPr>
            <w:cnfStyle w:val="001000000000" w:firstRow="0" w:lastRow="0" w:firstColumn="1" w:lastColumn="0" w:oddVBand="0" w:evenVBand="0" w:oddHBand="0" w:evenHBand="0" w:firstRowFirstColumn="0" w:firstRowLastColumn="0" w:lastRowFirstColumn="0" w:lastRowLastColumn="0"/>
            <w:tcW w:w="1763" w:type="dxa"/>
            <w:vMerge/>
            <w:shd w:val="clear" w:color="auto" w:fill="auto"/>
          </w:tcPr>
          <w:p w:rsidR="00EA45F9" w:rsidRPr="009B5734" w:rsidRDefault="00EA45F9" w:rsidP="00981615">
            <w:pPr>
              <w:pStyle w:val="Text2"/>
              <w:ind w:left="0" w:firstLine="0"/>
              <w:rPr>
                <w:noProof/>
              </w:rPr>
            </w:pPr>
          </w:p>
        </w:tc>
        <w:tc>
          <w:tcPr>
            <w:tcW w:w="1656"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Substantive compliance costs (present value for period 2025-2040)</w:t>
            </w:r>
          </w:p>
        </w:tc>
        <w:tc>
          <w:tcPr>
            <w:tcW w:w="1653"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sidDel="00474B28">
              <w:rPr>
                <w:noProof/>
              </w:rPr>
              <w:t>EUR 0</w:t>
            </w:r>
          </w:p>
        </w:tc>
        <w:tc>
          <w:tcPr>
            <w:tcW w:w="1654"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 xml:space="preserve">EUR 1 190 – 1 630 million </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763" w:type="dxa"/>
            <w:vMerge/>
            <w:shd w:val="clear" w:color="auto" w:fill="auto"/>
          </w:tcPr>
          <w:p w:rsidR="00EA45F9" w:rsidRPr="009B5734" w:rsidRDefault="00EA45F9" w:rsidP="00981615">
            <w:pPr>
              <w:pStyle w:val="Text2"/>
              <w:ind w:left="0" w:firstLine="0"/>
              <w:rPr>
                <w:noProof/>
              </w:rPr>
            </w:pPr>
          </w:p>
        </w:tc>
        <w:tc>
          <w:tcPr>
            <w:tcW w:w="1656"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Indirect costs</w:t>
            </w:r>
          </w:p>
        </w:tc>
        <w:tc>
          <w:tcPr>
            <w:tcW w:w="1653"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5/10</w:t>
            </w:r>
          </w:p>
        </w:tc>
        <w:tc>
          <w:tcPr>
            <w:tcW w:w="1654"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5/10</w:t>
            </w:r>
          </w:p>
        </w:tc>
      </w:tr>
      <w:tr w:rsidR="00EA45F9" w:rsidRPr="009B5734" w:rsidTr="00C84A99">
        <w:trPr>
          <w:trHeight w:val="518"/>
        </w:trPr>
        <w:tc>
          <w:tcPr>
            <w:cnfStyle w:val="001000000000" w:firstRow="0" w:lastRow="0" w:firstColumn="1" w:lastColumn="0" w:oddVBand="0" w:evenVBand="0" w:oddHBand="0" w:evenHBand="0" w:firstRowFirstColumn="0" w:firstRowLastColumn="0" w:lastRowFirstColumn="0" w:lastRowLastColumn="0"/>
            <w:tcW w:w="1763" w:type="dxa"/>
            <w:vMerge/>
            <w:shd w:val="clear" w:color="auto" w:fill="auto"/>
          </w:tcPr>
          <w:p w:rsidR="00EA45F9" w:rsidRPr="009B5734" w:rsidRDefault="00EA45F9" w:rsidP="00981615">
            <w:pPr>
              <w:pStyle w:val="Text2"/>
              <w:ind w:left="0" w:firstLine="0"/>
              <w:rPr>
                <w:noProof/>
              </w:rPr>
            </w:pPr>
          </w:p>
        </w:tc>
        <w:tc>
          <w:tcPr>
            <w:tcW w:w="1656"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SME growth</w:t>
            </w:r>
          </w:p>
        </w:tc>
        <w:tc>
          <w:tcPr>
            <w:tcW w:w="1653"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5/10</w:t>
            </w:r>
          </w:p>
        </w:tc>
        <w:tc>
          <w:tcPr>
            <w:tcW w:w="1654"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6/10</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763" w:type="dxa"/>
            <w:shd w:val="clear" w:color="auto" w:fill="auto"/>
          </w:tcPr>
          <w:p w:rsidR="00EA45F9" w:rsidRPr="009B5734" w:rsidRDefault="00EA45F9" w:rsidP="00981615">
            <w:pPr>
              <w:pStyle w:val="Text2"/>
              <w:ind w:left="0" w:firstLine="0"/>
              <w:rPr>
                <w:noProof/>
              </w:rPr>
            </w:pPr>
            <w:r w:rsidRPr="009B5734">
              <w:rPr>
                <w:noProof/>
              </w:rPr>
              <w:t>Impacts on public administration</w:t>
            </w:r>
          </w:p>
        </w:tc>
        <w:tc>
          <w:tcPr>
            <w:tcW w:w="1656"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Enforcement costs and other costs (present value for period 2025-2040)</w:t>
            </w:r>
          </w:p>
        </w:tc>
        <w:tc>
          <w:tcPr>
            <w:tcW w:w="1653"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 xml:space="preserve">EUR 7-8 </w:t>
            </w:r>
            <w:r w:rsidRPr="009B5734" w:rsidDel="004F315C">
              <w:rPr>
                <w:noProof/>
              </w:rPr>
              <w:t>million</w:t>
            </w:r>
          </w:p>
        </w:tc>
        <w:tc>
          <w:tcPr>
            <w:tcW w:w="1654"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 xml:space="preserve">EUR </w:t>
            </w:r>
            <w:r w:rsidRPr="009B5734">
              <w:rPr>
                <w:bCs/>
                <w:noProof/>
              </w:rPr>
              <w:t xml:space="preserve">103-104 </w:t>
            </w:r>
            <w:r w:rsidRPr="009B5734" w:rsidDel="004F315C">
              <w:rPr>
                <w:noProof/>
              </w:rPr>
              <w:t>million</w:t>
            </w:r>
          </w:p>
        </w:tc>
      </w:tr>
      <w:tr w:rsidR="00EA45F9" w:rsidRPr="009B5734" w:rsidTr="00C84A99">
        <w:trPr>
          <w:trHeight w:val="518"/>
        </w:trPr>
        <w:tc>
          <w:tcPr>
            <w:cnfStyle w:val="001000000000" w:firstRow="0" w:lastRow="0" w:firstColumn="1" w:lastColumn="0" w:oddVBand="0" w:evenVBand="0" w:oddHBand="0" w:evenHBand="0" w:firstRowFirstColumn="0" w:firstRowLastColumn="0" w:lastRowFirstColumn="0" w:lastRowLastColumn="0"/>
            <w:tcW w:w="1763" w:type="dxa"/>
            <w:vMerge w:val="restart"/>
            <w:shd w:val="clear" w:color="auto" w:fill="auto"/>
          </w:tcPr>
          <w:p w:rsidR="00EA45F9" w:rsidRPr="009B5734" w:rsidRDefault="00EA45F9" w:rsidP="00981615">
            <w:pPr>
              <w:pStyle w:val="Text2"/>
              <w:ind w:left="0" w:firstLine="0"/>
              <w:rPr>
                <w:noProof/>
              </w:rPr>
            </w:pPr>
            <w:r w:rsidRPr="009B5734">
              <w:rPr>
                <w:noProof/>
              </w:rPr>
              <w:t>Environmental impacts</w:t>
            </w:r>
          </w:p>
        </w:tc>
        <w:tc>
          <w:tcPr>
            <w:tcW w:w="1656"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Climate change (present value for period 2025-2040)</w:t>
            </w:r>
          </w:p>
        </w:tc>
        <w:tc>
          <w:tcPr>
            <w:tcW w:w="1653"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 xml:space="preserve">EUR </w:t>
            </w:r>
            <w:r w:rsidRPr="009B5734">
              <w:rPr>
                <w:bCs/>
                <w:noProof/>
              </w:rPr>
              <w:t xml:space="preserve">4 - 8 </w:t>
            </w:r>
            <w:r w:rsidRPr="009B5734" w:rsidDel="004F315C">
              <w:rPr>
                <w:noProof/>
              </w:rPr>
              <w:t>million</w:t>
            </w:r>
          </w:p>
        </w:tc>
        <w:tc>
          <w:tcPr>
            <w:tcW w:w="1654"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 xml:space="preserve">EUR </w:t>
            </w:r>
            <w:r w:rsidRPr="009B5734">
              <w:rPr>
                <w:bCs/>
                <w:noProof/>
              </w:rPr>
              <w:t>72 - 90 million</w:t>
            </w:r>
            <w:r w:rsidRPr="009B5734">
              <w:rPr>
                <w:noProof/>
              </w:rPr>
              <w:t xml:space="preserve"> </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763" w:type="dxa"/>
            <w:vMerge/>
            <w:shd w:val="clear" w:color="auto" w:fill="auto"/>
          </w:tcPr>
          <w:p w:rsidR="00EA45F9" w:rsidRPr="009B5734" w:rsidRDefault="00EA45F9" w:rsidP="00981615">
            <w:pPr>
              <w:pStyle w:val="Text2"/>
              <w:ind w:left="0" w:firstLine="0"/>
              <w:rPr>
                <w:noProof/>
              </w:rPr>
            </w:pPr>
          </w:p>
        </w:tc>
        <w:tc>
          <w:tcPr>
            <w:tcW w:w="1656"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Other environmental impacts</w:t>
            </w:r>
          </w:p>
        </w:tc>
        <w:tc>
          <w:tcPr>
            <w:tcW w:w="1653"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7/10</w:t>
            </w:r>
          </w:p>
        </w:tc>
        <w:tc>
          <w:tcPr>
            <w:tcW w:w="1654"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8/10</w:t>
            </w:r>
          </w:p>
        </w:tc>
      </w:tr>
      <w:tr w:rsidR="00EA45F9" w:rsidRPr="009B5734" w:rsidTr="00C84A99">
        <w:trPr>
          <w:trHeight w:val="518"/>
        </w:trPr>
        <w:tc>
          <w:tcPr>
            <w:cnfStyle w:val="001000000000" w:firstRow="0" w:lastRow="0" w:firstColumn="1" w:lastColumn="0" w:oddVBand="0" w:evenVBand="0" w:oddHBand="0" w:evenHBand="0" w:firstRowFirstColumn="0" w:firstRowLastColumn="0" w:lastRowFirstColumn="0" w:lastRowLastColumn="0"/>
            <w:tcW w:w="1763" w:type="dxa"/>
            <w:shd w:val="clear" w:color="auto" w:fill="auto"/>
          </w:tcPr>
          <w:p w:rsidR="00EA45F9" w:rsidRPr="009B5734" w:rsidRDefault="00EA45F9" w:rsidP="00981615">
            <w:pPr>
              <w:pStyle w:val="Text2"/>
              <w:ind w:left="0" w:firstLine="0"/>
              <w:rPr>
                <w:noProof/>
              </w:rPr>
            </w:pPr>
            <w:r w:rsidRPr="009B5734">
              <w:rPr>
                <w:noProof/>
              </w:rPr>
              <w:t>Coherence</w:t>
            </w:r>
          </w:p>
        </w:tc>
        <w:tc>
          <w:tcPr>
            <w:tcW w:w="1656"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Coherence with other EU legislation</w:t>
            </w:r>
          </w:p>
        </w:tc>
        <w:tc>
          <w:tcPr>
            <w:tcW w:w="1653"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8/10</w:t>
            </w:r>
          </w:p>
        </w:tc>
        <w:tc>
          <w:tcPr>
            <w:tcW w:w="1654"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8/10</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763" w:type="dxa"/>
            <w:vMerge w:val="restart"/>
            <w:shd w:val="clear" w:color="auto" w:fill="auto"/>
          </w:tcPr>
          <w:p w:rsidR="00EA45F9" w:rsidRPr="009B5734" w:rsidRDefault="00EA45F9" w:rsidP="00981615">
            <w:pPr>
              <w:pStyle w:val="Text2"/>
              <w:ind w:left="0" w:firstLine="0"/>
              <w:rPr>
                <w:noProof/>
              </w:rPr>
            </w:pPr>
            <w:r w:rsidRPr="009B5734">
              <w:rPr>
                <w:noProof/>
              </w:rPr>
              <w:t>Overarching impacts</w:t>
            </w:r>
          </w:p>
        </w:tc>
        <w:tc>
          <w:tcPr>
            <w:tcW w:w="1656"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Circularity and sustainable consumption</w:t>
            </w:r>
          </w:p>
        </w:tc>
        <w:tc>
          <w:tcPr>
            <w:tcW w:w="1653"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6/10</w:t>
            </w:r>
          </w:p>
        </w:tc>
        <w:tc>
          <w:tcPr>
            <w:tcW w:w="1654"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8/10</w:t>
            </w:r>
          </w:p>
        </w:tc>
      </w:tr>
      <w:tr w:rsidR="00EA45F9" w:rsidRPr="009B5734" w:rsidTr="00C84A99">
        <w:trPr>
          <w:trHeight w:val="518"/>
        </w:trPr>
        <w:tc>
          <w:tcPr>
            <w:cnfStyle w:val="001000000000" w:firstRow="0" w:lastRow="0" w:firstColumn="1" w:lastColumn="0" w:oddVBand="0" w:evenVBand="0" w:oddHBand="0" w:evenHBand="0" w:firstRowFirstColumn="0" w:firstRowLastColumn="0" w:lastRowFirstColumn="0" w:lastRowLastColumn="0"/>
            <w:tcW w:w="1763" w:type="dxa"/>
            <w:vMerge/>
            <w:shd w:val="clear" w:color="auto" w:fill="auto"/>
          </w:tcPr>
          <w:p w:rsidR="00EA45F9" w:rsidRPr="009B5734" w:rsidRDefault="00EA45F9" w:rsidP="00981615">
            <w:pPr>
              <w:pStyle w:val="Text2"/>
              <w:ind w:left="0" w:firstLine="0"/>
              <w:rPr>
                <w:noProof/>
              </w:rPr>
            </w:pPr>
          </w:p>
        </w:tc>
        <w:tc>
          <w:tcPr>
            <w:tcW w:w="1656"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Application of the EU legal framework</w:t>
            </w:r>
          </w:p>
        </w:tc>
        <w:tc>
          <w:tcPr>
            <w:tcW w:w="1653"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5/10</w:t>
            </w:r>
          </w:p>
        </w:tc>
        <w:tc>
          <w:tcPr>
            <w:tcW w:w="1654"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8/10</w:t>
            </w:r>
          </w:p>
        </w:tc>
      </w:tr>
    </w:tbl>
    <w:p w:rsidR="00EA45F9" w:rsidRPr="009B5734" w:rsidRDefault="00EA45F9" w:rsidP="00EA45F9">
      <w:pPr>
        <w:rPr>
          <w:noProof/>
        </w:rPr>
      </w:pPr>
    </w:p>
    <w:p w:rsidR="00EA45F9" w:rsidRPr="009B5734" w:rsidRDefault="00A00208" w:rsidP="00A00208">
      <w:pPr>
        <w:pStyle w:val="Heading4"/>
        <w:rPr>
          <w:noProof/>
        </w:rPr>
      </w:pPr>
      <w:bookmarkStart w:id="716" w:name="_Toc60734122"/>
      <w:bookmarkStart w:id="717" w:name="_Toc75441012"/>
      <w:bookmarkStart w:id="718" w:name="_Toc75447011"/>
      <w:bookmarkStart w:id="719" w:name="_Toc75448884"/>
      <w:bookmarkEnd w:id="715"/>
      <w:r w:rsidRPr="00A00208">
        <w:t>2.2.</w:t>
      </w:r>
      <w:r w:rsidRPr="00A00208">
        <w:tab/>
      </w:r>
      <w:r w:rsidR="00EA45F9" w:rsidRPr="009B5734">
        <w:rPr>
          <w:noProof/>
        </w:rPr>
        <w:t xml:space="preserve">Sub-Problem 2.2: </w:t>
      </w:r>
      <w:bookmarkEnd w:id="716"/>
      <w:bookmarkEnd w:id="717"/>
      <w:bookmarkEnd w:id="718"/>
      <w:bookmarkEnd w:id="719"/>
      <w:r w:rsidR="00D60C0B" w:rsidRPr="009B5734">
        <w:rPr>
          <w:noProof/>
        </w:rPr>
        <w:t>Consumers are faced with the practice of making unclear or not well-substantiated green claims (“Greenwashing”)</w:t>
      </w:r>
    </w:p>
    <w:p w:rsidR="00EA45F9" w:rsidRPr="004931D3" w:rsidRDefault="00EA45F9">
      <w:pPr>
        <w:pStyle w:val="Heading5"/>
        <w:rPr>
          <w:rFonts w:ascii="Times New Roman" w:hAnsi="Times New Roman" w:cs="Times New Roman"/>
          <w:i w:val="0"/>
          <w:noProof/>
          <w:sz w:val="24"/>
        </w:rPr>
      </w:pPr>
      <w:bookmarkStart w:id="720" w:name="_Toc75441013"/>
      <w:bookmarkStart w:id="721" w:name="_Toc75447012"/>
      <w:bookmarkStart w:id="722" w:name="_Toc75448885"/>
      <w:bookmarkStart w:id="723" w:name="_Toc60734123"/>
      <w:r w:rsidRPr="6B053803">
        <w:rPr>
          <w:rFonts w:ascii="Times New Roman" w:hAnsi="Times New Roman" w:cs="Times New Roman"/>
          <w:i w:val="0"/>
          <w:noProof/>
          <w:sz w:val="24"/>
        </w:rPr>
        <w:t>Assessment of the options</w:t>
      </w:r>
      <w:bookmarkEnd w:id="720"/>
      <w:bookmarkEnd w:id="721"/>
      <w:bookmarkEnd w:id="722"/>
    </w:p>
    <w:tbl>
      <w:tblPr>
        <w:tblStyle w:val="GridTable1Light-Accent2"/>
        <w:tblW w:w="0" w:type="auto"/>
        <w:tblLook w:val="04A0" w:firstRow="1" w:lastRow="0" w:firstColumn="1" w:lastColumn="0" w:noHBand="0" w:noVBand="1"/>
      </w:tblPr>
      <w:tblGrid>
        <w:gridCol w:w="8607"/>
      </w:tblGrid>
      <w:tr w:rsidR="00B30A0F" w:rsidRPr="009B5734" w:rsidTr="00C84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right w:val="single" w:sz="4" w:space="0" w:color="E5B8B7" w:themeColor="accent2" w:themeTint="66"/>
            </w:tcBorders>
            <w:shd w:val="clear" w:color="auto" w:fill="E5B8B7" w:themeFill="accent2" w:themeFillTint="66"/>
            <w:hideMark/>
          </w:tcPr>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Option 2.2.A: Ban of general /vague environmental claims  </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consumers: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Quality of decision-making: </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b w:val="0"/>
                <w:noProof/>
                <w:sz w:val="24"/>
              </w:rPr>
              <w:t xml:space="preserve">Under this option, general/vague statements on the environmental performance of products (such as “good for the environment”, “friend of nature” etc.) would be forbidden unless the product is considered to have an “environmentally excellent performance”. This can be proven by the EU Eco-label, or equivalent public ecolabels at the national level or in accordance with </w:t>
            </w:r>
            <w:r w:rsidR="00B53A16" w:rsidRPr="009B5734">
              <w:rPr>
                <w:rFonts w:ascii="Times New Roman" w:hAnsi="Times New Roman" w:cs="Times New Roman"/>
                <w:b w:val="0"/>
                <w:noProof/>
                <w:sz w:val="24"/>
              </w:rPr>
              <w:t xml:space="preserve">the </w:t>
            </w:r>
            <w:r w:rsidR="00D62DBA">
              <w:rPr>
                <w:rFonts w:ascii="Times New Roman" w:hAnsi="Times New Roman" w:cs="Times New Roman"/>
                <w:b w:val="0"/>
                <w:noProof/>
                <w:sz w:val="24"/>
              </w:rPr>
              <w:t>G</w:t>
            </w:r>
            <w:r w:rsidR="00B53A16" w:rsidRPr="009B5734">
              <w:rPr>
                <w:rFonts w:ascii="Times New Roman" w:hAnsi="Times New Roman" w:cs="Times New Roman"/>
                <w:b w:val="0"/>
                <w:noProof/>
                <w:sz w:val="24"/>
              </w:rPr>
              <w:t xml:space="preserve">reen </w:t>
            </w:r>
            <w:r w:rsidR="00D62DBA">
              <w:rPr>
                <w:rFonts w:ascii="Times New Roman" w:hAnsi="Times New Roman" w:cs="Times New Roman"/>
                <w:b w:val="0"/>
                <w:noProof/>
                <w:sz w:val="24"/>
              </w:rPr>
              <w:t>C</w:t>
            </w:r>
            <w:r w:rsidR="00B53A16" w:rsidRPr="009B5734">
              <w:rPr>
                <w:rFonts w:ascii="Times New Roman" w:hAnsi="Times New Roman" w:cs="Times New Roman"/>
                <w:b w:val="0"/>
                <w:noProof/>
                <w:sz w:val="24"/>
              </w:rPr>
              <w:t xml:space="preserve">laims </w:t>
            </w:r>
            <w:r w:rsidR="00D62DBA">
              <w:rPr>
                <w:rFonts w:ascii="Times New Roman" w:hAnsi="Times New Roman" w:cs="Times New Roman"/>
                <w:b w:val="0"/>
                <w:noProof/>
                <w:sz w:val="24"/>
              </w:rPr>
              <w:t>I</w:t>
            </w:r>
            <w:r w:rsidR="00B53A16" w:rsidRPr="009B5734">
              <w:rPr>
                <w:rFonts w:ascii="Times New Roman" w:hAnsi="Times New Roman" w:cs="Times New Roman"/>
                <w:b w:val="0"/>
                <w:noProof/>
                <w:sz w:val="24"/>
              </w:rPr>
              <w:t>nitiative</w:t>
            </w:r>
            <w:r w:rsidRPr="009B5734">
              <w:rPr>
                <w:rFonts w:ascii="Times New Roman" w:hAnsi="Times New Roman" w:cs="Times New Roman"/>
                <w:b w:val="0"/>
                <w:noProof/>
                <w:sz w:val="24"/>
              </w:rPr>
              <w:t xml:space="preserve">. This option would complement the </w:t>
            </w:r>
            <w:r w:rsidR="00D62DBA">
              <w:rPr>
                <w:rFonts w:ascii="Times New Roman" w:hAnsi="Times New Roman" w:cs="Times New Roman"/>
                <w:b w:val="0"/>
                <w:noProof/>
                <w:sz w:val="24"/>
              </w:rPr>
              <w:t>G</w:t>
            </w:r>
            <w:r w:rsidRPr="009B5734">
              <w:rPr>
                <w:rFonts w:ascii="Times New Roman" w:hAnsi="Times New Roman" w:cs="Times New Roman"/>
                <w:b w:val="0"/>
                <w:noProof/>
                <w:sz w:val="24"/>
              </w:rPr>
              <w:t xml:space="preserve">reen </w:t>
            </w:r>
            <w:r w:rsidR="00D62DBA">
              <w:rPr>
                <w:rFonts w:ascii="Times New Roman" w:hAnsi="Times New Roman" w:cs="Times New Roman"/>
                <w:b w:val="0"/>
                <w:noProof/>
                <w:sz w:val="24"/>
              </w:rPr>
              <w:t>C</w:t>
            </w:r>
            <w:r w:rsidRPr="009B5734">
              <w:rPr>
                <w:rFonts w:ascii="Times New Roman" w:hAnsi="Times New Roman" w:cs="Times New Roman"/>
                <w:b w:val="0"/>
                <w:noProof/>
                <w:sz w:val="24"/>
              </w:rPr>
              <w:t xml:space="preserve">laims </w:t>
            </w:r>
            <w:r w:rsidR="00D62DBA">
              <w:rPr>
                <w:rFonts w:ascii="Times New Roman" w:hAnsi="Times New Roman" w:cs="Times New Roman"/>
                <w:b w:val="0"/>
                <w:noProof/>
                <w:sz w:val="24"/>
              </w:rPr>
              <w:t>I</w:t>
            </w:r>
            <w:r w:rsidRPr="009B5734">
              <w:rPr>
                <w:rFonts w:ascii="Times New Roman" w:hAnsi="Times New Roman" w:cs="Times New Roman"/>
                <w:b w:val="0"/>
                <w:noProof/>
                <w:sz w:val="24"/>
              </w:rPr>
              <w:t>nitiative that will not specifically address vague statements. General and vague environmental claims can mislead consumers into purchasing products that are not as “good for the environment” as the consumers are made to believe. This problem is one of the most common greenwashing practices and has been documented by various studies. It is also in line with the evidence collected in the stakeholder consultations carried out in the context of this study, including the feedback from the national enforcers further to the recent “sweep”. The Guidance on the application of the Unfair Commercial Practices Directive already recommended in 2016 to avoid such vague statements. By banning such vague statements (unless there are robust indications of environmental excellence of products) the option prevents consumers from taking decisions based on unreliable information and also highlights which products are truly “environmental excellent”. The option is expected to have a positive impact on the decision making of consumers. (8/10)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Consumer protection: </w:t>
            </w:r>
            <w:r w:rsidRPr="009B5734">
              <w:rPr>
                <w:rFonts w:ascii="Times New Roman" w:hAnsi="Times New Roman" w:cs="Times New Roman"/>
                <w:b w:val="0"/>
                <w:noProof/>
                <w:sz w:val="24"/>
              </w:rPr>
              <w:t>This option contributes to protecting consumers from basing their purchasing decisions (possibly involving monetary trade-offs) on misleading decision. (7/10)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Consumer trust: </w:t>
            </w:r>
            <w:r w:rsidRPr="009B5734">
              <w:rPr>
                <w:rFonts w:ascii="Times New Roman" w:hAnsi="Times New Roman" w:cs="Times New Roman"/>
                <w:b w:val="0"/>
                <w:noProof/>
                <w:sz w:val="24"/>
              </w:rPr>
              <w:t>Evidence from literature suggests that the proliferation of vague environmental claims has been contributing to a decrease in consumer confidence in environmental information. By banning this type of statements (unless properly substantiated) this option is expected to have a positive impact on consumer trust. This has also been highlighted by stakeholders from all groups and by the independent experts consulted. (8/10)</w:t>
            </w:r>
          </w:p>
          <w:p w:rsidR="00EA45F9" w:rsidRPr="004931D3" w:rsidRDefault="00EA45F9" w:rsidP="004931D3">
            <w:pPr>
              <w:pStyle w:val="BTBullet1Last"/>
              <w:tabs>
                <w:tab w:val="clear" w:pos="1191"/>
                <w:tab w:val="left" w:pos="708"/>
              </w:tabs>
              <w:spacing w:after="0"/>
              <w:ind w:left="0" w:firstLine="0"/>
              <w:rPr>
                <w:rFonts w:ascii="Times New Roman" w:hAnsi="Times New Roman"/>
                <w:b w:val="0"/>
                <w:noProof/>
                <w:sz w:val="24"/>
              </w:rPr>
            </w:pPr>
            <w:r w:rsidRPr="6B053803">
              <w:rPr>
                <w:rFonts w:ascii="Times New Roman" w:hAnsi="Times New Roman"/>
                <w:noProof/>
                <w:sz w:val="24"/>
              </w:rPr>
              <w:t xml:space="preserve">Monetisable Consumer welfare: </w:t>
            </w:r>
            <w:r w:rsidRPr="00AB7BD8">
              <w:rPr>
                <w:rFonts w:ascii="Times New Roman" w:hAnsi="Times New Roman"/>
                <w:b w:val="0"/>
                <w:noProof/>
                <w:sz w:val="24"/>
              </w:rPr>
              <w:t>The approach to quantification of the impact of the option on the monetisable consumer welfare was the following:</w:t>
            </w:r>
          </w:p>
          <w:p w:rsidR="00EA45F9" w:rsidRPr="009B5734" w:rsidRDefault="00EA45F9" w:rsidP="00981615">
            <w:pPr>
              <w:pStyle w:val="BTBullet1Last"/>
              <w:tabs>
                <w:tab w:val="clear" w:pos="1191"/>
                <w:tab w:val="left" w:pos="708"/>
              </w:tabs>
              <w:spacing w:after="0"/>
              <w:ind w:left="0" w:firstLine="0"/>
              <w:rPr>
                <w:rFonts w:ascii="Times New Roman" w:hAnsi="Times New Roman"/>
                <w:b w:val="0"/>
                <w:noProof/>
                <w:sz w:val="24"/>
              </w:rPr>
            </w:pPr>
            <w:r w:rsidRPr="009B5734">
              <w:rPr>
                <w:rFonts w:ascii="Times New Roman" w:hAnsi="Times New Roman"/>
                <w:b w:val="0"/>
                <w:noProof/>
                <w:sz w:val="24"/>
              </w:rPr>
              <w:t>Step 1. Estimate the percentage of products carrying vague/general environmental claims that will be forbidden if the option is implemented.</w:t>
            </w:r>
            <w:r w:rsidRPr="009B5734">
              <w:rPr>
                <w:rStyle w:val="FootnoteReference"/>
                <w:rFonts w:ascii="Times New Roman" w:eastAsiaTheme="majorEastAsia" w:hAnsi="Times New Roman"/>
                <w:b w:val="0"/>
                <w:noProof/>
                <w:sz w:val="24"/>
              </w:rPr>
              <w:footnoteReference w:id="238"/>
            </w:r>
          </w:p>
          <w:p w:rsidR="00EA45F9" w:rsidRPr="009B5734" w:rsidRDefault="00EA45F9" w:rsidP="00981615">
            <w:pPr>
              <w:pStyle w:val="BTBullet1Last"/>
              <w:tabs>
                <w:tab w:val="clear" w:pos="1191"/>
                <w:tab w:val="left" w:pos="708"/>
              </w:tabs>
              <w:spacing w:after="0"/>
              <w:ind w:left="0" w:firstLine="0"/>
              <w:rPr>
                <w:rFonts w:ascii="Times New Roman" w:hAnsi="Times New Roman"/>
                <w:b w:val="0"/>
                <w:noProof/>
                <w:sz w:val="24"/>
              </w:rPr>
            </w:pPr>
            <w:r w:rsidRPr="009B5734">
              <w:rPr>
                <w:rFonts w:ascii="Times New Roman" w:hAnsi="Times New Roman"/>
                <w:b w:val="0"/>
                <w:noProof/>
                <w:sz w:val="24"/>
              </w:rPr>
              <w:t>Step 2. Estimate the share of consumers that were purchasing those products (in the baseline) and that will not buy them anymore and will purchase “greener” products instead.</w:t>
            </w:r>
          </w:p>
          <w:p w:rsidR="00EA45F9" w:rsidRPr="009B5734" w:rsidRDefault="00EA45F9" w:rsidP="00981615">
            <w:pPr>
              <w:pStyle w:val="BTBullet1Last"/>
              <w:tabs>
                <w:tab w:val="clear" w:pos="1191"/>
                <w:tab w:val="left" w:pos="708"/>
              </w:tabs>
              <w:spacing w:after="0"/>
              <w:ind w:left="0" w:firstLine="0"/>
              <w:rPr>
                <w:rFonts w:ascii="Times New Roman" w:hAnsi="Times New Roman"/>
                <w:b w:val="0"/>
                <w:noProof/>
                <w:sz w:val="24"/>
              </w:rPr>
            </w:pPr>
            <w:r w:rsidRPr="009B5734">
              <w:rPr>
                <w:rFonts w:ascii="Times New Roman" w:hAnsi="Times New Roman"/>
                <w:b w:val="0"/>
                <w:noProof/>
                <w:sz w:val="24"/>
              </w:rPr>
              <w:t>Step 3. Estimate how much the consumers that switched to greener products are willing to pay for these “greener products”.</w:t>
            </w:r>
            <w:r w:rsidRPr="009B5734">
              <w:rPr>
                <w:rStyle w:val="FootnoteReference"/>
                <w:rFonts w:ascii="Times New Roman" w:eastAsiaTheme="majorEastAsia" w:hAnsi="Times New Roman"/>
                <w:b w:val="0"/>
                <w:noProof/>
                <w:sz w:val="24"/>
              </w:rPr>
              <w:footnoteReference w:id="239"/>
            </w:r>
          </w:p>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b w:val="0"/>
                <w:noProof/>
                <w:sz w:val="24"/>
                <w:szCs w:val="24"/>
              </w:rPr>
              <w:t xml:space="preserve">The option is thus expected to lead to an increase in the consumer surplus, which is estimated to amount to EUR </w:t>
            </w:r>
            <w:r w:rsidRPr="009B5734">
              <w:rPr>
                <w:rFonts w:ascii="Times New Roman" w:hAnsi="Times New Roman"/>
                <w:b w:val="0"/>
                <w:noProof/>
                <w:sz w:val="24"/>
              </w:rPr>
              <w:t xml:space="preserve">2 155 – 3 960 </w:t>
            </w:r>
            <w:r w:rsidRPr="009B5734">
              <w:rPr>
                <w:rFonts w:ascii="Times New Roman" w:hAnsi="Times New Roman" w:cs="Times New Roman"/>
                <w:b w:val="0"/>
                <w:noProof/>
                <w:sz w:val="24"/>
                <w:szCs w:val="24"/>
              </w:rPr>
              <w:t>million (present value for the period 2025-2040). (8/10)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businesses: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Level-playing field: </w:t>
            </w:r>
            <w:r w:rsidRPr="009B5734">
              <w:rPr>
                <w:rFonts w:ascii="Times New Roman" w:hAnsi="Times New Roman" w:cs="Times New Roman"/>
                <w:b w:val="0"/>
                <w:noProof/>
                <w:sz w:val="24"/>
              </w:rPr>
              <w:t>The impact of the option on the level-playing field is expected to be positive as products with unsubstantiated vague claims will no longer be as competitive as products that are indeed environmentally excellent and favoured to the detriment of products without environmental claims.   (8/10)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Reduction of barriers to cross-border trade: </w:t>
            </w:r>
            <w:r w:rsidRPr="009B5734">
              <w:rPr>
                <w:rFonts w:ascii="Times New Roman" w:hAnsi="Times New Roman" w:cs="Times New Roman"/>
                <w:b w:val="0"/>
                <w:noProof/>
                <w:sz w:val="24"/>
              </w:rPr>
              <w:t>No impacts identified.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Administrative burdens: </w:t>
            </w:r>
            <w:r w:rsidRPr="009B5734">
              <w:rPr>
                <w:rFonts w:ascii="Times New Roman" w:hAnsi="Times New Roman" w:cs="Times New Roman"/>
                <w:b w:val="0"/>
                <w:noProof/>
                <w:sz w:val="24"/>
              </w:rPr>
              <w:t xml:space="preserve">No impacts identified. </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Substantive compliance costs: </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b w:val="0"/>
                <w:noProof/>
                <w:sz w:val="24"/>
              </w:rPr>
              <w:t xml:space="preserve">Products with unsubstantiated vague claims will have to have these claims removed. The time between the approval of the option and its implementation will allow businesses to adjust to the new rules and so most of the products will not hold those claims any longer. The removal of the claims would require adjustments to product packages, flyers, etc., but this will be a one-off cost. For the very small share of products in stock just before the implementation of the option, it is assumed that the claims will be removed by the seller (for example, by covering them with a sticker). This will impose some costs in the first two years of implementation of the option, after which we assume that all these products have been sold. The substantive compliance costs are estimated at </w:t>
            </w:r>
            <w:r w:rsidRPr="009B5734">
              <w:rPr>
                <w:rFonts w:ascii="Times New Roman" w:eastAsia="Times New Roman" w:hAnsi="Times New Roman" w:cs="Times New Roman"/>
                <w:b w:val="0"/>
                <w:noProof/>
                <w:sz w:val="24"/>
                <w:szCs w:val="20"/>
              </w:rPr>
              <w:t xml:space="preserve">EUR 2 900 – 3 150 </w:t>
            </w:r>
            <w:r w:rsidRPr="009B5734">
              <w:rPr>
                <w:rFonts w:ascii="Times New Roman" w:hAnsi="Times New Roman" w:cs="Times New Roman"/>
                <w:b w:val="0"/>
                <w:noProof/>
                <w:sz w:val="24"/>
              </w:rPr>
              <w:t>million for the period 2025-2040 (present value)</w:t>
            </w:r>
            <w:r w:rsidR="00932EEA" w:rsidRPr="009B5734">
              <w:rPr>
                <w:rStyle w:val="FootnoteReference"/>
                <w:rFonts w:ascii="Times New Roman" w:hAnsi="Times New Roman" w:cs="Times New Roman"/>
                <w:b w:val="0"/>
                <w:noProof/>
                <w:sz w:val="24"/>
              </w:rPr>
              <w:footnoteReference w:id="240"/>
            </w:r>
            <w:r w:rsidRPr="009B5734">
              <w:rPr>
                <w:rFonts w:ascii="Times New Roman" w:hAnsi="Times New Roman" w:cs="Times New Roman"/>
                <w:b w:val="0"/>
                <w:noProof/>
                <w:sz w:val="24"/>
              </w:rPr>
              <w:t>.</w:t>
            </w:r>
            <w:r w:rsidR="00F27C8D" w:rsidRPr="009B5734">
              <w:rPr>
                <w:rFonts w:ascii="Times New Roman" w:hAnsi="Times New Roman" w:cs="Times New Roman"/>
                <w:b w:val="0"/>
                <w:noProof/>
                <w:sz w:val="24"/>
              </w:rPr>
              <w:t xml:space="preserve">  </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Indirect costs: </w:t>
            </w:r>
            <w:r w:rsidRPr="009B5734">
              <w:rPr>
                <w:rFonts w:ascii="Times New Roman" w:hAnsi="Times New Roman" w:cs="Times New Roman"/>
                <w:b w:val="0"/>
                <w:noProof/>
                <w:sz w:val="24"/>
              </w:rPr>
              <w:t>No impacts identified.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SME growth:</w:t>
            </w:r>
            <w:r w:rsidRPr="009B5734">
              <w:rPr>
                <w:rFonts w:ascii="Times New Roman" w:hAnsi="Times New Roman" w:cs="Times New Roman"/>
                <w:b w:val="0"/>
                <w:noProof/>
                <w:sz w:val="24"/>
              </w:rPr>
              <w:t xml:space="preserve"> No impacts identified. (5/10)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public administrations:</w:t>
            </w:r>
          </w:p>
          <w:p w:rsidR="00EA45F9" w:rsidRPr="009B5734" w:rsidRDefault="00EA45F9" w:rsidP="009969F2">
            <w:pPr>
              <w:ind w:left="0" w:firstLine="0"/>
              <w:rPr>
                <w:rFonts w:ascii="Times New Roman" w:hAnsi="Times New Roman" w:cs="Times New Roman"/>
                <w:noProof/>
                <w:sz w:val="24"/>
              </w:rPr>
            </w:pPr>
            <w:r w:rsidRPr="009B5734">
              <w:rPr>
                <w:rFonts w:ascii="Times New Roman" w:hAnsi="Times New Roman" w:cs="Times New Roman"/>
                <w:noProof/>
                <w:sz w:val="24"/>
              </w:rPr>
              <w:t xml:space="preserve">Enforcement costs and other costs: </w:t>
            </w:r>
            <w:r w:rsidRPr="009B5734">
              <w:rPr>
                <w:rFonts w:ascii="Times New Roman" w:hAnsi="Times New Roman" w:cs="Times New Roman"/>
                <w:b w:val="0"/>
                <w:noProof/>
                <w:sz w:val="24"/>
              </w:rPr>
              <w:t xml:space="preserve">Enforcement of the option will </w:t>
            </w:r>
            <w:r w:rsidR="009969F2" w:rsidRPr="009B5734">
              <w:rPr>
                <w:rFonts w:ascii="Times New Roman" w:hAnsi="Times New Roman" w:cs="Times New Roman"/>
                <w:b w:val="0"/>
                <w:noProof/>
                <w:sz w:val="24"/>
              </w:rPr>
              <w:t>be facilitated by the fact that it specifies what type of proof is accepted in order to use vague environmental claims (e.g. environmentally excellent performance as attested for example by the presence of the EU Ecolabel).</w:t>
            </w:r>
            <w:r w:rsidRPr="009B5734" w:rsidDel="008D4AB9">
              <w:rPr>
                <w:rFonts w:ascii="Times New Roman" w:hAnsi="Times New Roman" w:cs="Times New Roman"/>
                <w:b w:val="0"/>
                <w:noProof/>
                <w:sz w:val="24"/>
              </w:rPr>
              <w:t xml:space="preserve"> </w:t>
            </w:r>
            <w:r w:rsidRPr="009B5734">
              <w:rPr>
                <w:rFonts w:ascii="Times New Roman" w:hAnsi="Times New Roman" w:cs="Times New Roman"/>
                <w:b w:val="0"/>
                <w:noProof/>
                <w:sz w:val="24"/>
              </w:rPr>
              <w:t>Some of the interviewed CPC authorities indicated that the option could lead to savings as it will help them to prove the practice of “greenwashing” more easily (less resources are needed to substantiate their assessment).</w:t>
            </w:r>
            <w:r w:rsidRPr="009B5734">
              <w:rPr>
                <w:noProof/>
              </w:rPr>
              <w:t xml:space="preserve"> </w:t>
            </w:r>
            <w:r w:rsidRPr="009B5734">
              <w:rPr>
                <w:rFonts w:ascii="Times New Roman" w:hAnsi="Times New Roman" w:cs="Times New Roman"/>
                <w:b w:val="0"/>
                <w:noProof/>
                <w:sz w:val="24"/>
              </w:rPr>
              <w:t>For these Member States, the option is not expected to bring incremental costs. For the others, it will require one Full Time equivalent working half time with 50% of its time devoted to monitoring, 25% to inspections and the remaining 25% to handle complaints. Overall, the enforcement costs are estimated at EUR 7-12 million for the period 2025-2040 (present value).</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Environmental impacts: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Climate change: </w:t>
            </w:r>
            <w:r w:rsidRPr="009B5734">
              <w:rPr>
                <w:rFonts w:ascii="Times New Roman" w:hAnsi="Times New Roman" w:cs="Times New Roman"/>
                <w:b w:val="0"/>
                <w:noProof/>
                <w:sz w:val="24"/>
              </w:rPr>
              <w:t xml:space="preserve">As a result of the implementation of the option, (some) consumers will purchase products that will be truly greener (instead of those that only claim to be). </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b w:val="0"/>
                <w:noProof/>
                <w:sz w:val="24"/>
              </w:rPr>
              <w:t>It is not possible to assess how much “greener” those products will be (compared to the alternative that would be purchased in the baseline). For this reason, while it is expected that this impact is highly positive, an exact quantification of the impacts is not possible.</w:t>
            </w:r>
          </w:p>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Other environmental impacts change. </w:t>
            </w:r>
            <w:r w:rsidRPr="009B5734">
              <w:rPr>
                <w:rFonts w:ascii="Times New Roman" w:hAnsi="Times New Roman" w:cs="Times New Roman"/>
                <w:b w:val="0"/>
                <w:noProof/>
                <w:sz w:val="24"/>
              </w:rPr>
              <w:t>The impact on other environmental impacts is also expected to be positive. (7/10)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B96C59">
            <w:pPr>
              <w:ind w:left="0" w:firstLine="0"/>
              <w:rPr>
                <w:rFonts w:ascii="Times New Roman" w:hAnsi="Times New Roman" w:cs="Times New Roman"/>
                <w:noProof/>
                <w:sz w:val="24"/>
              </w:rPr>
            </w:pPr>
            <w:r w:rsidRPr="009B5734">
              <w:rPr>
                <w:rFonts w:ascii="Times New Roman" w:hAnsi="Times New Roman" w:cs="Times New Roman"/>
                <w:noProof/>
                <w:sz w:val="24"/>
              </w:rPr>
              <w:t xml:space="preserve">Coherence: </w:t>
            </w:r>
            <w:r w:rsidRPr="009B5734">
              <w:rPr>
                <w:rFonts w:ascii="Times New Roman" w:hAnsi="Times New Roman" w:cs="Times New Roman"/>
                <w:b w:val="0"/>
                <w:noProof/>
                <w:sz w:val="24"/>
              </w:rPr>
              <w:t>No issue of coherence identified. The option will complement the general safety net of the UCPD. (8/10)</w:t>
            </w:r>
            <w:r w:rsidRPr="009B5734">
              <w:rPr>
                <w:rFonts w:ascii="Times New Roman" w:hAnsi="Times New Roman" w:cs="Times New Roman"/>
                <w:noProof/>
                <w:sz w:val="24"/>
              </w:rPr>
              <w:t xml:space="preserve"> </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Overarching impacts: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Circularity and sustainable consumption: </w:t>
            </w:r>
            <w:r w:rsidRPr="009B5734">
              <w:rPr>
                <w:rFonts w:ascii="Times New Roman" w:hAnsi="Times New Roman" w:cs="Times New Roman"/>
                <w:b w:val="0"/>
                <w:noProof/>
                <w:sz w:val="24"/>
              </w:rPr>
              <w:t>The option will, in principle, increase the consumption of more sustainable products. (7/10)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Application of the EU legal consumer framework: </w:t>
            </w:r>
            <w:r w:rsidRPr="009B5734">
              <w:rPr>
                <w:rFonts w:ascii="Times New Roman" w:hAnsi="Times New Roman" w:cs="Times New Roman"/>
                <w:b w:val="0"/>
                <w:noProof/>
                <w:sz w:val="24"/>
              </w:rPr>
              <w:t>This option will have a positive impact on ensuring a better and coherent application of the EU legal consumer framework, in particular of the UCPD. (8/10)</w:t>
            </w:r>
          </w:p>
          <w:p w:rsidR="00EA45F9" w:rsidRPr="009B5734" w:rsidRDefault="00EA45F9" w:rsidP="00981615">
            <w:pPr>
              <w:ind w:left="0" w:firstLine="0"/>
              <w:rPr>
                <w:rFonts w:ascii="Times New Roman" w:hAnsi="Times New Roman" w:cs="Times New Roman"/>
                <w:noProof/>
                <w:sz w:val="24"/>
              </w:rPr>
            </w:pPr>
          </w:p>
        </w:tc>
      </w:tr>
      <w:bookmarkEnd w:id="723"/>
    </w:tbl>
    <w:p w:rsidR="00EA45F9" w:rsidRPr="009B5734" w:rsidRDefault="00EA45F9" w:rsidP="00EA45F9">
      <w:pPr>
        <w:ind w:left="0" w:firstLine="0"/>
        <w:rPr>
          <w:noProof/>
        </w:rPr>
      </w:pPr>
    </w:p>
    <w:tbl>
      <w:tblPr>
        <w:tblStyle w:val="GridTable1Light-Accent2"/>
        <w:tblW w:w="0" w:type="auto"/>
        <w:tblLook w:val="04A0" w:firstRow="1" w:lastRow="0" w:firstColumn="1" w:lastColumn="0" w:noHBand="0" w:noVBand="1"/>
      </w:tblPr>
      <w:tblGrid>
        <w:gridCol w:w="8607"/>
      </w:tblGrid>
      <w:tr w:rsidR="00B30A0F" w:rsidRPr="009B5734" w:rsidTr="00C84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right w:val="single" w:sz="4" w:space="0" w:color="E5B8B7" w:themeColor="accent2" w:themeTint="66"/>
            </w:tcBorders>
            <w:shd w:val="clear" w:color="auto" w:fill="E5B8B7" w:themeFill="accent2" w:themeFillTint="66"/>
            <w:hideMark/>
          </w:tcPr>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Option 2.2.B: Prohibition of environmental claims that do not fulfil a minimum set of criteria</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consumers:</w:t>
            </w:r>
          </w:p>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Quality of decision-making: </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b w:val="0"/>
                <w:noProof/>
                <w:sz w:val="24"/>
              </w:rPr>
              <w:t>Unsubstantiated environmental claims misinform consumers and also reduce the capacity of the substantiated claims to inform decisions.</w:t>
            </w:r>
            <w:r w:rsidRPr="009B5734">
              <w:rPr>
                <w:rFonts w:ascii="Times New Roman" w:hAnsi="Times New Roman" w:cs="Times New Roman"/>
                <w:b w:val="0"/>
                <w:noProof/>
                <w:sz w:val="24"/>
                <w:szCs w:val="24"/>
              </w:rPr>
              <w:t xml:space="preserve"> This option would particularly act as a safety net for the claims not covered under the Green Claims Initiative (for instance, claims </w:t>
            </w:r>
            <w:r w:rsidRPr="009B5734">
              <w:rPr>
                <w:rFonts w:ascii="Times New Roman" w:hAnsi="Times New Roman"/>
                <w:b w:val="0"/>
                <w:noProof/>
                <w:sz w:val="24"/>
              </w:rPr>
              <w:t>made on biodiversity, forest management, reparability, durability or implicit claims like imagery and overall product presentation including layout, choice of colours, images, pictures and sounds)</w:t>
            </w:r>
            <w:r w:rsidRPr="009B5734">
              <w:rPr>
                <w:rFonts w:ascii="Times New Roman" w:hAnsi="Times New Roman" w:cs="Times New Roman"/>
                <w:b w:val="0"/>
                <w:noProof/>
                <w:sz w:val="24"/>
                <w:szCs w:val="24"/>
              </w:rPr>
              <w:t>.</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b w:val="0"/>
                <w:noProof/>
                <w:sz w:val="24"/>
              </w:rPr>
              <w:t>By forbidding claims that do not meet minimum criteria, this option will contribute to improving the reliability of the information provided to consumers and therefore will have a positive impact on the decision making of consumers. (8/10)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Consumer protection: </w:t>
            </w:r>
            <w:r w:rsidRPr="009B5734">
              <w:rPr>
                <w:rFonts w:ascii="Times New Roman" w:hAnsi="Times New Roman" w:cs="Times New Roman"/>
                <w:b w:val="0"/>
                <w:noProof/>
                <w:sz w:val="24"/>
              </w:rPr>
              <w:t>Same as option 2.2.A. (7/10)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Consumer trust: </w:t>
            </w:r>
            <w:r w:rsidRPr="009B5734">
              <w:rPr>
                <w:rFonts w:ascii="Times New Roman" w:hAnsi="Times New Roman" w:cs="Times New Roman"/>
                <w:b w:val="0"/>
                <w:noProof/>
                <w:sz w:val="24"/>
              </w:rPr>
              <w:t>Same as option 2.2.A. (8/10)</w:t>
            </w:r>
          </w:p>
          <w:p w:rsidR="00EA45F9" w:rsidRPr="004931D3" w:rsidRDefault="00EA45F9" w:rsidP="004931D3">
            <w:pPr>
              <w:pStyle w:val="BTBullet1Last"/>
              <w:tabs>
                <w:tab w:val="clear" w:pos="1191"/>
                <w:tab w:val="left" w:pos="708"/>
              </w:tabs>
              <w:spacing w:after="0"/>
              <w:ind w:left="0" w:firstLine="0"/>
              <w:rPr>
                <w:rFonts w:ascii="Times New Roman" w:hAnsi="Times New Roman"/>
                <w:noProof/>
                <w:sz w:val="24"/>
              </w:rPr>
            </w:pPr>
            <w:r w:rsidRPr="6B053803">
              <w:rPr>
                <w:rFonts w:ascii="Times New Roman" w:hAnsi="Times New Roman"/>
                <w:noProof/>
                <w:sz w:val="24"/>
              </w:rPr>
              <w:t xml:space="preserve">Consumer welfare: </w:t>
            </w:r>
            <w:r w:rsidRPr="00AB7BD8">
              <w:rPr>
                <w:rFonts w:ascii="Times New Roman" w:hAnsi="Times New Roman"/>
                <w:b w:val="0"/>
                <w:noProof/>
                <w:sz w:val="24"/>
              </w:rPr>
              <w:t xml:space="preserve">The approach to quantification of the impact of the option on the monetisable consumer welfare is similar to the one followed for option 2.2.A. </w:t>
            </w:r>
            <w:r w:rsidR="009969F2" w:rsidRPr="00AB7BD8">
              <w:rPr>
                <w:rFonts w:ascii="Times New Roman" w:hAnsi="Times New Roman"/>
                <w:b w:val="0"/>
                <w:noProof/>
                <w:sz w:val="24"/>
              </w:rPr>
              <w:t>T</w:t>
            </w:r>
            <w:r w:rsidR="00CB2FFA" w:rsidRPr="00AB7BD8">
              <w:rPr>
                <w:rFonts w:ascii="Times New Roman" w:hAnsi="Times New Roman"/>
                <w:b w:val="0"/>
                <w:noProof/>
                <w:sz w:val="24"/>
              </w:rPr>
              <w:t>his</w:t>
            </w:r>
            <w:r w:rsidRPr="00AB7BD8">
              <w:rPr>
                <w:rFonts w:ascii="Times New Roman" w:hAnsi="Times New Roman"/>
                <w:b w:val="0"/>
                <w:noProof/>
                <w:sz w:val="24"/>
              </w:rPr>
              <w:t xml:space="preserve"> impact is estimated to amount to be EUR 1 580 – 2 910 million (present value for the period 2025-2040).</w:t>
            </w:r>
            <w:r w:rsidRPr="6B053803">
              <w:rPr>
                <w:rFonts w:ascii="Times New Roman" w:hAnsi="Times New Roman"/>
                <w:noProof/>
                <w:sz w:val="24"/>
              </w:rPr>
              <w:t xml:space="preserve"> (8/10)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businesses: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Level-playing field: </w:t>
            </w:r>
            <w:r w:rsidRPr="009B5734">
              <w:rPr>
                <w:rFonts w:ascii="Times New Roman" w:hAnsi="Times New Roman" w:cs="Times New Roman"/>
                <w:b w:val="0"/>
                <w:noProof/>
                <w:sz w:val="24"/>
              </w:rPr>
              <w:t>Same as with option 2.2.A.  (8/10)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Reduction of barriers to cross-border trade: </w:t>
            </w:r>
            <w:r w:rsidRPr="009B5734">
              <w:rPr>
                <w:rFonts w:ascii="Times New Roman" w:hAnsi="Times New Roman" w:cs="Times New Roman"/>
                <w:b w:val="0"/>
                <w:noProof/>
                <w:sz w:val="24"/>
              </w:rPr>
              <w:t>No impacts identified.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Administrative burdens: </w:t>
            </w:r>
            <w:r w:rsidRPr="009B5734">
              <w:rPr>
                <w:rFonts w:ascii="Times New Roman" w:hAnsi="Times New Roman" w:cs="Times New Roman"/>
                <w:b w:val="0"/>
                <w:noProof/>
                <w:sz w:val="24"/>
              </w:rPr>
              <w:t>No impacts identified.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Substantive compliance costs: </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b w:val="0"/>
                <w:noProof/>
                <w:sz w:val="24"/>
              </w:rPr>
              <w:t>Products with claims that do not meet the criteria will have to have these claims removed. The time between the approval of the option and its implementation will allow businesses to adjust to the new rules and so most of the products will not hold those claims any longer. The removal of the claims will require adjustments to product packages, flyers, etc., but this will be a one-off cost.  For the very small share of products in stock just before the approval of the option, it is assumed that the claims will be removed by the seller (for example, by covering them with a sticker). This will impose some costs in the first two years of implementation of the option, after which we assume that all these products have been sold. The substantive compliance costs are estimated at EUR 2 900 – 3 150</w:t>
            </w:r>
            <w:r w:rsidRPr="009B5734" w:rsidDel="0058278F">
              <w:rPr>
                <w:rFonts w:ascii="Times New Roman" w:hAnsi="Times New Roman" w:cs="Times New Roman"/>
                <w:b w:val="0"/>
                <w:noProof/>
                <w:sz w:val="24"/>
              </w:rPr>
              <w:t xml:space="preserve"> </w:t>
            </w:r>
            <w:r w:rsidRPr="009B5734">
              <w:rPr>
                <w:rFonts w:ascii="Times New Roman" w:hAnsi="Times New Roman" w:cs="Times New Roman"/>
                <w:b w:val="0"/>
                <w:noProof/>
                <w:sz w:val="24"/>
              </w:rPr>
              <w:t>million for the period 2025-2040 (present value), of which about 99% will be for SMEs</w:t>
            </w:r>
            <w:r w:rsidR="00932EEA" w:rsidRPr="009B5734">
              <w:rPr>
                <w:rStyle w:val="FootnoteReference"/>
                <w:rFonts w:ascii="Times New Roman" w:hAnsi="Times New Roman" w:cs="Times New Roman"/>
                <w:b w:val="0"/>
                <w:noProof/>
                <w:sz w:val="24"/>
              </w:rPr>
              <w:footnoteReference w:id="241"/>
            </w:r>
            <w:r w:rsidRPr="009B5734">
              <w:rPr>
                <w:rFonts w:ascii="Times New Roman" w:hAnsi="Times New Roman" w:cs="Times New Roman"/>
                <w:b w:val="0"/>
                <w:noProof/>
                <w:sz w:val="24"/>
              </w:rPr>
              <w:t>.</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Indirect costs: </w:t>
            </w:r>
            <w:r w:rsidRPr="009B5734">
              <w:rPr>
                <w:rFonts w:ascii="Times New Roman" w:hAnsi="Times New Roman" w:cs="Times New Roman"/>
                <w:b w:val="0"/>
                <w:noProof/>
                <w:sz w:val="24"/>
              </w:rPr>
              <w:t>No impacts identified.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SME growth:</w:t>
            </w:r>
            <w:r w:rsidRPr="009B5734">
              <w:rPr>
                <w:rFonts w:ascii="Times New Roman" w:hAnsi="Times New Roman" w:cs="Times New Roman"/>
                <w:b w:val="0"/>
                <w:noProof/>
                <w:sz w:val="24"/>
              </w:rPr>
              <w:t xml:space="preserve"> No impacts identified. (5/10)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public administrations:</w:t>
            </w:r>
          </w:p>
          <w:p w:rsidR="00EA45F9" w:rsidRPr="009B5734" w:rsidRDefault="00EA45F9" w:rsidP="009969F2">
            <w:pPr>
              <w:ind w:left="0" w:firstLine="0"/>
              <w:rPr>
                <w:rFonts w:ascii="Times New Roman" w:hAnsi="Times New Roman" w:cs="Times New Roman"/>
                <w:noProof/>
                <w:sz w:val="24"/>
              </w:rPr>
            </w:pPr>
            <w:r w:rsidRPr="009B5734">
              <w:rPr>
                <w:rFonts w:ascii="Times New Roman" w:hAnsi="Times New Roman" w:cs="Times New Roman"/>
                <w:noProof/>
                <w:sz w:val="24"/>
              </w:rPr>
              <w:t>Enforcement costs and other costs:</w:t>
            </w:r>
            <w:r w:rsidR="009969F2" w:rsidRPr="009B5734">
              <w:rPr>
                <w:rFonts w:ascii="Times New Roman" w:hAnsi="Times New Roman" w:cs="Times New Roman"/>
                <w:noProof/>
                <w:sz w:val="24"/>
              </w:rPr>
              <w:t xml:space="preserve"> </w:t>
            </w:r>
            <w:r w:rsidR="009969F2" w:rsidRPr="009B5734">
              <w:rPr>
                <w:rFonts w:ascii="Times New Roman" w:hAnsi="Times New Roman"/>
                <w:b w:val="0"/>
                <w:noProof/>
                <w:sz w:val="24"/>
              </w:rPr>
              <w:t>The contribution of this option to more effective enforcement will be less pronounced than that of option 2.2.A as authorities would need to assess to what extent the specific claim complies with the criteria set out under this option</w:t>
            </w:r>
            <w:r w:rsidRPr="009B5734">
              <w:rPr>
                <w:rFonts w:ascii="Times New Roman" w:hAnsi="Times New Roman" w:cs="Times New Roman"/>
                <w:b w:val="0"/>
                <w:noProof/>
                <w:sz w:val="24"/>
              </w:rPr>
              <w:t xml:space="preserve">. </w:t>
            </w:r>
            <w:r w:rsidR="009969F2" w:rsidRPr="009B5734">
              <w:rPr>
                <w:rFonts w:ascii="Times New Roman" w:hAnsi="Times New Roman" w:cs="Times New Roman"/>
                <w:b w:val="0"/>
                <w:noProof/>
                <w:sz w:val="24"/>
              </w:rPr>
              <w:t xml:space="preserve">However a number </w:t>
            </w:r>
            <w:r w:rsidRPr="009B5734">
              <w:rPr>
                <w:rFonts w:ascii="Times New Roman" w:hAnsi="Times New Roman" w:cs="Times New Roman"/>
                <w:b w:val="0"/>
                <w:noProof/>
                <w:sz w:val="24"/>
              </w:rPr>
              <w:t xml:space="preserve">of the interviewed CPC authorities indicated that the option might lead to savings as it will </w:t>
            </w:r>
            <w:r w:rsidR="009969F2" w:rsidRPr="009B5734">
              <w:rPr>
                <w:rFonts w:ascii="Times New Roman" w:hAnsi="Times New Roman" w:cs="Times New Roman"/>
                <w:b w:val="0"/>
                <w:noProof/>
                <w:sz w:val="24"/>
              </w:rPr>
              <w:t xml:space="preserve">mean that less resources </w:t>
            </w:r>
            <w:r w:rsidRPr="009B5734">
              <w:rPr>
                <w:rFonts w:ascii="Times New Roman" w:hAnsi="Times New Roman" w:cs="Times New Roman"/>
                <w:b w:val="0"/>
                <w:noProof/>
                <w:sz w:val="24"/>
              </w:rPr>
              <w:t>are needed to substantiate their assessment</w:t>
            </w:r>
            <w:r w:rsidR="009969F2" w:rsidRPr="009B5734">
              <w:rPr>
                <w:rFonts w:ascii="Times New Roman" w:hAnsi="Times New Roman" w:cs="Times New Roman"/>
                <w:b w:val="0"/>
                <w:noProof/>
                <w:sz w:val="24"/>
              </w:rPr>
              <w:t xml:space="preserve"> of “greenwashing”</w:t>
            </w:r>
            <w:r w:rsidRPr="009B5734">
              <w:rPr>
                <w:rFonts w:ascii="Times New Roman" w:hAnsi="Times New Roman" w:cs="Times New Roman"/>
                <w:b w:val="0"/>
                <w:noProof/>
                <w:sz w:val="24"/>
              </w:rPr>
              <w:t>. Overall, the costs are expected to be similar to those of option 2.2.A and amount to EUR 7-12 million for the period 2025-2040 (present value).</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Environmental impacts: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Climate change: </w:t>
            </w:r>
            <w:r w:rsidRPr="009B5734">
              <w:rPr>
                <w:rFonts w:ascii="Times New Roman" w:hAnsi="Times New Roman" w:cs="Times New Roman"/>
                <w:b w:val="0"/>
                <w:noProof/>
                <w:sz w:val="24"/>
              </w:rPr>
              <w:t>The option will not have a direct impact on climate change as it does not cover claims related to this aspect. However, it is still expected to have a minor indirect impact.</w:t>
            </w:r>
          </w:p>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Other environmental impacts change. </w:t>
            </w:r>
            <w:r w:rsidRPr="009B5734">
              <w:rPr>
                <w:rFonts w:ascii="Times New Roman" w:hAnsi="Times New Roman" w:cs="Times New Roman"/>
                <w:b w:val="0"/>
                <w:noProof/>
                <w:sz w:val="24"/>
              </w:rPr>
              <w:t>The impact on other environmental impacts is also expected to be positive but reduced as the main environmental impacts are covered by PEF and therefore not within the scope of this option. (6/10)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Coherence: </w:t>
            </w:r>
            <w:r w:rsidRPr="009B5734">
              <w:rPr>
                <w:rFonts w:ascii="Times New Roman" w:hAnsi="Times New Roman" w:cs="Times New Roman"/>
                <w:b w:val="0"/>
                <w:noProof/>
                <w:sz w:val="24"/>
              </w:rPr>
              <w:t xml:space="preserve">No issue of coherence identified. The option will feature as part of the general safety net of the UCPD and will be complementary to the </w:t>
            </w:r>
            <w:r w:rsidR="003B203F">
              <w:rPr>
                <w:rFonts w:ascii="Times New Roman" w:hAnsi="Times New Roman" w:cs="Times New Roman"/>
                <w:b w:val="0"/>
                <w:noProof/>
                <w:sz w:val="24"/>
              </w:rPr>
              <w:t>G</w:t>
            </w:r>
            <w:r w:rsidRPr="009B5734">
              <w:rPr>
                <w:rFonts w:ascii="Times New Roman" w:hAnsi="Times New Roman" w:cs="Times New Roman"/>
                <w:b w:val="0"/>
                <w:noProof/>
                <w:sz w:val="24"/>
              </w:rPr>
              <w:t xml:space="preserve">reen </w:t>
            </w:r>
            <w:r w:rsidR="003B203F">
              <w:rPr>
                <w:rFonts w:ascii="Times New Roman" w:hAnsi="Times New Roman" w:cs="Times New Roman"/>
                <w:b w:val="0"/>
                <w:noProof/>
                <w:sz w:val="24"/>
              </w:rPr>
              <w:t>C</w:t>
            </w:r>
            <w:r w:rsidRPr="009B5734">
              <w:rPr>
                <w:rFonts w:ascii="Times New Roman" w:hAnsi="Times New Roman" w:cs="Times New Roman"/>
                <w:b w:val="0"/>
                <w:noProof/>
                <w:sz w:val="24"/>
              </w:rPr>
              <w:t>laims initiative. (8/10)</w:t>
            </w:r>
            <w:r w:rsidRPr="009B5734">
              <w:rPr>
                <w:rFonts w:ascii="Times New Roman" w:hAnsi="Times New Roman" w:cs="Times New Roman"/>
                <w:noProof/>
                <w:sz w:val="24"/>
              </w:rPr>
              <w:t xml:space="preserve"> </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Overarching impacts: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Circularity and sustainable consumption: </w:t>
            </w:r>
            <w:r w:rsidRPr="009B5734">
              <w:rPr>
                <w:rFonts w:ascii="Times New Roman" w:hAnsi="Times New Roman" w:cs="Times New Roman"/>
                <w:b w:val="0"/>
                <w:noProof/>
                <w:sz w:val="24"/>
              </w:rPr>
              <w:t>The option will, in principle, slightly increase the consumption of more sustainable products. (6/10)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Application of the EU legal consumer framework: </w:t>
            </w:r>
            <w:r w:rsidRPr="009B5734">
              <w:rPr>
                <w:rFonts w:ascii="Times New Roman" w:hAnsi="Times New Roman" w:cs="Times New Roman"/>
                <w:b w:val="0"/>
                <w:noProof/>
                <w:sz w:val="24"/>
              </w:rPr>
              <w:t>This option will have a positive impact on ensuring a better and coherent application of the EU legal consumer framework, in particular of the UCPD. (8/10)</w:t>
            </w:r>
          </w:p>
        </w:tc>
      </w:tr>
    </w:tbl>
    <w:p w:rsidR="00EA45F9" w:rsidRPr="009B5734" w:rsidRDefault="00EA45F9" w:rsidP="00EA45F9">
      <w:pPr>
        <w:ind w:left="0" w:firstLine="0"/>
        <w:rPr>
          <w:noProof/>
        </w:rPr>
      </w:pPr>
    </w:p>
    <w:tbl>
      <w:tblPr>
        <w:tblStyle w:val="GridTable1Light-Accent2"/>
        <w:tblW w:w="0" w:type="auto"/>
        <w:tblLook w:val="04A0" w:firstRow="1" w:lastRow="0" w:firstColumn="1" w:lastColumn="0" w:noHBand="0" w:noVBand="1"/>
      </w:tblPr>
      <w:tblGrid>
        <w:gridCol w:w="8607"/>
      </w:tblGrid>
      <w:tr w:rsidR="00B30A0F" w:rsidRPr="009B5734" w:rsidTr="00C84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right w:val="single" w:sz="4" w:space="0" w:color="E5B8B7" w:themeColor="accent2" w:themeTint="66"/>
            </w:tcBorders>
            <w:shd w:val="clear" w:color="auto" w:fill="E5B8B7" w:themeFill="accent2" w:themeFillTint="66"/>
            <w:hideMark/>
          </w:tcPr>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Option 2.2.C: 2.2.A+2.2.B</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consumers: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Quality of decision-making: </w:t>
            </w:r>
            <w:r w:rsidRPr="009B5734">
              <w:rPr>
                <w:rFonts w:ascii="Times New Roman" w:hAnsi="Times New Roman" w:cs="Times New Roman"/>
                <w:b w:val="0"/>
                <w:noProof/>
                <w:sz w:val="24"/>
              </w:rPr>
              <w:t>Combination of the impact</w:t>
            </w:r>
            <w:r w:rsidRPr="009B5734">
              <w:rPr>
                <w:rFonts w:ascii="Times New Roman" w:hAnsi="Times New Roman" w:cs="Times New Roman"/>
                <w:b w:val="0"/>
                <w:bCs w:val="0"/>
                <w:noProof/>
                <w:sz w:val="24"/>
              </w:rPr>
              <w:t>s described for option 2.2.A and option 2.2.B</w:t>
            </w:r>
            <w:r w:rsidRPr="009B5734">
              <w:rPr>
                <w:rFonts w:ascii="Times New Roman" w:hAnsi="Times New Roman" w:cs="Times New Roman"/>
                <w:noProof/>
                <w:sz w:val="24"/>
              </w:rPr>
              <w:t xml:space="preserve"> </w:t>
            </w:r>
            <w:r w:rsidRPr="009B5734">
              <w:rPr>
                <w:rFonts w:ascii="Times New Roman" w:hAnsi="Times New Roman" w:cs="Times New Roman"/>
                <w:b w:val="0"/>
                <w:noProof/>
                <w:sz w:val="24"/>
              </w:rPr>
              <w:t>(9/10)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Consumer protection: </w:t>
            </w:r>
            <w:r w:rsidRPr="009B5734">
              <w:rPr>
                <w:rFonts w:ascii="Times New Roman" w:hAnsi="Times New Roman" w:cs="Times New Roman"/>
                <w:b w:val="0"/>
                <w:bCs w:val="0"/>
                <w:noProof/>
                <w:sz w:val="24"/>
              </w:rPr>
              <w:t xml:space="preserve">Combination of the impacts described for option 2.2.A and option 2.2.B </w:t>
            </w:r>
            <w:r w:rsidRPr="009B5734">
              <w:rPr>
                <w:rFonts w:ascii="Times New Roman" w:hAnsi="Times New Roman" w:cs="Times New Roman"/>
                <w:b w:val="0"/>
                <w:noProof/>
                <w:sz w:val="24"/>
              </w:rPr>
              <w:t>(8/10)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Consumer trust: </w:t>
            </w:r>
            <w:r w:rsidRPr="009B5734">
              <w:rPr>
                <w:rFonts w:ascii="Times New Roman" w:hAnsi="Times New Roman" w:cs="Times New Roman"/>
                <w:b w:val="0"/>
                <w:bCs w:val="0"/>
                <w:noProof/>
                <w:sz w:val="24"/>
              </w:rPr>
              <w:t xml:space="preserve">Combination of the impacts described for option 2.2.A and option 2.2.B </w:t>
            </w:r>
            <w:r w:rsidRPr="009B5734">
              <w:rPr>
                <w:rFonts w:ascii="Times New Roman" w:hAnsi="Times New Roman" w:cs="Times New Roman"/>
                <w:b w:val="0"/>
                <w:noProof/>
                <w:sz w:val="24"/>
              </w:rPr>
              <w:t>(9/10)</w:t>
            </w:r>
          </w:p>
          <w:p w:rsidR="00EA45F9" w:rsidRPr="00F67503" w:rsidRDefault="00EA45F9">
            <w:pPr>
              <w:ind w:left="0" w:firstLine="0"/>
              <w:rPr>
                <w:rFonts w:ascii="Times New Roman" w:hAnsi="Times New Roman" w:cs="Times New Roman"/>
                <w:noProof/>
                <w:sz w:val="24"/>
                <w:szCs w:val="24"/>
              </w:rPr>
            </w:pPr>
            <w:r w:rsidRPr="005D24D2">
              <w:rPr>
                <w:rFonts w:ascii="Times New Roman" w:hAnsi="Times New Roman"/>
                <w:noProof/>
                <w:sz w:val="24"/>
                <w:szCs w:val="24"/>
              </w:rPr>
              <w:t xml:space="preserve">Monetisable Consumer welfare: </w:t>
            </w:r>
            <w:r w:rsidRPr="6B053803">
              <w:rPr>
                <w:rFonts w:ascii="Times New Roman" w:hAnsi="Times New Roman" w:cs="Times New Roman"/>
                <w:noProof/>
                <w:sz w:val="24"/>
                <w:szCs w:val="24"/>
              </w:rPr>
              <w:t xml:space="preserve">Combination of the impacts described for option 2.2.A and option 2.2.B. </w:t>
            </w:r>
            <w:r w:rsidRPr="009B5734">
              <w:rPr>
                <w:rFonts w:ascii="Times New Roman" w:hAnsi="Times New Roman" w:cs="Times New Roman"/>
                <w:b w:val="0"/>
                <w:bCs w:val="0"/>
                <w:noProof/>
                <w:sz w:val="24"/>
                <w:szCs w:val="24"/>
              </w:rPr>
              <w:t xml:space="preserve">The option is thus expected to lead to an increase in the consumer surplus, which is estimated to amount to approximately EUR </w:t>
            </w:r>
            <w:r w:rsidRPr="6B053803">
              <w:rPr>
                <w:rFonts w:ascii="Times New Roman" w:hAnsi="Times New Roman"/>
                <w:noProof/>
                <w:sz w:val="24"/>
                <w:szCs w:val="24"/>
              </w:rPr>
              <w:t xml:space="preserve">3 735 – 6 870 </w:t>
            </w:r>
            <w:r w:rsidRPr="009B5734">
              <w:rPr>
                <w:rFonts w:ascii="Times New Roman" w:hAnsi="Times New Roman" w:cs="Times New Roman"/>
                <w:b w:val="0"/>
                <w:bCs w:val="0"/>
                <w:noProof/>
                <w:sz w:val="24"/>
                <w:szCs w:val="24"/>
              </w:rPr>
              <w:t>million (present value for the period 2025-2040). (9/10)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businesses: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Level-playing field: </w:t>
            </w:r>
            <w:r w:rsidRPr="009B5734">
              <w:rPr>
                <w:rFonts w:ascii="Times New Roman" w:hAnsi="Times New Roman" w:cs="Times New Roman"/>
                <w:b w:val="0"/>
                <w:bCs w:val="0"/>
                <w:noProof/>
                <w:sz w:val="24"/>
              </w:rPr>
              <w:t xml:space="preserve">Combination of the impacts described for option 2.2.A and option 2.2.B </w:t>
            </w:r>
            <w:r w:rsidRPr="009B5734">
              <w:rPr>
                <w:rFonts w:ascii="Times New Roman" w:hAnsi="Times New Roman" w:cs="Times New Roman"/>
                <w:b w:val="0"/>
                <w:noProof/>
                <w:sz w:val="24"/>
              </w:rPr>
              <w:t>(8/10)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Reduction of barriers to cross-border trade: </w:t>
            </w:r>
            <w:r w:rsidRPr="009B5734">
              <w:rPr>
                <w:rFonts w:ascii="Times New Roman" w:hAnsi="Times New Roman" w:cs="Times New Roman"/>
                <w:b w:val="0"/>
                <w:noProof/>
                <w:sz w:val="24"/>
              </w:rPr>
              <w:t>No impacts identified.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Administrative burdens: </w:t>
            </w:r>
            <w:r w:rsidRPr="009B5734">
              <w:rPr>
                <w:rFonts w:ascii="Times New Roman" w:hAnsi="Times New Roman" w:cs="Times New Roman"/>
                <w:b w:val="0"/>
                <w:noProof/>
                <w:sz w:val="24"/>
              </w:rPr>
              <w:t xml:space="preserve">No impacts identified. </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Substantive compliance costs: </w:t>
            </w:r>
            <w:r w:rsidR="008B0C80" w:rsidRPr="009B5734">
              <w:rPr>
                <w:rFonts w:ascii="Times New Roman" w:hAnsi="Times New Roman" w:cs="Times New Roman"/>
                <w:b w:val="0"/>
                <w:noProof/>
                <w:sz w:val="24"/>
              </w:rPr>
              <w:t>There</w:t>
            </w:r>
            <w:r w:rsidR="008B0C80" w:rsidRPr="009B5734">
              <w:rPr>
                <w:rFonts w:ascii="Times New Roman" w:hAnsi="Times New Roman"/>
                <w:b w:val="0"/>
                <w:noProof/>
                <w:sz w:val="24"/>
              </w:rPr>
              <w:t xml:space="preserve"> </w:t>
            </w:r>
            <w:r w:rsidR="008B0C80" w:rsidRPr="009B5734">
              <w:rPr>
                <w:rFonts w:ascii="Times New Roman" w:hAnsi="Times New Roman" w:cs="Times New Roman"/>
                <w:b w:val="0"/>
                <w:bCs w:val="0"/>
                <w:noProof/>
                <w:sz w:val="24"/>
              </w:rPr>
              <w:t xml:space="preserve">are </w:t>
            </w:r>
            <w:r w:rsidR="008B0C80" w:rsidRPr="009B5734">
              <w:rPr>
                <w:rFonts w:ascii="Times New Roman" w:hAnsi="Times New Roman" w:cs="Times New Roman"/>
                <w:b w:val="0"/>
                <w:noProof/>
                <w:sz w:val="24"/>
              </w:rPr>
              <w:t>certain economies of scales</w:t>
            </w:r>
            <w:r w:rsidR="008B0C80" w:rsidRPr="009B5734">
              <w:rPr>
                <w:rFonts w:ascii="Times New Roman" w:hAnsi="Times New Roman" w:cs="Times New Roman"/>
                <w:b w:val="0"/>
                <w:bCs w:val="0"/>
                <w:noProof/>
                <w:sz w:val="24"/>
              </w:rPr>
              <w:t xml:space="preserve"> when the two options are combined, related to the fact that the removal of the relevant claims for the small share of products in stock for which each of the two types of claims are made (vague claims which are not based on “</w:t>
            </w:r>
            <w:r w:rsidR="008B0C80" w:rsidRPr="009B5734">
              <w:rPr>
                <w:rFonts w:ascii="Times New Roman" w:hAnsi="Times New Roman" w:cs="Times New Roman"/>
                <w:b w:val="0"/>
                <w:noProof/>
                <w:sz w:val="24"/>
              </w:rPr>
              <w:t>environmentally excellent performance” in accordance with applicable EU laws</w:t>
            </w:r>
            <w:r w:rsidR="008B0C80" w:rsidRPr="009B5734">
              <w:rPr>
                <w:rFonts w:ascii="Times New Roman" w:hAnsi="Times New Roman" w:cs="Times New Roman"/>
                <w:b w:val="0"/>
                <w:bCs w:val="0"/>
                <w:noProof/>
                <w:sz w:val="24"/>
              </w:rPr>
              <w:t xml:space="preserve"> + </w:t>
            </w:r>
            <w:r w:rsidR="008B0C80" w:rsidRPr="009B5734">
              <w:rPr>
                <w:rFonts w:ascii="Times New Roman" w:hAnsi="Times New Roman" w:cs="Times New Roman"/>
                <w:b w:val="0"/>
                <w:noProof/>
                <w:sz w:val="24"/>
              </w:rPr>
              <w:t>environmental claims that do not fulfil a minimum set of criteria</w:t>
            </w:r>
            <w:r w:rsidR="008B0C80" w:rsidRPr="009B5734">
              <w:rPr>
                <w:rFonts w:ascii="Times New Roman" w:hAnsi="Times New Roman" w:cs="Times New Roman"/>
                <w:b w:val="0"/>
                <w:bCs w:val="0"/>
                <w:noProof/>
                <w:sz w:val="24"/>
              </w:rPr>
              <w:t>) can be conducted simultaneously.</w:t>
            </w:r>
            <w:r w:rsidR="008B0C80" w:rsidRPr="009B5734">
              <w:rPr>
                <w:rFonts w:ascii="Times New Roman" w:hAnsi="Times New Roman"/>
                <w:noProof/>
                <w:sz w:val="24"/>
              </w:rPr>
              <w:t xml:space="preserve"> </w:t>
            </w:r>
            <w:r w:rsidRPr="009B5734">
              <w:rPr>
                <w:rFonts w:ascii="Times New Roman" w:hAnsi="Times New Roman" w:cs="Times New Roman"/>
                <w:b w:val="0"/>
                <w:noProof/>
                <w:sz w:val="24"/>
              </w:rPr>
              <w:t>The substantive compliance costs are estimated EUR 3 300 – 3500 million for the period 2025-2040 (present value), of which about 99% will be for SMEs</w:t>
            </w:r>
            <w:r w:rsidR="00932EEA" w:rsidRPr="009B5734">
              <w:rPr>
                <w:rStyle w:val="FootnoteReference"/>
                <w:rFonts w:ascii="Times New Roman" w:hAnsi="Times New Roman" w:cs="Times New Roman"/>
                <w:b w:val="0"/>
                <w:noProof/>
                <w:sz w:val="24"/>
              </w:rPr>
              <w:footnoteReference w:id="242"/>
            </w:r>
            <w:r w:rsidRPr="009B5734">
              <w:rPr>
                <w:rFonts w:ascii="Times New Roman" w:hAnsi="Times New Roman" w:cs="Times New Roman"/>
                <w:b w:val="0"/>
                <w:noProof/>
                <w:sz w:val="24"/>
              </w:rPr>
              <w:t>.</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Indirect costs: </w:t>
            </w:r>
            <w:r w:rsidRPr="009B5734">
              <w:rPr>
                <w:rFonts w:ascii="Times New Roman" w:hAnsi="Times New Roman" w:cs="Times New Roman"/>
                <w:b w:val="0"/>
                <w:noProof/>
                <w:sz w:val="24"/>
              </w:rPr>
              <w:t>No impacts identified.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SME growth:</w:t>
            </w:r>
            <w:r w:rsidRPr="009B5734">
              <w:rPr>
                <w:rFonts w:ascii="Times New Roman" w:hAnsi="Times New Roman" w:cs="Times New Roman"/>
                <w:b w:val="0"/>
                <w:noProof/>
                <w:sz w:val="24"/>
              </w:rPr>
              <w:t xml:space="preserve"> No impacts identified. (5/10)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public administrations:</w:t>
            </w:r>
          </w:p>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Enforcement costs and other costs: </w:t>
            </w:r>
            <w:r w:rsidRPr="009B5734">
              <w:rPr>
                <w:rFonts w:ascii="Times New Roman" w:hAnsi="Times New Roman" w:cs="Times New Roman"/>
                <w:b w:val="0"/>
                <w:bCs w:val="0"/>
                <w:noProof/>
                <w:sz w:val="24"/>
              </w:rPr>
              <w:t>There are significant economies of scales when the two options are combined</w:t>
            </w:r>
            <w:r w:rsidR="00691DB9" w:rsidRPr="009B5734">
              <w:rPr>
                <w:rFonts w:ascii="Times New Roman" w:hAnsi="Times New Roman" w:cs="Times New Roman"/>
                <w:b w:val="0"/>
                <w:bCs w:val="0"/>
                <w:noProof/>
                <w:sz w:val="24"/>
              </w:rPr>
              <w:t xml:space="preserve"> due to the fact that the expertise needed to investigate the two different types of claims at issue will be quite similar</w:t>
            </w:r>
            <w:r w:rsidRPr="009B5734">
              <w:rPr>
                <w:rFonts w:ascii="Times New Roman" w:hAnsi="Times New Roman" w:cs="Times New Roman"/>
                <w:b w:val="0"/>
                <w:bCs w:val="0"/>
                <w:noProof/>
                <w:sz w:val="24"/>
              </w:rPr>
              <w:t xml:space="preserve">. </w:t>
            </w:r>
            <w:r w:rsidRPr="009B5734">
              <w:rPr>
                <w:rFonts w:ascii="Times New Roman" w:hAnsi="Times New Roman" w:cs="Times New Roman"/>
                <w:b w:val="0"/>
                <w:noProof/>
                <w:sz w:val="24"/>
              </w:rPr>
              <w:t>Overall, the enforcement costs are estimated at EUR 7-12 million for the period 2025-2040 (present value).</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Environmental impacts: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Climate change: </w:t>
            </w:r>
            <w:r w:rsidRPr="009B5734">
              <w:rPr>
                <w:rFonts w:ascii="Times New Roman" w:hAnsi="Times New Roman" w:cs="Times New Roman"/>
                <w:b w:val="0"/>
                <w:noProof/>
                <w:sz w:val="24"/>
              </w:rPr>
              <w:t>This impact is highly positive (at least as high as the one of option 2.2.A, but an exact quantification of the impacts is not possible.</w:t>
            </w:r>
          </w:p>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Other environmental impacts change. </w:t>
            </w:r>
            <w:r w:rsidRPr="009B5734">
              <w:rPr>
                <w:rFonts w:ascii="Times New Roman" w:hAnsi="Times New Roman" w:cs="Times New Roman"/>
                <w:b w:val="0"/>
                <w:noProof/>
                <w:sz w:val="24"/>
              </w:rPr>
              <w:t>The impact on other environmental impacts is also expected to be positive. (7/10)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Coherence: </w:t>
            </w:r>
            <w:r w:rsidRPr="009B5734">
              <w:rPr>
                <w:rFonts w:ascii="Times New Roman" w:hAnsi="Times New Roman" w:cs="Times New Roman"/>
                <w:b w:val="0"/>
                <w:noProof/>
                <w:sz w:val="24"/>
              </w:rPr>
              <w:t>No issue of coherence identified. (8/10)</w:t>
            </w:r>
            <w:r w:rsidRPr="009B5734">
              <w:rPr>
                <w:rFonts w:ascii="Times New Roman" w:hAnsi="Times New Roman" w:cs="Times New Roman"/>
                <w:noProof/>
                <w:sz w:val="24"/>
              </w:rPr>
              <w:t xml:space="preserve"> </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Overarching impacts: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Circularity and sustainable consumption: </w:t>
            </w:r>
            <w:r w:rsidRPr="009B5734">
              <w:rPr>
                <w:rFonts w:ascii="Times New Roman" w:hAnsi="Times New Roman" w:cs="Times New Roman"/>
                <w:b w:val="0"/>
                <w:noProof/>
                <w:sz w:val="24"/>
              </w:rPr>
              <w:t>The option will, in principle, increase the consumption of more sustainable products. (8/10)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Application of the EU legal consumer framework: </w:t>
            </w:r>
            <w:r w:rsidRPr="009B5734">
              <w:rPr>
                <w:rFonts w:ascii="Times New Roman" w:hAnsi="Times New Roman" w:cs="Times New Roman"/>
                <w:b w:val="0"/>
                <w:noProof/>
                <w:sz w:val="24"/>
              </w:rPr>
              <w:t>This option will have a positive impact on ensuring a better and coherent application of the EU legal consumer framework, in particular of the UCPD. (8/10)</w:t>
            </w:r>
          </w:p>
          <w:p w:rsidR="00EA45F9" w:rsidRPr="009B5734" w:rsidRDefault="00EA45F9" w:rsidP="00981615">
            <w:pPr>
              <w:pStyle w:val="Text2"/>
              <w:spacing w:after="120"/>
              <w:ind w:left="0" w:firstLine="0"/>
              <w:rPr>
                <w:noProof/>
              </w:rPr>
            </w:pPr>
          </w:p>
        </w:tc>
      </w:tr>
    </w:tbl>
    <w:p w:rsidR="00EA45F9" w:rsidRPr="009B5734" w:rsidRDefault="00EA45F9" w:rsidP="00EA45F9">
      <w:pPr>
        <w:pStyle w:val="Heading5"/>
        <w:rPr>
          <w:rFonts w:ascii="Times New Roman" w:hAnsi="Times New Roman" w:cs="Times New Roman"/>
          <w:i w:val="0"/>
          <w:noProof/>
          <w:sz w:val="24"/>
        </w:rPr>
      </w:pPr>
      <w:bookmarkStart w:id="724" w:name="_Toc75441014"/>
      <w:bookmarkStart w:id="725" w:name="_Toc75447013"/>
      <w:bookmarkStart w:id="726" w:name="_Toc75448886"/>
      <w:bookmarkStart w:id="727" w:name="_Ref59616160"/>
      <w:bookmarkStart w:id="728" w:name="_Toc60734124"/>
      <w:r w:rsidRPr="009B5734">
        <w:rPr>
          <w:rFonts w:ascii="Times New Roman" w:hAnsi="Times New Roman" w:cs="Times New Roman"/>
          <w:i w:val="0"/>
          <w:noProof/>
          <w:sz w:val="24"/>
        </w:rPr>
        <w:t xml:space="preserve">Recap of the assessment </w:t>
      </w:r>
      <w:bookmarkEnd w:id="724"/>
      <w:bookmarkEnd w:id="725"/>
      <w:bookmarkEnd w:id="726"/>
    </w:p>
    <w:p w:rsidR="00EA45F9" w:rsidRPr="009B5734" w:rsidRDefault="00EA45F9" w:rsidP="00EA45F9">
      <w:pPr>
        <w:rPr>
          <w:noProof/>
        </w:rPr>
      </w:pPr>
    </w:p>
    <w:tbl>
      <w:tblPr>
        <w:tblStyle w:val="GridTable4-Accent3"/>
        <w:tblW w:w="5000" w:type="pct"/>
        <w:tblLook w:val="04A0" w:firstRow="1" w:lastRow="0" w:firstColumn="1" w:lastColumn="0" w:noHBand="0" w:noVBand="1"/>
      </w:tblPr>
      <w:tblGrid>
        <w:gridCol w:w="1763"/>
        <w:gridCol w:w="2578"/>
        <w:gridCol w:w="1350"/>
        <w:gridCol w:w="1563"/>
        <w:gridCol w:w="1353"/>
      </w:tblGrid>
      <w:tr w:rsidR="00B30A0F" w:rsidRPr="009B5734" w:rsidTr="00C84A99">
        <w:trPr>
          <w:cnfStyle w:val="100000000000" w:firstRow="1" w:lastRow="0" w:firstColumn="0" w:lastColumn="0" w:oddVBand="0" w:evenVBand="0" w:oddHBand="0" w:evenHBand="0" w:firstRowFirstColumn="0" w:firstRowLastColumn="0" w:lastRowFirstColumn="0" w:lastRowLastColumn="0"/>
          <w:trHeight w:val="1225"/>
        </w:trPr>
        <w:tc>
          <w:tcPr>
            <w:cnfStyle w:val="001000000000" w:firstRow="0" w:lastRow="0" w:firstColumn="1" w:lastColumn="0" w:oddVBand="0" w:evenVBand="0" w:oddHBand="0" w:evenHBand="0" w:firstRowFirstColumn="0" w:firstRowLastColumn="0" w:lastRowFirstColumn="0" w:lastRowLastColumn="0"/>
            <w:tcW w:w="2521" w:type="pct"/>
            <w:gridSpan w:val="2"/>
            <w:shd w:val="clear" w:color="auto" w:fill="F79646" w:themeFill="accent6"/>
            <w:vAlign w:val="center"/>
          </w:tcPr>
          <w:p w:rsidR="00EA45F9" w:rsidRPr="009B5734" w:rsidRDefault="00EA45F9" w:rsidP="00981615">
            <w:pPr>
              <w:pStyle w:val="Text2"/>
              <w:spacing w:after="0"/>
              <w:ind w:left="0" w:firstLine="0"/>
              <w:jc w:val="center"/>
              <w:rPr>
                <w:noProof/>
              </w:rPr>
            </w:pPr>
            <w:r w:rsidRPr="009B5734">
              <w:rPr>
                <w:noProof/>
              </w:rPr>
              <w:t>Criteria and sub-criteria</w:t>
            </w:r>
          </w:p>
        </w:tc>
        <w:tc>
          <w:tcPr>
            <w:tcW w:w="785" w:type="pct"/>
            <w:shd w:val="clear" w:color="auto" w:fill="F79646" w:themeFill="accent6"/>
            <w:vAlign w:val="center"/>
          </w:tcPr>
          <w:p w:rsidR="00EA45F9" w:rsidRPr="009B5734" w:rsidRDefault="00EA45F9" w:rsidP="00981615">
            <w:pPr>
              <w:pStyle w:val="Text2"/>
              <w:spacing w:after="0"/>
              <w:ind w:left="0" w:firstLine="0"/>
              <w:jc w:val="center"/>
              <w:cnfStyle w:val="100000000000" w:firstRow="1" w:lastRow="0" w:firstColumn="0" w:lastColumn="0" w:oddVBand="0" w:evenVBand="0" w:oddHBand="0" w:evenHBand="0" w:firstRowFirstColumn="0" w:firstRowLastColumn="0" w:lastRowFirstColumn="0" w:lastRowLastColumn="0"/>
              <w:rPr>
                <w:noProof/>
              </w:rPr>
            </w:pPr>
            <w:r w:rsidRPr="009B5734">
              <w:rPr>
                <w:noProof/>
              </w:rPr>
              <w:t>Option 2.2.A Ban of unfounded general green claims</w:t>
            </w:r>
          </w:p>
        </w:tc>
        <w:tc>
          <w:tcPr>
            <w:tcW w:w="908" w:type="pct"/>
            <w:shd w:val="clear" w:color="auto" w:fill="F79646" w:themeFill="accent6"/>
            <w:vAlign w:val="center"/>
          </w:tcPr>
          <w:p w:rsidR="00EA45F9" w:rsidRPr="009B5734" w:rsidRDefault="00EA45F9" w:rsidP="00981615">
            <w:pPr>
              <w:pStyle w:val="Text2"/>
              <w:spacing w:after="0"/>
              <w:ind w:left="0" w:firstLine="0"/>
              <w:jc w:val="center"/>
              <w:cnfStyle w:val="100000000000" w:firstRow="1" w:lastRow="0" w:firstColumn="0" w:lastColumn="0" w:oddVBand="0" w:evenVBand="0" w:oddHBand="0" w:evenHBand="0" w:firstRowFirstColumn="0" w:firstRowLastColumn="0" w:lastRowFirstColumn="0" w:lastRowLastColumn="0"/>
              <w:rPr>
                <w:noProof/>
              </w:rPr>
            </w:pPr>
            <w:r w:rsidRPr="009B5734">
              <w:rPr>
                <w:noProof/>
              </w:rPr>
              <w:t>Option 2.2.B</w:t>
            </w:r>
          </w:p>
          <w:p w:rsidR="00EA45F9" w:rsidRPr="009B5734" w:rsidRDefault="00EA45F9" w:rsidP="00981615">
            <w:pPr>
              <w:pStyle w:val="Text2"/>
              <w:spacing w:after="0"/>
              <w:ind w:left="0" w:firstLine="0"/>
              <w:jc w:val="center"/>
              <w:cnfStyle w:val="100000000000" w:firstRow="1" w:lastRow="0" w:firstColumn="0" w:lastColumn="0" w:oddVBand="0" w:evenVBand="0" w:oddHBand="0" w:evenHBand="0" w:firstRowFirstColumn="0" w:firstRowLastColumn="0" w:lastRowFirstColumn="0" w:lastRowLastColumn="0"/>
              <w:rPr>
                <w:noProof/>
              </w:rPr>
            </w:pPr>
            <w:r w:rsidRPr="009B5734">
              <w:rPr>
                <w:noProof/>
              </w:rPr>
              <w:t>Ban of claims not fulfilling minimum criteria</w:t>
            </w:r>
          </w:p>
        </w:tc>
        <w:tc>
          <w:tcPr>
            <w:tcW w:w="787" w:type="pct"/>
            <w:shd w:val="clear" w:color="auto" w:fill="F79646" w:themeFill="accent6"/>
          </w:tcPr>
          <w:p w:rsidR="00EA45F9" w:rsidRPr="009B5734" w:rsidRDefault="00EA45F9" w:rsidP="00981615">
            <w:pPr>
              <w:pStyle w:val="Text2"/>
              <w:spacing w:after="0"/>
              <w:ind w:left="0" w:firstLine="0"/>
              <w:jc w:val="center"/>
              <w:cnfStyle w:val="100000000000" w:firstRow="1" w:lastRow="0" w:firstColumn="0" w:lastColumn="0" w:oddVBand="0" w:evenVBand="0" w:oddHBand="0" w:evenHBand="0" w:firstRowFirstColumn="0" w:firstRowLastColumn="0" w:lastRowFirstColumn="0" w:lastRowLastColumn="0"/>
              <w:rPr>
                <w:noProof/>
              </w:rPr>
            </w:pPr>
            <w:r w:rsidRPr="009B5734">
              <w:rPr>
                <w:noProof/>
              </w:rPr>
              <w:t>Option 2.2.C = 2.2.A + 2.2.B</w:t>
            </w:r>
          </w:p>
          <w:p w:rsidR="00EA45F9" w:rsidRPr="009B5734" w:rsidRDefault="00EA45F9" w:rsidP="00981615">
            <w:pPr>
              <w:pStyle w:val="Text2"/>
              <w:spacing w:after="0"/>
              <w:ind w:left="0" w:firstLine="0"/>
              <w:jc w:val="center"/>
              <w:cnfStyle w:val="100000000000" w:firstRow="1" w:lastRow="0" w:firstColumn="0" w:lastColumn="0" w:oddVBand="0" w:evenVBand="0" w:oddHBand="0" w:evenHBand="0" w:firstRowFirstColumn="0" w:firstRowLastColumn="0" w:lastRowFirstColumn="0" w:lastRowLastColumn="0"/>
              <w:rPr>
                <w:noProof/>
              </w:rPr>
            </w:pPr>
          </w:p>
        </w:tc>
      </w:tr>
      <w:tr w:rsidR="00215F89" w:rsidRPr="009B5734" w:rsidTr="00C84A99">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023" w:type="pct"/>
            <w:vMerge w:val="restart"/>
            <w:shd w:val="clear" w:color="auto" w:fill="auto"/>
          </w:tcPr>
          <w:p w:rsidR="00EA45F9" w:rsidRPr="009B5734" w:rsidRDefault="00EA45F9" w:rsidP="00981615">
            <w:pPr>
              <w:pStyle w:val="Text2"/>
              <w:spacing w:after="0"/>
              <w:ind w:left="0" w:firstLine="0"/>
              <w:rPr>
                <w:noProof/>
              </w:rPr>
            </w:pPr>
            <w:r w:rsidRPr="009B5734">
              <w:rPr>
                <w:noProof/>
              </w:rPr>
              <w:t>Impact on consumers</w:t>
            </w:r>
          </w:p>
        </w:tc>
        <w:tc>
          <w:tcPr>
            <w:tcW w:w="1497" w:type="pct"/>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Quality of consumer decision-making</w:t>
            </w:r>
          </w:p>
        </w:tc>
        <w:tc>
          <w:tcPr>
            <w:tcW w:w="785" w:type="pct"/>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8/10</w:t>
            </w:r>
          </w:p>
        </w:tc>
        <w:tc>
          <w:tcPr>
            <w:tcW w:w="908" w:type="pct"/>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8/10</w:t>
            </w:r>
          </w:p>
        </w:tc>
        <w:tc>
          <w:tcPr>
            <w:tcW w:w="787" w:type="pct"/>
            <w:shd w:val="clear" w:color="auto" w:fill="auto"/>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9/10</w:t>
            </w:r>
          </w:p>
        </w:tc>
      </w:tr>
      <w:tr w:rsidR="00215F89" w:rsidRPr="009B5734" w:rsidTr="00C84A99">
        <w:trPr>
          <w:trHeight w:val="467"/>
        </w:trPr>
        <w:tc>
          <w:tcPr>
            <w:cnfStyle w:val="001000000000" w:firstRow="0" w:lastRow="0" w:firstColumn="1" w:lastColumn="0" w:oddVBand="0" w:evenVBand="0" w:oddHBand="0" w:evenHBand="0" w:firstRowFirstColumn="0" w:firstRowLastColumn="0" w:lastRowFirstColumn="0" w:lastRowLastColumn="0"/>
            <w:tcW w:w="1023" w:type="pct"/>
            <w:vMerge/>
            <w:shd w:val="clear" w:color="auto" w:fill="auto"/>
          </w:tcPr>
          <w:p w:rsidR="00EA45F9" w:rsidRPr="009B5734" w:rsidRDefault="00EA45F9" w:rsidP="00981615">
            <w:pPr>
              <w:pStyle w:val="Text2"/>
              <w:spacing w:after="0"/>
              <w:ind w:left="0" w:firstLine="0"/>
              <w:rPr>
                <w:noProof/>
              </w:rPr>
            </w:pPr>
          </w:p>
        </w:tc>
        <w:tc>
          <w:tcPr>
            <w:tcW w:w="1497" w:type="pct"/>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Consumer protection</w:t>
            </w:r>
          </w:p>
        </w:tc>
        <w:tc>
          <w:tcPr>
            <w:tcW w:w="785" w:type="pct"/>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7/10</w:t>
            </w:r>
          </w:p>
        </w:tc>
        <w:tc>
          <w:tcPr>
            <w:tcW w:w="908" w:type="pct"/>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7/10</w:t>
            </w:r>
          </w:p>
        </w:tc>
        <w:tc>
          <w:tcPr>
            <w:tcW w:w="787" w:type="pct"/>
            <w:shd w:val="clear" w:color="auto" w:fill="auto"/>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8/10</w:t>
            </w:r>
          </w:p>
        </w:tc>
      </w:tr>
      <w:tr w:rsidR="00215F89" w:rsidRPr="009B5734" w:rsidTr="00C84A99">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023" w:type="pct"/>
            <w:vMerge/>
            <w:shd w:val="clear" w:color="auto" w:fill="auto"/>
          </w:tcPr>
          <w:p w:rsidR="00EA45F9" w:rsidRPr="009B5734" w:rsidRDefault="00EA45F9" w:rsidP="00981615">
            <w:pPr>
              <w:pStyle w:val="Text2"/>
              <w:spacing w:after="0"/>
              <w:ind w:left="0" w:firstLine="0"/>
              <w:rPr>
                <w:noProof/>
              </w:rPr>
            </w:pPr>
          </w:p>
        </w:tc>
        <w:tc>
          <w:tcPr>
            <w:tcW w:w="1497" w:type="pct"/>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Consumer trust</w:t>
            </w:r>
          </w:p>
        </w:tc>
        <w:tc>
          <w:tcPr>
            <w:tcW w:w="785" w:type="pct"/>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8/10</w:t>
            </w:r>
          </w:p>
        </w:tc>
        <w:tc>
          <w:tcPr>
            <w:tcW w:w="908" w:type="pct"/>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8/10</w:t>
            </w:r>
          </w:p>
        </w:tc>
        <w:tc>
          <w:tcPr>
            <w:tcW w:w="787" w:type="pct"/>
            <w:shd w:val="clear" w:color="auto" w:fill="auto"/>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9/10</w:t>
            </w:r>
          </w:p>
        </w:tc>
      </w:tr>
      <w:tr w:rsidR="00215F89" w:rsidRPr="009B5734" w:rsidTr="00C84A99">
        <w:trPr>
          <w:trHeight w:val="481"/>
        </w:trPr>
        <w:tc>
          <w:tcPr>
            <w:cnfStyle w:val="001000000000" w:firstRow="0" w:lastRow="0" w:firstColumn="1" w:lastColumn="0" w:oddVBand="0" w:evenVBand="0" w:oddHBand="0" w:evenHBand="0" w:firstRowFirstColumn="0" w:firstRowLastColumn="0" w:lastRowFirstColumn="0" w:lastRowLastColumn="0"/>
            <w:tcW w:w="1023" w:type="pct"/>
            <w:vMerge/>
            <w:shd w:val="clear" w:color="auto" w:fill="auto"/>
          </w:tcPr>
          <w:p w:rsidR="00EA45F9" w:rsidRPr="009B5734" w:rsidRDefault="00EA45F9" w:rsidP="00981615">
            <w:pPr>
              <w:pStyle w:val="Text2"/>
              <w:spacing w:after="0"/>
              <w:ind w:left="0" w:firstLine="0"/>
              <w:rPr>
                <w:noProof/>
              </w:rPr>
            </w:pPr>
          </w:p>
        </w:tc>
        <w:tc>
          <w:tcPr>
            <w:tcW w:w="1497" w:type="pct"/>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Monetisable Consumer Welfare (present value for period 2025-2040)</w:t>
            </w:r>
          </w:p>
        </w:tc>
        <w:tc>
          <w:tcPr>
            <w:tcW w:w="785" w:type="pct"/>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8/10</w:t>
            </w:r>
          </w:p>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w:t>
            </w:r>
            <w:r w:rsidRPr="009B5734">
              <w:rPr>
                <w:noProof/>
                <w:szCs w:val="24"/>
              </w:rPr>
              <w:t xml:space="preserve">EUR </w:t>
            </w:r>
            <w:r w:rsidRPr="009B5734">
              <w:rPr>
                <w:noProof/>
              </w:rPr>
              <w:t xml:space="preserve">2 155 – 3 960 </w:t>
            </w:r>
            <w:r w:rsidRPr="009B5734">
              <w:rPr>
                <w:noProof/>
                <w:szCs w:val="24"/>
              </w:rPr>
              <w:t>million</w:t>
            </w:r>
            <w:r w:rsidRPr="009B5734">
              <w:rPr>
                <w:noProof/>
              </w:rPr>
              <w:t>)</w:t>
            </w:r>
          </w:p>
        </w:tc>
        <w:tc>
          <w:tcPr>
            <w:tcW w:w="908" w:type="pct"/>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8/10</w:t>
            </w:r>
          </w:p>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(EUR 1 580 – 2 910 million)</w:t>
            </w:r>
          </w:p>
        </w:tc>
        <w:tc>
          <w:tcPr>
            <w:tcW w:w="787" w:type="pct"/>
            <w:shd w:val="clear" w:color="auto" w:fill="auto"/>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9/10</w:t>
            </w:r>
          </w:p>
          <w:p w:rsidR="00EA45F9" w:rsidRPr="009B5734" w:rsidDel="0099056C"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w:t>
            </w:r>
            <w:r w:rsidRPr="009B5734">
              <w:rPr>
                <w:noProof/>
                <w:szCs w:val="24"/>
              </w:rPr>
              <w:t xml:space="preserve">EUR </w:t>
            </w:r>
            <w:r w:rsidRPr="009B5734">
              <w:rPr>
                <w:noProof/>
              </w:rPr>
              <w:t xml:space="preserve">3 735 – 6870 </w:t>
            </w:r>
            <w:r w:rsidRPr="009B5734">
              <w:rPr>
                <w:noProof/>
                <w:szCs w:val="24"/>
              </w:rPr>
              <w:t>million)</w:t>
            </w:r>
          </w:p>
        </w:tc>
      </w:tr>
      <w:tr w:rsidR="00215F89" w:rsidRPr="009B5734" w:rsidTr="00C84A99">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023" w:type="pct"/>
            <w:vMerge w:val="restart"/>
            <w:shd w:val="clear" w:color="auto" w:fill="auto"/>
          </w:tcPr>
          <w:p w:rsidR="00EA45F9" w:rsidRPr="009B5734" w:rsidRDefault="00EA45F9" w:rsidP="00981615">
            <w:pPr>
              <w:pStyle w:val="Text2"/>
              <w:spacing w:after="0"/>
              <w:ind w:left="0" w:firstLine="0"/>
              <w:rPr>
                <w:noProof/>
              </w:rPr>
            </w:pPr>
            <w:r w:rsidRPr="009B5734">
              <w:rPr>
                <w:noProof/>
              </w:rPr>
              <w:t>Impact on businesses</w:t>
            </w:r>
          </w:p>
        </w:tc>
        <w:tc>
          <w:tcPr>
            <w:tcW w:w="1497" w:type="pct"/>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 xml:space="preserve">Level-playing field </w:t>
            </w:r>
          </w:p>
        </w:tc>
        <w:tc>
          <w:tcPr>
            <w:tcW w:w="785" w:type="pct"/>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8/10</w:t>
            </w:r>
          </w:p>
        </w:tc>
        <w:tc>
          <w:tcPr>
            <w:tcW w:w="908" w:type="pct"/>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8/10</w:t>
            </w:r>
          </w:p>
        </w:tc>
        <w:tc>
          <w:tcPr>
            <w:tcW w:w="787" w:type="pct"/>
            <w:shd w:val="clear" w:color="auto" w:fill="auto"/>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8/10</w:t>
            </w:r>
          </w:p>
        </w:tc>
      </w:tr>
      <w:tr w:rsidR="00215F89" w:rsidRPr="009B5734" w:rsidTr="00C84A99">
        <w:trPr>
          <w:trHeight w:val="467"/>
        </w:trPr>
        <w:tc>
          <w:tcPr>
            <w:cnfStyle w:val="001000000000" w:firstRow="0" w:lastRow="0" w:firstColumn="1" w:lastColumn="0" w:oddVBand="0" w:evenVBand="0" w:oddHBand="0" w:evenHBand="0" w:firstRowFirstColumn="0" w:firstRowLastColumn="0" w:lastRowFirstColumn="0" w:lastRowLastColumn="0"/>
            <w:tcW w:w="1023" w:type="pct"/>
            <w:vMerge/>
            <w:shd w:val="clear" w:color="auto" w:fill="auto"/>
          </w:tcPr>
          <w:p w:rsidR="00EA45F9" w:rsidRPr="009B5734" w:rsidRDefault="00EA45F9" w:rsidP="00981615">
            <w:pPr>
              <w:pStyle w:val="Text2"/>
              <w:spacing w:after="0"/>
              <w:ind w:left="0" w:firstLine="0"/>
              <w:rPr>
                <w:noProof/>
              </w:rPr>
            </w:pPr>
          </w:p>
        </w:tc>
        <w:tc>
          <w:tcPr>
            <w:tcW w:w="1497" w:type="pct"/>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Reduction of barriers to cross-border trade</w:t>
            </w:r>
          </w:p>
        </w:tc>
        <w:tc>
          <w:tcPr>
            <w:tcW w:w="785" w:type="pct"/>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5/10</w:t>
            </w:r>
          </w:p>
        </w:tc>
        <w:tc>
          <w:tcPr>
            <w:tcW w:w="908" w:type="pct"/>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5/10</w:t>
            </w:r>
          </w:p>
        </w:tc>
        <w:tc>
          <w:tcPr>
            <w:tcW w:w="787" w:type="pct"/>
            <w:shd w:val="clear" w:color="auto" w:fill="auto"/>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5/10</w:t>
            </w:r>
          </w:p>
        </w:tc>
      </w:tr>
      <w:tr w:rsidR="00215F89" w:rsidRPr="009B5734" w:rsidTr="00C84A99">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023" w:type="pct"/>
            <w:vMerge/>
            <w:shd w:val="clear" w:color="auto" w:fill="auto"/>
          </w:tcPr>
          <w:p w:rsidR="00EA45F9" w:rsidRPr="009B5734" w:rsidRDefault="00EA45F9" w:rsidP="00981615">
            <w:pPr>
              <w:pStyle w:val="Text2"/>
              <w:spacing w:after="0"/>
              <w:ind w:left="0" w:firstLine="0"/>
              <w:rPr>
                <w:noProof/>
              </w:rPr>
            </w:pPr>
          </w:p>
        </w:tc>
        <w:tc>
          <w:tcPr>
            <w:tcW w:w="1497" w:type="pct"/>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Administrative burdens (present value for period 2025-2040)</w:t>
            </w:r>
          </w:p>
        </w:tc>
        <w:tc>
          <w:tcPr>
            <w:tcW w:w="785" w:type="pct"/>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EUR 0</w:t>
            </w:r>
          </w:p>
        </w:tc>
        <w:tc>
          <w:tcPr>
            <w:tcW w:w="908" w:type="pct"/>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EUR 0</w:t>
            </w:r>
          </w:p>
        </w:tc>
        <w:tc>
          <w:tcPr>
            <w:tcW w:w="787" w:type="pct"/>
            <w:shd w:val="clear" w:color="auto" w:fill="auto"/>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EUR 0</w:t>
            </w:r>
          </w:p>
        </w:tc>
      </w:tr>
      <w:tr w:rsidR="00215F89" w:rsidRPr="009B5734" w:rsidTr="00C84A99">
        <w:trPr>
          <w:trHeight w:val="467"/>
        </w:trPr>
        <w:tc>
          <w:tcPr>
            <w:cnfStyle w:val="001000000000" w:firstRow="0" w:lastRow="0" w:firstColumn="1" w:lastColumn="0" w:oddVBand="0" w:evenVBand="0" w:oddHBand="0" w:evenHBand="0" w:firstRowFirstColumn="0" w:firstRowLastColumn="0" w:lastRowFirstColumn="0" w:lastRowLastColumn="0"/>
            <w:tcW w:w="1023" w:type="pct"/>
            <w:vMerge/>
            <w:shd w:val="clear" w:color="auto" w:fill="auto"/>
          </w:tcPr>
          <w:p w:rsidR="00EA45F9" w:rsidRPr="009B5734" w:rsidRDefault="00EA45F9" w:rsidP="00981615">
            <w:pPr>
              <w:pStyle w:val="Text2"/>
              <w:spacing w:after="0"/>
              <w:ind w:left="0" w:firstLine="0"/>
              <w:rPr>
                <w:noProof/>
              </w:rPr>
            </w:pPr>
          </w:p>
        </w:tc>
        <w:tc>
          <w:tcPr>
            <w:tcW w:w="1497" w:type="pct"/>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Substantive compliance costs (present value for period 2025-2040)</w:t>
            </w:r>
          </w:p>
        </w:tc>
        <w:tc>
          <w:tcPr>
            <w:tcW w:w="785" w:type="pct"/>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EUR 2 900 – 3 150</w:t>
            </w:r>
          </w:p>
        </w:tc>
        <w:tc>
          <w:tcPr>
            <w:tcW w:w="908" w:type="pct"/>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EUR 2 900 – 3 150</w:t>
            </w:r>
          </w:p>
        </w:tc>
        <w:tc>
          <w:tcPr>
            <w:tcW w:w="787" w:type="pct"/>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 xml:space="preserve">EUR 3 300 – 3 500 </w:t>
            </w:r>
            <w:r w:rsidRPr="009B5734" w:rsidDel="00AD70F6">
              <w:rPr>
                <w:noProof/>
              </w:rPr>
              <w:t>million</w:t>
            </w:r>
          </w:p>
        </w:tc>
      </w:tr>
      <w:tr w:rsidR="00215F89" w:rsidRPr="009B5734" w:rsidTr="00C84A99">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023" w:type="pct"/>
            <w:vMerge/>
            <w:shd w:val="clear" w:color="auto" w:fill="auto"/>
          </w:tcPr>
          <w:p w:rsidR="00EA45F9" w:rsidRPr="009B5734" w:rsidRDefault="00EA45F9" w:rsidP="00981615">
            <w:pPr>
              <w:pStyle w:val="Text2"/>
              <w:spacing w:after="0"/>
              <w:ind w:left="0" w:firstLine="0"/>
              <w:rPr>
                <w:noProof/>
              </w:rPr>
            </w:pPr>
          </w:p>
        </w:tc>
        <w:tc>
          <w:tcPr>
            <w:tcW w:w="1497" w:type="pct"/>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Indirect costs</w:t>
            </w:r>
          </w:p>
        </w:tc>
        <w:tc>
          <w:tcPr>
            <w:tcW w:w="785" w:type="pct"/>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5/10</w:t>
            </w:r>
          </w:p>
        </w:tc>
        <w:tc>
          <w:tcPr>
            <w:tcW w:w="908" w:type="pct"/>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5/10</w:t>
            </w:r>
          </w:p>
        </w:tc>
        <w:tc>
          <w:tcPr>
            <w:tcW w:w="787" w:type="pct"/>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5/10</w:t>
            </w:r>
          </w:p>
        </w:tc>
      </w:tr>
      <w:tr w:rsidR="00215F89" w:rsidRPr="009B5734" w:rsidTr="00C84A99">
        <w:trPr>
          <w:trHeight w:val="467"/>
        </w:trPr>
        <w:tc>
          <w:tcPr>
            <w:cnfStyle w:val="001000000000" w:firstRow="0" w:lastRow="0" w:firstColumn="1" w:lastColumn="0" w:oddVBand="0" w:evenVBand="0" w:oddHBand="0" w:evenHBand="0" w:firstRowFirstColumn="0" w:firstRowLastColumn="0" w:lastRowFirstColumn="0" w:lastRowLastColumn="0"/>
            <w:tcW w:w="1023" w:type="pct"/>
            <w:vMerge/>
            <w:shd w:val="clear" w:color="auto" w:fill="auto"/>
          </w:tcPr>
          <w:p w:rsidR="00EA45F9" w:rsidRPr="009B5734" w:rsidRDefault="00EA45F9" w:rsidP="00981615">
            <w:pPr>
              <w:pStyle w:val="Text2"/>
              <w:spacing w:after="0"/>
              <w:ind w:left="0" w:firstLine="0"/>
              <w:rPr>
                <w:noProof/>
              </w:rPr>
            </w:pPr>
          </w:p>
        </w:tc>
        <w:tc>
          <w:tcPr>
            <w:tcW w:w="1497" w:type="pct"/>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SME growth</w:t>
            </w:r>
          </w:p>
        </w:tc>
        <w:tc>
          <w:tcPr>
            <w:tcW w:w="785" w:type="pct"/>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5/10</w:t>
            </w:r>
          </w:p>
        </w:tc>
        <w:tc>
          <w:tcPr>
            <w:tcW w:w="908" w:type="pct"/>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5/10</w:t>
            </w:r>
          </w:p>
        </w:tc>
        <w:tc>
          <w:tcPr>
            <w:tcW w:w="787" w:type="pct"/>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5/10</w:t>
            </w:r>
          </w:p>
        </w:tc>
      </w:tr>
      <w:tr w:rsidR="00215F89" w:rsidRPr="009B5734" w:rsidTr="00C84A99">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023" w:type="pct"/>
            <w:shd w:val="clear" w:color="auto" w:fill="auto"/>
          </w:tcPr>
          <w:p w:rsidR="00EA45F9" w:rsidRPr="009B5734" w:rsidRDefault="00EA45F9" w:rsidP="00981615">
            <w:pPr>
              <w:pStyle w:val="Text2"/>
              <w:spacing w:after="0"/>
              <w:ind w:left="0" w:firstLine="0"/>
              <w:rPr>
                <w:noProof/>
              </w:rPr>
            </w:pPr>
            <w:r w:rsidRPr="009B5734">
              <w:rPr>
                <w:noProof/>
              </w:rPr>
              <w:t>Impacts on public administration</w:t>
            </w:r>
          </w:p>
        </w:tc>
        <w:tc>
          <w:tcPr>
            <w:tcW w:w="1497" w:type="pct"/>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Enforcement costs and other costs (present value for period 2025-2040)</w:t>
            </w:r>
          </w:p>
        </w:tc>
        <w:tc>
          <w:tcPr>
            <w:tcW w:w="785" w:type="pct"/>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 xml:space="preserve">EUR 7-12 </w:t>
            </w:r>
            <w:r w:rsidRPr="009B5734" w:rsidDel="00EB2902">
              <w:rPr>
                <w:noProof/>
              </w:rPr>
              <w:t>million</w:t>
            </w:r>
          </w:p>
        </w:tc>
        <w:tc>
          <w:tcPr>
            <w:tcW w:w="908" w:type="pct"/>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 xml:space="preserve">EUR 7-12 </w:t>
            </w:r>
            <w:r w:rsidRPr="009B5734" w:rsidDel="00EB2902">
              <w:rPr>
                <w:noProof/>
              </w:rPr>
              <w:t>million</w:t>
            </w:r>
          </w:p>
        </w:tc>
        <w:tc>
          <w:tcPr>
            <w:tcW w:w="787" w:type="pct"/>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 xml:space="preserve">EUR 7-12 </w:t>
            </w:r>
            <w:r w:rsidRPr="009B5734" w:rsidDel="00EB2902">
              <w:rPr>
                <w:noProof/>
              </w:rPr>
              <w:t>million</w:t>
            </w:r>
          </w:p>
        </w:tc>
      </w:tr>
      <w:tr w:rsidR="00215F89" w:rsidRPr="009B5734" w:rsidTr="00C84A99">
        <w:trPr>
          <w:trHeight w:val="467"/>
        </w:trPr>
        <w:tc>
          <w:tcPr>
            <w:cnfStyle w:val="001000000000" w:firstRow="0" w:lastRow="0" w:firstColumn="1" w:lastColumn="0" w:oddVBand="0" w:evenVBand="0" w:oddHBand="0" w:evenHBand="0" w:firstRowFirstColumn="0" w:firstRowLastColumn="0" w:lastRowFirstColumn="0" w:lastRowLastColumn="0"/>
            <w:tcW w:w="1023" w:type="pct"/>
            <w:vMerge w:val="restart"/>
            <w:shd w:val="clear" w:color="auto" w:fill="auto"/>
          </w:tcPr>
          <w:p w:rsidR="00EA45F9" w:rsidRPr="009B5734" w:rsidRDefault="00EA45F9" w:rsidP="00981615">
            <w:pPr>
              <w:pStyle w:val="Text2"/>
              <w:spacing w:after="0"/>
              <w:ind w:left="0" w:firstLine="0"/>
              <w:rPr>
                <w:noProof/>
              </w:rPr>
            </w:pPr>
            <w:r w:rsidRPr="009B5734">
              <w:rPr>
                <w:noProof/>
              </w:rPr>
              <w:t>Environmental impacts</w:t>
            </w:r>
          </w:p>
        </w:tc>
        <w:tc>
          <w:tcPr>
            <w:tcW w:w="1497" w:type="pct"/>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Climate change</w:t>
            </w:r>
          </w:p>
        </w:tc>
        <w:tc>
          <w:tcPr>
            <w:tcW w:w="785" w:type="pct"/>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Positive and possibly high</w:t>
            </w:r>
          </w:p>
        </w:tc>
        <w:tc>
          <w:tcPr>
            <w:tcW w:w="908" w:type="pct"/>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Positive but minor</w:t>
            </w:r>
          </w:p>
        </w:tc>
        <w:tc>
          <w:tcPr>
            <w:tcW w:w="787" w:type="pct"/>
            <w:shd w:val="clear" w:color="auto" w:fill="auto"/>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Positive and possibly high</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023" w:type="pct"/>
            <w:vMerge/>
            <w:shd w:val="clear" w:color="auto" w:fill="auto"/>
          </w:tcPr>
          <w:p w:rsidR="00EA45F9" w:rsidRPr="009B5734" w:rsidRDefault="00EA45F9" w:rsidP="00981615">
            <w:pPr>
              <w:pStyle w:val="Text2"/>
              <w:spacing w:after="0"/>
              <w:ind w:left="0" w:firstLine="0"/>
              <w:rPr>
                <w:noProof/>
              </w:rPr>
            </w:pPr>
          </w:p>
        </w:tc>
        <w:tc>
          <w:tcPr>
            <w:tcW w:w="1497" w:type="pct"/>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Other environmental impacts</w:t>
            </w:r>
          </w:p>
        </w:tc>
        <w:tc>
          <w:tcPr>
            <w:tcW w:w="785" w:type="pct"/>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7/10</w:t>
            </w:r>
          </w:p>
        </w:tc>
        <w:tc>
          <w:tcPr>
            <w:tcW w:w="908" w:type="pct"/>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6/10</w:t>
            </w:r>
          </w:p>
        </w:tc>
        <w:tc>
          <w:tcPr>
            <w:tcW w:w="787" w:type="pct"/>
            <w:shd w:val="clear" w:color="auto" w:fill="auto"/>
          </w:tcPr>
          <w:p w:rsidR="00EA45F9" w:rsidRPr="009B5734" w:rsidRDefault="002F1ABA"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7/10</w:t>
            </w:r>
          </w:p>
        </w:tc>
      </w:tr>
      <w:tr w:rsidR="00215F89" w:rsidRPr="009B5734" w:rsidTr="00C84A99">
        <w:trPr>
          <w:trHeight w:val="467"/>
        </w:trPr>
        <w:tc>
          <w:tcPr>
            <w:cnfStyle w:val="001000000000" w:firstRow="0" w:lastRow="0" w:firstColumn="1" w:lastColumn="0" w:oddVBand="0" w:evenVBand="0" w:oddHBand="0" w:evenHBand="0" w:firstRowFirstColumn="0" w:firstRowLastColumn="0" w:lastRowFirstColumn="0" w:lastRowLastColumn="0"/>
            <w:tcW w:w="1023" w:type="pct"/>
            <w:shd w:val="clear" w:color="auto" w:fill="auto"/>
          </w:tcPr>
          <w:p w:rsidR="00EA45F9" w:rsidRPr="009B5734" w:rsidRDefault="00EA45F9" w:rsidP="00981615">
            <w:pPr>
              <w:pStyle w:val="Text2"/>
              <w:spacing w:after="0"/>
              <w:ind w:left="0" w:firstLine="0"/>
              <w:rPr>
                <w:noProof/>
              </w:rPr>
            </w:pPr>
            <w:r w:rsidRPr="009B5734">
              <w:rPr>
                <w:noProof/>
              </w:rPr>
              <w:t>Coherence</w:t>
            </w:r>
          </w:p>
        </w:tc>
        <w:tc>
          <w:tcPr>
            <w:tcW w:w="1497" w:type="pct"/>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Coherence with other EU legislation</w:t>
            </w:r>
          </w:p>
        </w:tc>
        <w:tc>
          <w:tcPr>
            <w:tcW w:w="785" w:type="pct"/>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8/10</w:t>
            </w:r>
          </w:p>
        </w:tc>
        <w:tc>
          <w:tcPr>
            <w:tcW w:w="908" w:type="pct"/>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8/10</w:t>
            </w:r>
          </w:p>
        </w:tc>
        <w:tc>
          <w:tcPr>
            <w:tcW w:w="787" w:type="pct"/>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8/10</w:t>
            </w:r>
          </w:p>
        </w:tc>
      </w:tr>
      <w:tr w:rsidR="00215F89" w:rsidRPr="009B5734" w:rsidTr="00C84A99">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023" w:type="pct"/>
            <w:vMerge w:val="restart"/>
            <w:shd w:val="clear" w:color="auto" w:fill="auto"/>
          </w:tcPr>
          <w:p w:rsidR="00EA45F9" w:rsidRPr="009B5734" w:rsidRDefault="00EA45F9" w:rsidP="00981615">
            <w:pPr>
              <w:pStyle w:val="Text2"/>
              <w:spacing w:after="0"/>
              <w:ind w:left="0" w:firstLine="0"/>
              <w:rPr>
                <w:noProof/>
              </w:rPr>
            </w:pPr>
            <w:r w:rsidRPr="009B5734">
              <w:rPr>
                <w:noProof/>
              </w:rPr>
              <w:t>Overarching impacts</w:t>
            </w:r>
          </w:p>
        </w:tc>
        <w:tc>
          <w:tcPr>
            <w:tcW w:w="1497" w:type="pct"/>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Circularity and sustainable consumption</w:t>
            </w:r>
          </w:p>
        </w:tc>
        <w:tc>
          <w:tcPr>
            <w:tcW w:w="785" w:type="pct"/>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7/10</w:t>
            </w:r>
          </w:p>
        </w:tc>
        <w:tc>
          <w:tcPr>
            <w:tcW w:w="908" w:type="pct"/>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6/10</w:t>
            </w:r>
          </w:p>
        </w:tc>
        <w:tc>
          <w:tcPr>
            <w:tcW w:w="787" w:type="pct"/>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7/10</w:t>
            </w:r>
          </w:p>
        </w:tc>
      </w:tr>
      <w:tr w:rsidR="00215F89" w:rsidRPr="009B5734" w:rsidTr="00C84A99">
        <w:trPr>
          <w:trHeight w:val="467"/>
        </w:trPr>
        <w:tc>
          <w:tcPr>
            <w:cnfStyle w:val="001000000000" w:firstRow="0" w:lastRow="0" w:firstColumn="1" w:lastColumn="0" w:oddVBand="0" w:evenVBand="0" w:oddHBand="0" w:evenHBand="0" w:firstRowFirstColumn="0" w:firstRowLastColumn="0" w:lastRowFirstColumn="0" w:lastRowLastColumn="0"/>
            <w:tcW w:w="1023" w:type="pct"/>
            <w:vMerge/>
            <w:shd w:val="clear" w:color="auto" w:fill="auto"/>
          </w:tcPr>
          <w:p w:rsidR="00EA45F9" w:rsidRPr="009B5734" w:rsidRDefault="00EA45F9" w:rsidP="00981615">
            <w:pPr>
              <w:pStyle w:val="Text2"/>
              <w:spacing w:after="0"/>
              <w:ind w:left="0" w:firstLine="0"/>
              <w:rPr>
                <w:noProof/>
              </w:rPr>
            </w:pPr>
          </w:p>
        </w:tc>
        <w:tc>
          <w:tcPr>
            <w:tcW w:w="1497" w:type="pct"/>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Application of the EU legal framework</w:t>
            </w:r>
          </w:p>
        </w:tc>
        <w:tc>
          <w:tcPr>
            <w:tcW w:w="785" w:type="pct"/>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8/10</w:t>
            </w:r>
          </w:p>
        </w:tc>
        <w:tc>
          <w:tcPr>
            <w:tcW w:w="908" w:type="pct"/>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8/10</w:t>
            </w:r>
          </w:p>
        </w:tc>
        <w:tc>
          <w:tcPr>
            <w:tcW w:w="787" w:type="pct"/>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8/10</w:t>
            </w:r>
          </w:p>
        </w:tc>
      </w:tr>
      <w:bookmarkEnd w:id="727"/>
      <w:bookmarkEnd w:id="728"/>
    </w:tbl>
    <w:p w:rsidR="00EA45F9" w:rsidRPr="009B5734" w:rsidRDefault="00EA45F9" w:rsidP="00EA45F9">
      <w:pPr>
        <w:rPr>
          <w:noProof/>
        </w:rPr>
      </w:pPr>
    </w:p>
    <w:p w:rsidR="00EA45F9" w:rsidRPr="009B5734" w:rsidRDefault="00A00208" w:rsidP="00A00208">
      <w:pPr>
        <w:pStyle w:val="Heading4"/>
        <w:rPr>
          <w:noProof/>
        </w:rPr>
      </w:pPr>
      <w:bookmarkStart w:id="729" w:name="_Toc60734125"/>
      <w:bookmarkStart w:id="730" w:name="_Toc75441015"/>
      <w:bookmarkStart w:id="731" w:name="_Toc75447014"/>
      <w:bookmarkStart w:id="732" w:name="_Toc75448887"/>
      <w:r w:rsidRPr="00A00208">
        <w:t>2.3.</w:t>
      </w:r>
      <w:r w:rsidRPr="00A00208">
        <w:tab/>
      </w:r>
      <w:r w:rsidR="00EA45F9" w:rsidRPr="009B5734">
        <w:rPr>
          <w:noProof/>
        </w:rPr>
        <w:t xml:space="preserve">Sub-Problem 2.3: Consumers are faced with </w:t>
      </w:r>
      <w:r w:rsidR="00B12E20" w:rsidRPr="009B5734">
        <w:rPr>
          <w:noProof/>
        </w:rPr>
        <w:t>the use</w:t>
      </w:r>
      <w:r w:rsidR="00EA45F9" w:rsidRPr="009B5734">
        <w:rPr>
          <w:noProof/>
        </w:rPr>
        <w:t xml:space="preserve"> of sustainability labels</w:t>
      </w:r>
      <w:r w:rsidR="00B12E20" w:rsidRPr="009B5734">
        <w:rPr>
          <w:noProof/>
        </w:rPr>
        <w:t xml:space="preserve"> and digital information tools</w:t>
      </w:r>
      <w:r w:rsidR="00EA45F9" w:rsidRPr="009B5734">
        <w:rPr>
          <w:noProof/>
        </w:rPr>
        <w:t xml:space="preserve"> that are not always </w:t>
      </w:r>
      <w:r w:rsidR="00B12E20" w:rsidRPr="009B5734">
        <w:rPr>
          <w:noProof/>
        </w:rPr>
        <w:t xml:space="preserve">transparent </w:t>
      </w:r>
      <w:r w:rsidR="00EA45F9" w:rsidRPr="009B5734">
        <w:rPr>
          <w:noProof/>
        </w:rPr>
        <w:t>or c</w:t>
      </w:r>
      <w:r w:rsidR="00B12E20" w:rsidRPr="009B5734">
        <w:rPr>
          <w:noProof/>
        </w:rPr>
        <w:t>redible</w:t>
      </w:r>
      <w:bookmarkEnd w:id="729"/>
      <w:bookmarkEnd w:id="730"/>
      <w:bookmarkEnd w:id="731"/>
      <w:bookmarkEnd w:id="732"/>
    </w:p>
    <w:p w:rsidR="00EA45F9" w:rsidRPr="004931D3" w:rsidRDefault="00EA45F9">
      <w:pPr>
        <w:pStyle w:val="Heading5"/>
        <w:rPr>
          <w:rFonts w:ascii="Times New Roman" w:hAnsi="Times New Roman" w:cs="Times New Roman"/>
          <w:i w:val="0"/>
          <w:noProof/>
          <w:sz w:val="24"/>
        </w:rPr>
      </w:pPr>
      <w:bookmarkStart w:id="733" w:name="_Toc60734126"/>
      <w:bookmarkStart w:id="734" w:name="_Toc75441016"/>
      <w:bookmarkStart w:id="735" w:name="_Toc75447015"/>
      <w:bookmarkStart w:id="736" w:name="_Toc75448888"/>
      <w:r w:rsidRPr="6B053803">
        <w:rPr>
          <w:rFonts w:ascii="Times New Roman" w:hAnsi="Times New Roman" w:cs="Times New Roman"/>
          <w:i w:val="0"/>
          <w:noProof/>
          <w:sz w:val="24"/>
        </w:rPr>
        <w:t>Assessment of the options</w:t>
      </w:r>
      <w:bookmarkEnd w:id="733"/>
      <w:bookmarkEnd w:id="734"/>
      <w:bookmarkEnd w:id="735"/>
      <w:bookmarkEnd w:id="736"/>
    </w:p>
    <w:tbl>
      <w:tblPr>
        <w:tblStyle w:val="GridTable1Light-Accent2"/>
        <w:tblW w:w="0" w:type="auto"/>
        <w:tblLook w:val="04A0" w:firstRow="1" w:lastRow="0" w:firstColumn="1" w:lastColumn="0" w:noHBand="0" w:noVBand="1"/>
      </w:tblPr>
      <w:tblGrid>
        <w:gridCol w:w="8607"/>
      </w:tblGrid>
      <w:tr w:rsidR="00EA45F9" w:rsidRPr="009B5734" w:rsidTr="00C84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right w:val="single" w:sz="4" w:space="0" w:color="E5B8B7" w:themeColor="accent2" w:themeTint="66"/>
            </w:tcBorders>
            <w:shd w:val="clear" w:color="auto" w:fill="E5B8B7" w:themeFill="accent2" w:themeFillTint="66"/>
            <w:hideMark/>
          </w:tcPr>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Option 2.3.A: Development of principles promoting the transparency and credibility of  sustainability labels </w:t>
            </w:r>
            <w:r w:rsidR="008D2B10" w:rsidRPr="009B5734">
              <w:rPr>
                <w:rFonts w:ascii="Times New Roman" w:hAnsi="Times New Roman" w:cs="Times New Roman"/>
                <w:noProof/>
                <w:sz w:val="24"/>
              </w:rPr>
              <w:t xml:space="preserve">and </w:t>
            </w:r>
            <w:r w:rsidR="00E83A89" w:rsidRPr="009B5734">
              <w:rPr>
                <w:rFonts w:ascii="Times New Roman" w:hAnsi="Times New Roman" w:cs="Times New Roman"/>
                <w:noProof/>
                <w:sz w:val="24"/>
              </w:rPr>
              <w:t xml:space="preserve">digital information tools </w:t>
            </w:r>
            <w:r w:rsidRPr="009B5734">
              <w:rPr>
                <w:rFonts w:ascii="Times New Roman" w:hAnsi="Times New Roman" w:cs="Times New Roman"/>
                <w:noProof/>
                <w:sz w:val="24"/>
              </w:rPr>
              <w:t>for voluntary uptake</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consumers:</w:t>
            </w:r>
          </w:p>
          <w:p w:rsidR="008D2B10" w:rsidRPr="009B5734" w:rsidRDefault="00EA45F9" w:rsidP="008D2B10">
            <w:pPr>
              <w:ind w:left="0" w:firstLine="0"/>
              <w:rPr>
                <w:rFonts w:ascii="Times New Roman" w:hAnsi="Times New Roman"/>
                <w:noProof/>
                <w:sz w:val="24"/>
              </w:rPr>
            </w:pPr>
            <w:r w:rsidRPr="009B5734">
              <w:rPr>
                <w:rFonts w:ascii="Times New Roman" w:hAnsi="Times New Roman" w:cs="Times New Roman"/>
                <w:noProof/>
                <w:sz w:val="24"/>
              </w:rPr>
              <w:t xml:space="preserve">Quality of decision-making: </w:t>
            </w:r>
            <w:r w:rsidRPr="009B5734">
              <w:rPr>
                <w:rFonts w:ascii="Times New Roman" w:hAnsi="Times New Roman" w:cs="Times New Roman"/>
                <w:b w:val="0"/>
                <w:noProof/>
                <w:sz w:val="24"/>
              </w:rPr>
              <w:t>The proliferation of labels with varying degrees of transparency and reliability has been identified as a barrier to the adoption of more sustainable consumption behaviour.</w:t>
            </w:r>
          </w:p>
          <w:p w:rsidR="008D2B10" w:rsidRPr="009B5734" w:rsidRDefault="008D2B10" w:rsidP="008D2B10">
            <w:pPr>
              <w:ind w:left="0" w:firstLine="0"/>
              <w:rPr>
                <w:rFonts w:ascii="Times New Roman" w:hAnsi="Times New Roman" w:cs="Times New Roman"/>
                <w:b w:val="0"/>
                <w:noProof/>
                <w:sz w:val="24"/>
              </w:rPr>
            </w:pPr>
            <w:r w:rsidRPr="009B5734">
              <w:rPr>
                <w:rFonts w:ascii="Times New Roman" w:hAnsi="Times New Roman" w:cs="Times New Roman"/>
                <w:b w:val="0"/>
                <w:noProof/>
                <w:sz w:val="24"/>
              </w:rPr>
              <w:t xml:space="preserve">Desk research shows that there is still a reduced number of fully dedicated </w:t>
            </w:r>
            <w:r w:rsidR="00E83A89" w:rsidRPr="009B5734">
              <w:rPr>
                <w:rFonts w:ascii="Times New Roman" w:hAnsi="Times New Roman" w:cs="Times New Roman"/>
                <w:b w:val="0"/>
                <w:noProof/>
                <w:sz w:val="24"/>
              </w:rPr>
              <w:t>digital</w:t>
            </w:r>
            <w:r w:rsidRPr="009B5734">
              <w:rPr>
                <w:rFonts w:ascii="Times New Roman" w:hAnsi="Times New Roman" w:cs="Times New Roman"/>
                <w:b w:val="0"/>
                <w:noProof/>
                <w:sz w:val="24"/>
              </w:rPr>
              <w:t xml:space="preserve"> information tools to help consumers compare products based on their sustainability. On the other hand, desk research also shows that more and more marketplaces and online shops are giving consumers an indication of the sustainability of the products they sell and also that the number of dedicated comparison tools is expected to increase.</w:t>
            </w:r>
          </w:p>
          <w:p w:rsidR="008D2B10" w:rsidRPr="009B5734" w:rsidRDefault="008D2B10" w:rsidP="008D2B10">
            <w:pPr>
              <w:ind w:left="0" w:firstLine="0"/>
              <w:rPr>
                <w:rFonts w:ascii="Times New Roman" w:hAnsi="Times New Roman" w:cs="Times New Roman"/>
                <w:b w:val="0"/>
                <w:noProof/>
                <w:sz w:val="24"/>
              </w:rPr>
            </w:pPr>
            <w:r w:rsidRPr="009B5734">
              <w:rPr>
                <w:rFonts w:ascii="Times New Roman" w:hAnsi="Times New Roman" w:cs="Times New Roman"/>
                <w:b w:val="0"/>
                <w:noProof/>
                <w:sz w:val="24"/>
              </w:rPr>
              <w:t xml:space="preserve">The consumer survey also showed that the number of consumers currently using these </w:t>
            </w:r>
            <w:r w:rsidR="006B6C94" w:rsidRPr="009B5734">
              <w:rPr>
                <w:rFonts w:ascii="Times New Roman" w:hAnsi="Times New Roman" w:cs="Times New Roman"/>
                <w:b w:val="0"/>
                <w:noProof/>
                <w:sz w:val="24"/>
              </w:rPr>
              <w:t>tools</w:t>
            </w:r>
            <w:r w:rsidRPr="009B5734">
              <w:rPr>
                <w:rFonts w:ascii="Times New Roman" w:hAnsi="Times New Roman" w:cs="Times New Roman"/>
                <w:b w:val="0"/>
                <w:noProof/>
                <w:sz w:val="24"/>
              </w:rPr>
              <w:t xml:space="preserve"> is moderate (6% use them all the time and 19% often) and that many (25%) are not aware of the existence of these tools. The digitalisation of the economy and positive trends regarding consumer interest in adopting more sustainable consumption behaviour is expected to boost the use of such apps and promote their proliferation.</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b w:val="0"/>
                <w:noProof/>
                <w:sz w:val="24"/>
              </w:rPr>
              <w:t>The introduction of minimum criteria for sustainability labels</w:t>
            </w:r>
            <w:r w:rsidR="008D2B10" w:rsidRPr="009B5734">
              <w:rPr>
                <w:rFonts w:ascii="Times New Roman" w:hAnsi="Times New Roman" w:cs="Times New Roman"/>
                <w:b w:val="0"/>
                <w:noProof/>
                <w:sz w:val="24"/>
              </w:rPr>
              <w:t xml:space="preserve"> and </w:t>
            </w:r>
            <w:r w:rsidR="006B6C94" w:rsidRPr="009B5734">
              <w:rPr>
                <w:rFonts w:ascii="Times New Roman" w:hAnsi="Times New Roman" w:cs="Times New Roman"/>
                <w:b w:val="0"/>
                <w:noProof/>
                <w:sz w:val="24"/>
              </w:rPr>
              <w:t>digital information</w:t>
            </w:r>
            <w:r w:rsidR="008D2B10" w:rsidRPr="009B5734">
              <w:rPr>
                <w:rFonts w:ascii="Times New Roman" w:hAnsi="Times New Roman" w:cs="Times New Roman"/>
                <w:b w:val="0"/>
                <w:noProof/>
                <w:sz w:val="24"/>
              </w:rPr>
              <w:t xml:space="preserve"> tools</w:t>
            </w:r>
            <w:r w:rsidRPr="009B5734">
              <w:rPr>
                <w:rFonts w:ascii="Times New Roman" w:hAnsi="Times New Roman" w:cs="Times New Roman"/>
                <w:b w:val="0"/>
                <w:noProof/>
                <w:sz w:val="24"/>
              </w:rPr>
              <w:t xml:space="preserve"> which would increase the transparency and reliability of labels (and possibly slow down or even invert the current proliferation of these labels) </w:t>
            </w:r>
            <w:r w:rsidR="008D2B10" w:rsidRPr="009B5734">
              <w:rPr>
                <w:rFonts w:ascii="Times New Roman" w:hAnsi="Times New Roman" w:cs="Times New Roman"/>
                <w:b w:val="0"/>
                <w:noProof/>
                <w:sz w:val="24"/>
              </w:rPr>
              <w:t xml:space="preserve">and of the assessments provided by the </w:t>
            </w:r>
            <w:r w:rsidR="006B6C94" w:rsidRPr="009B5734">
              <w:rPr>
                <w:rFonts w:ascii="Times New Roman" w:hAnsi="Times New Roman" w:cs="Times New Roman"/>
                <w:b w:val="0"/>
                <w:noProof/>
                <w:sz w:val="24"/>
              </w:rPr>
              <w:t>digital information tools</w:t>
            </w:r>
            <w:r w:rsidR="008D2B10" w:rsidRPr="009B5734">
              <w:rPr>
                <w:rFonts w:ascii="Times New Roman" w:hAnsi="Times New Roman" w:cs="Times New Roman"/>
                <w:b w:val="0"/>
                <w:noProof/>
                <w:sz w:val="24"/>
              </w:rPr>
              <w:t xml:space="preserve">, </w:t>
            </w:r>
            <w:r w:rsidRPr="009B5734">
              <w:rPr>
                <w:rFonts w:ascii="Times New Roman" w:hAnsi="Times New Roman" w:cs="Times New Roman"/>
                <w:b w:val="0"/>
                <w:noProof/>
                <w:sz w:val="24"/>
              </w:rPr>
              <w:t>would therefore enhance the quality of consumer decision-making.</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b w:val="0"/>
                <w:noProof/>
                <w:sz w:val="24"/>
              </w:rPr>
              <w:t xml:space="preserve">However, this option would rely on voluntary uptake only which would mean that there would be no obligation to fulfil the minimum criteria. The option does not foresee a way to help consumers identify which labels </w:t>
            </w:r>
            <w:r w:rsidR="008D2B10" w:rsidRPr="009B5734">
              <w:rPr>
                <w:rFonts w:ascii="Times New Roman" w:hAnsi="Times New Roman" w:cs="Times New Roman"/>
                <w:b w:val="0"/>
                <w:noProof/>
                <w:sz w:val="24"/>
              </w:rPr>
              <w:t xml:space="preserve">and </w:t>
            </w:r>
            <w:r w:rsidR="006B6C94" w:rsidRPr="009B5734">
              <w:rPr>
                <w:rFonts w:ascii="Times New Roman" w:hAnsi="Times New Roman" w:cs="Times New Roman"/>
                <w:b w:val="0"/>
                <w:noProof/>
                <w:sz w:val="24"/>
              </w:rPr>
              <w:t xml:space="preserve">digital information </w:t>
            </w:r>
            <w:r w:rsidR="008D2B10" w:rsidRPr="009B5734">
              <w:rPr>
                <w:rFonts w:ascii="Times New Roman" w:hAnsi="Times New Roman" w:cs="Times New Roman"/>
                <w:b w:val="0"/>
                <w:noProof/>
                <w:sz w:val="24"/>
              </w:rPr>
              <w:t xml:space="preserve">tools </w:t>
            </w:r>
            <w:r w:rsidRPr="009B5734">
              <w:rPr>
                <w:rFonts w:ascii="Times New Roman" w:hAnsi="Times New Roman" w:cs="Times New Roman"/>
                <w:b w:val="0"/>
                <w:noProof/>
                <w:sz w:val="24"/>
              </w:rPr>
              <w:t>adhere to those minimum criteria and which do not so the impact of the option on the quality of the decision-making is assessed as negligible. The view of some independent experts and consumer associations consulted was that voluntary actions would have a very low effectiveness.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Consumer protection: </w:t>
            </w:r>
            <w:r w:rsidRPr="009B5734">
              <w:rPr>
                <w:rFonts w:ascii="Times New Roman" w:hAnsi="Times New Roman" w:cs="Times New Roman"/>
                <w:b w:val="0"/>
                <w:noProof/>
                <w:sz w:val="24"/>
              </w:rPr>
              <w:t>No impact expected.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Consumer trust: </w:t>
            </w:r>
            <w:r w:rsidRPr="009B5734">
              <w:rPr>
                <w:rFonts w:ascii="Times New Roman" w:hAnsi="Times New Roman" w:cs="Times New Roman"/>
                <w:b w:val="0"/>
                <w:noProof/>
                <w:sz w:val="24"/>
              </w:rPr>
              <w:t>No impact expected. (5/10)</w:t>
            </w:r>
          </w:p>
          <w:p w:rsidR="00EA45F9" w:rsidRPr="00F67503" w:rsidRDefault="00EA45F9">
            <w:pPr>
              <w:ind w:left="0" w:firstLine="0"/>
              <w:rPr>
                <w:rFonts w:ascii="Times New Roman" w:hAnsi="Times New Roman" w:cs="Times New Roman"/>
                <w:noProof/>
                <w:sz w:val="24"/>
                <w:szCs w:val="24"/>
              </w:rPr>
            </w:pPr>
            <w:r w:rsidRPr="009B5734">
              <w:rPr>
                <w:rFonts w:ascii="Times New Roman" w:hAnsi="Times New Roman" w:cs="Times New Roman"/>
                <w:noProof/>
              </w:rPr>
              <w:t>Monetisable Consumer welfare:</w:t>
            </w:r>
            <w:r w:rsidRPr="009B5734">
              <w:rPr>
                <w:noProof/>
              </w:rPr>
              <w:t xml:space="preserve"> </w:t>
            </w:r>
            <w:r w:rsidRPr="009B5734">
              <w:rPr>
                <w:rFonts w:ascii="Times New Roman" w:eastAsia="Times New Roman" w:hAnsi="Times New Roman" w:cs="Times New Roman"/>
                <w:b w:val="0"/>
                <w:bCs w:val="0"/>
                <w:noProof/>
                <w:sz w:val="24"/>
                <w:szCs w:val="24"/>
              </w:rPr>
              <w:t xml:space="preserve">Given the expected very low effectiveness, the expected impact on the monetisable consumer welfare is around zero. </w:t>
            </w:r>
            <w:r w:rsidRPr="6B053803">
              <w:rPr>
                <w:rFonts w:ascii="Times New Roman" w:hAnsi="Times New Roman" w:cs="Times New Roman"/>
                <w:noProof/>
                <w:sz w:val="24"/>
                <w:szCs w:val="24"/>
              </w:rPr>
              <w:t>(5/10)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businesses: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Level-playing field: </w:t>
            </w:r>
            <w:r w:rsidRPr="009B5734">
              <w:rPr>
                <w:rFonts w:ascii="Times New Roman" w:hAnsi="Times New Roman" w:cs="Times New Roman"/>
                <w:b w:val="0"/>
                <w:noProof/>
                <w:sz w:val="24"/>
              </w:rPr>
              <w:t>The impact of the option on the level-playing field is also expected to be negligible as consumers will not be able to distinguish which labels/logos adhere to the minimum criteria and which do not.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Reduction of barriers to cross-border trade: </w:t>
            </w:r>
            <w:r w:rsidRPr="009B5734">
              <w:rPr>
                <w:rFonts w:ascii="Times New Roman" w:hAnsi="Times New Roman" w:cs="Times New Roman"/>
                <w:b w:val="0"/>
                <w:noProof/>
                <w:sz w:val="24"/>
              </w:rPr>
              <w:t>No impacts identified.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Administrative burdens: </w:t>
            </w:r>
            <w:r w:rsidRPr="009B5734">
              <w:rPr>
                <w:rFonts w:ascii="Times New Roman" w:hAnsi="Times New Roman" w:cs="Times New Roman"/>
                <w:b w:val="0"/>
                <w:noProof/>
                <w:sz w:val="24"/>
              </w:rPr>
              <w:t>No impacts identified.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Substantive compliance costs: </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b w:val="0"/>
                <w:noProof/>
                <w:sz w:val="24"/>
              </w:rPr>
              <w:t>No substantive compliance costs were identified for this option given its voluntary nature and the expectation that only labels/logos already meeting minimum standards will adopt the option.</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Indirect costs: </w:t>
            </w:r>
            <w:r w:rsidRPr="009B5734">
              <w:rPr>
                <w:rFonts w:ascii="Times New Roman" w:hAnsi="Times New Roman" w:cs="Times New Roman"/>
                <w:b w:val="0"/>
                <w:noProof/>
                <w:sz w:val="24"/>
              </w:rPr>
              <w:t>No impacts identified.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SME growth:</w:t>
            </w:r>
            <w:r w:rsidRPr="009B5734">
              <w:rPr>
                <w:rFonts w:ascii="Times New Roman" w:hAnsi="Times New Roman" w:cs="Times New Roman"/>
                <w:b w:val="0"/>
                <w:noProof/>
                <w:sz w:val="24"/>
              </w:rPr>
              <w:t xml:space="preserve"> No impacts identified. (5/10)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public administrations: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Enforcement costs and other costs: </w:t>
            </w:r>
            <w:r w:rsidRPr="009B5734">
              <w:rPr>
                <w:rFonts w:ascii="Times New Roman" w:hAnsi="Times New Roman" w:cs="Times New Roman"/>
                <w:b w:val="0"/>
                <w:noProof/>
                <w:sz w:val="24"/>
              </w:rPr>
              <w:t>Given the voluntary nature of the option there will be no enforcement costs associated.</w:t>
            </w:r>
          </w:p>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b w:val="0"/>
                <w:noProof/>
                <w:sz w:val="24"/>
              </w:rPr>
              <w:t>Other costs to public bodies (including the Commission) will be related to the organisation of meetings and preparation of the minimum criteria. These are estimated to be around EUR 94 000 in the first year and about EUR 16 000 per year</w:t>
            </w:r>
            <w:r w:rsidRPr="009B5734">
              <w:rPr>
                <w:rStyle w:val="FootnoteReference"/>
                <w:rFonts w:ascii="Times New Roman" w:hAnsi="Times New Roman" w:cs="Times New Roman"/>
                <w:b w:val="0"/>
                <w:noProof/>
                <w:sz w:val="24"/>
              </w:rPr>
              <w:footnoteReference w:id="243"/>
            </w:r>
            <w:r w:rsidRPr="009B5734">
              <w:rPr>
                <w:rFonts w:ascii="Times New Roman" w:hAnsi="Times New Roman" w:cs="Times New Roman"/>
                <w:b w:val="0"/>
                <w:noProof/>
                <w:sz w:val="24"/>
              </w:rPr>
              <w:t xml:space="preserve"> .</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Environmental impacts: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Climate change: </w:t>
            </w:r>
            <w:r w:rsidRPr="009B5734">
              <w:rPr>
                <w:rFonts w:ascii="Times New Roman" w:hAnsi="Times New Roman" w:cs="Times New Roman"/>
                <w:b w:val="0"/>
                <w:noProof/>
                <w:sz w:val="24"/>
              </w:rPr>
              <w:t>The climate change impact is expected to be negligible (around zero) for the reasons mentioned above.</w:t>
            </w:r>
          </w:p>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Other environmental impacts change. </w:t>
            </w:r>
            <w:r w:rsidRPr="009B5734">
              <w:rPr>
                <w:rFonts w:ascii="Times New Roman" w:hAnsi="Times New Roman" w:cs="Times New Roman"/>
                <w:b w:val="0"/>
                <w:noProof/>
                <w:sz w:val="24"/>
              </w:rPr>
              <w:t>The impact on other environmental impacts is also expected to negligible. (5/10)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Coherence: </w:t>
            </w:r>
            <w:r w:rsidRPr="009B5734">
              <w:rPr>
                <w:rFonts w:ascii="Times New Roman" w:hAnsi="Times New Roman" w:cs="Times New Roman"/>
                <w:b w:val="0"/>
                <w:noProof/>
                <w:sz w:val="24"/>
              </w:rPr>
              <w:t>No issue of coherence identified. (8/10)</w:t>
            </w:r>
            <w:r w:rsidRPr="009B5734">
              <w:rPr>
                <w:rFonts w:ascii="Times New Roman" w:hAnsi="Times New Roman" w:cs="Times New Roman"/>
                <w:noProof/>
                <w:sz w:val="24"/>
              </w:rPr>
              <w:t xml:space="preserve"> </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Overarching impacts: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Circularity and sustainable consumption: </w:t>
            </w:r>
            <w:r w:rsidRPr="009B5734">
              <w:rPr>
                <w:rFonts w:ascii="Times New Roman" w:hAnsi="Times New Roman" w:cs="Times New Roman"/>
                <w:b w:val="0"/>
                <w:noProof/>
                <w:sz w:val="24"/>
              </w:rPr>
              <w:t>The impact on circularity and consumption of sustainable products is expected to be negligible.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Application of the EU legal consumer framework: </w:t>
            </w:r>
            <w:r w:rsidRPr="009B5734">
              <w:rPr>
                <w:rFonts w:ascii="Times New Roman" w:hAnsi="Times New Roman" w:cs="Times New Roman"/>
                <w:b w:val="0"/>
                <w:noProof/>
                <w:sz w:val="24"/>
              </w:rPr>
              <w:t>No impact expected. (5/10)</w:t>
            </w:r>
          </w:p>
          <w:p w:rsidR="00EA45F9" w:rsidRPr="009B5734" w:rsidRDefault="00EA45F9" w:rsidP="00981615">
            <w:pPr>
              <w:ind w:left="0" w:firstLine="0"/>
              <w:rPr>
                <w:rFonts w:ascii="Times New Roman" w:hAnsi="Times New Roman" w:cs="Times New Roman"/>
                <w:noProof/>
                <w:sz w:val="24"/>
              </w:rPr>
            </w:pPr>
          </w:p>
        </w:tc>
      </w:tr>
    </w:tbl>
    <w:p w:rsidR="00EA45F9" w:rsidRPr="009B5734" w:rsidRDefault="00EA45F9" w:rsidP="00EA45F9">
      <w:pPr>
        <w:rPr>
          <w:noProof/>
        </w:rPr>
      </w:pPr>
    </w:p>
    <w:tbl>
      <w:tblPr>
        <w:tblStyle w:val="GridTable1Light-Accent2"/>
        <w:tblW w:w="0" w:type="auto"/>
        <w:tblLook w:val="04A0" w:firstRow="1" w:lastRow="0" w:firstColumn="1" w:lastColumn="0" w:noHBand="0" w:noVBand="1"/>
      </w:tblPr>
      <w:tblGrid>
        <w:gridCol w:w="8607"/>
      </w:tblGrid>
      <w:tr w:rsidR="00EA45F9" w:rsidRPr="009B5734" w:rsidTr="00C84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right w:val="single" w:sz="4" w:space="0" w:color="E5B8B7" w:themeColor="accent2" w:themeTint="66"/>
            </w:tcBorders>
            <w:shd w:val="clear" w:color="auto" w:fill="E5B8B7" w:themeFill="accent2" w:themeFillTint="66"/>
            <w:hideMark/>
          </w:tcPr>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Option 2.3.B: </w:t>
            </w:r>
            <w:r w:rsidR="00B9711D" w:rsidRPr="009B5734">
              <w:rPr>
                <w:rFonts w:ascii="Times New Roman" w:hAnsi="Times New Roman" w:cs="Times New Roman"/>
                <w:noProof/>
                <w:sz w:val="24"/>
              </w:rPr>
              <w:t xml:space="preserve">Prohibition of sustainability labels and digital information tools not meeting minimum transparency and credibility requirements  </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consumers: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Quality of decision-making: </w:t>
            </w:r>
            <w:r w:rsidRPr="009B5734">
              <w:rPr>
                <w:rFonts w:ascii="Times New Roman" w:hAnsi="Times New Roman" w:cs="Times New Roman"/>
                <w:b w:val="0"/>
                <w:noProof/>
                <w:sz w:val="24"/>
              </w:rPr>
              <w:t xml:space="preserve">The introduction of minimum criteria that all sustainability labels </w:t>
            </w:r>
            <w:r w:rsidR="008D2B10" w:rsidRPr="009B5734">
              <w:rPr>
                <w:rFonts w:ascii="Times New Roman" w:hAnsi="Times New Roman" w:cs="Times New Roman"/>
                <w:b w:val="0"/>
                <w:noProof/>
                <w:sz w:val="24"/>
              </w:rPr>
              <w:t xml:space="preserve">and </w:t>
            </w:r>
            <w:r w:rsidR="006B6C94" w:rsidRPr="009B5734">
              <w:rPr>
                <w:rFonts w:ascii="Times New Roman" w:hAnsi="Times New Roman" w:cs="Times New Roman"/>
                <w:b w:val="0"/>
                <w:noProof/>
                <w:sz w:val="24"/>
              </w:rPr>
              <w:t xml:space="preserve">digital information </w:t>
            </w:r>
            <w:r w:rsidR="008D2B10" w:rsidRPr="009B5734">
              <w:rPr>
                <w:rFonts w:ascii="Times New Roman" w:hAnsi="Times New Roman" w:cs="Times New Roman"/>
                <w:b w:val="0"/>
                <w:noProof/>
                <w:sz w:val="24"/>
              </w:rPr>
              <w:t xml:space="preserve">tools </w:t>
            </w:r>
            <w:r w:rsidRPr="009B5734">
              <w:rPr>
                <w:rFonts w:ascii="Times New Roman" w:hAnsi="Times New Roman" w:cs="Times New Roman"/>
                <w:b w:val="0"/>
                <w:noProof/>
                <w:sz w:val="24"/>
              </w:rPr>
              <w:t xml:space="preserve">would have to adhere to would increase the transparency and credibility of labels (and possibly slow down or even reverse the current proliferation of these labels) and </w:t>
            </w:r>
            <w:r w:rsidR="006B6C94" w:rsidRPr="009B5734">
              <w:rPr>
                <w:rFonts w:ascii="Times New Roman" w:hAnsi="Times New Roman" w:cs="Times New Roman"/>
                <w:b w:val="0"/>
                <w:noProof/>
                <w:sz w:val="24"/>
              </w:rPr>
              <w:t xml:space="preserve">digital information </w:t>
            </w:r>
            <w:r w:rsidR="001E60F4" w:rsidRPr="009B5734">
              <w:rPr>
                <w:rFonts w:ascii="Times New Roman" w:hAnsi="Times New Roman" w:cs="Times New Roman"/>
                <w:b w:val="0"/>
                <w:noProof/>
                <w:sz w:val="24"/>
              </w:rPr>
              <w:t xml:space="preserve">tools, and </w:t>
            </w:r>
            <w:r w:rsidRPr="009B5734">
              <w:rPr>
                <w:rFonts w:ascii="Times New Roman" w:hAnsi="Times New Roman" w:cs="Times New Roman"/>
                <w:b w:val="0"/>
                <w:noProof/>
                <w:sz w:val="24"/>
              </w:rPr>
              <w:t xml:space="preserve">will enhance the quality of consumer decision-making. </w:t>
            </w:r>
          </w:p>
          <w:p w:rsidR="00EA45F9" w:rsidRPr="009B5734" w:rsidRDefault="00EA45F9" w:rsidP="00981615">
            <w:pPr>
              <w:ind w:left="0" w:firstLine="0"/>
              <w:rPr>
                <w:rFonts w:ascii="Times New Roman" w:hAnsi="Times New Roman"/>
                <w:noProof/>
                <w:sz w:val="24"/>
              </w:rPr>
            </w:pPr>
            <w:r w:rsidRPr="009B5734">
              <w:rPr>
                <w:rFonts w:ascii="Times New Roman" w:hAnsi="Times New Roman" w:cs="Times New Roman"/>
                <w:b w:val="0"/>
                <w:noProof/>
                <w:sz w:val="24"/>
              </w:rPr>
              <w:t xml:space="preserve">Consumers will be assured that the products holding a sustainability label will meet minimum requirement on transparency and credibility so consumers can rely on them in their purchasing decisions. </w:t>
            </w:r>
            <w:r w:rsidRPr="009B5734">
              <w:rPr>
                <w:rFonts w:ascii="Times New Roman" w:hAnsi="Times New Roman" w:cs="Times New Roman"/>
                <w:b w:val="0"/>
                <w:noProof/>
                <w:sz w:val="24"/>
                <w:szCs w:val="24"/>
              </w:rPr>
              <w:t>As labels will be more transparent, consumers will</w:t>
            </w:r>
            <w:r w:rsidRPr="009B5734">
              <w:rPr>
                <w:rFonts w:ascii="Times New Roman" w:hAnsi="Times New Roman" w:cs="Times New Roman"/>
                <w:b w:val="0"/>
                <w:noProof/>
                <w:sz w:val="24"/>
              </w:rPr>
              <w:t xml:space="preserve"> be also able to obtain this information on the labels’ website which can help them assess and select the products they find most useful to inform their purchase decisions. Given the amount of information and the high number of labels, it is expected that not all consumers will compare all labels for a given product category, which may reduce the potential impact of the option to some extent. This option may also reduce the number of labels which will improve consumer trust and consumer understanding of the labels.</w:t>
            </w:r>
          </w:p>
          <w:p w:rsidR="00EA45F9" w:rsidRPr="009B5734" w:rsidRDefault="001E60F4" w:rsidP="00981615">
            <w:pPr>
              <w:ind w:left="0" w:firstLine="0"/>
              <w:rPr>
                <w:rFonts w:ascii="Times New Roman" w:hAnsi="Times New Roman" w:cs="Times New Roman"/>
                <w:b w:val="0"/>
                <w:noProof/>
                <w:sz w:val="24"/>
              </w:rPr>
            </w:pPr>
            <w:r w:rsidRPr="009B5734">
              <w:rPr>
                <w:rFonts w:ascii="Times New Roman" w:hAnsi="Times New Roman" w:cs="Times New Roman"/>
                <w:b w:val="0"/>
                <w:noProof/>
                <w:sz w:val="24"/>
              </w:rPr>
              <w:t xml:space="preserve">Furthermore, this option also ensures the transparency of the assessments provided by the </w:t>
            </w:r>
            <w:r w:rsidR="006B6C94" w:rsidRPr="009B5734">
              <w:rPr>
                <w:rFonts w:ascii="Times New Roman" w:hAnsi="Times New Roman" w:cs="Times New Roman"/>
                <w:b w:val="0"/>
                <w:noProof/>
                <w:sz w:val="24"/>
              </w:rPr>
              <w:t xml:space="preserve">digital information </w:t>
            </w:r>
            <w:r w:rsidRPr="009B5734">
              <w:rPr>
                <w:rFonts w:ascii="Times New Roman" w:hAnsi="Times New Roman" w:cs="Times New Roman"/>
                <w:b w:val="0"/>
                <w:noProof/>
                <w:sz w:val="24"/>
              </w:rPr>
              <w:t>tools, which has a positive impact on the decision making (slightly positive at the beginning but with an upward trend).</w:t>
            </w:r>
            <w:r w:rsidR="00EA45F9" w:rsidRPr="009B5734">
              <w:rPr>
                <w:rFonts w:ascii="Times New Roman" w:hAnsi="Times New Roman" w:cs="Times New Roman"/>
                <w:b w:val="0"/>
                <w:noProof/>
                <w:sz w:val="24"/>
              </w:rPr>
              <w:t>The magnitude of the impact will depend on the strictness of the criteria. The analysis was done assuming the criteria will be relatively similar to the governance criteria of a number of well-known and reputable public and private sustainability labelling schemes.  (8/10)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Consumer protection: </w:t>
            </w:r>
            <w:r w:rsidRPr="009B5734">
              <w:rPr>
                <w:rFonts w:ascii="Times New Roman" w:hAnsi="Times New Roman" w:cs="Times New Roman"/>
                <w:b w:val="0"/>
                <w:noProof/>
                <w:sz w:val="24"/>
              </w:rPr>
              <w:t>This option will prevent consumers from being misled by labels</w:t>
            </w:r>
            <w:r w:rsidR="001E60F4" w:rsidRPr="009B5734">
              <w:rPr>
                <w:rFonts w:ascii="Times New Roman" w:hAnsi="Times New Roman" w:cs="Times New Roman"/>
                <w:b w:val="0"/>
                <w:noProof/>
                <w:sz w:val="24"/>
              </w:rPr>
              <w:t xml:space="preserve"> and </w:t>
            </w:r>
            <w:r w:rsidR="006B6C94" w:rsidRPr="009B5734">
              <w:rPr>
                <w:rFonts w:ascii="Times New Roman" w:hAnsi="Times New Roman" w:cs="Times New Roman"/>
                <w:b w:val="0"/>
                <w:noProof/>
                <w:sz w:val="24"/>
              </w:rPr>
              <w:t xml:space="preserve">digital information </w:t>
            </w:r>
            <w:r w:rsidR="001E60F4" w:rsidRPr="009B5734">
              <w:rPr>
                <w:rFonts w:ascii="Times New Roman" w:hAnsi="Times New Roman" w:cs="Times New Roman"/>
                <w:b w:val="0"/>
                <w:noProof/>
                <w:sz w:val="24"/>
              </w:rPr>
              <w:t>tools</w:t>
            </w:r>
            <w:r w:rsidRPr="009B5734">
              <w:rPr>
                <w:rFonts w:ascii="Times New Roman" w:hAnsi="Times New Roman" w:cs="Times New Roman"/>
                <w:b w:val="0"/>
                <w:noProof/>
                <w:sz w:val="24"/>
              </w:rPr>
              <w:t xml:space="preserve"> that do not meet minimum criteria and ensure that they have the necessary information about their functioning and reliability. (8/10)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Consumer trust: </w:t>
            </w:r>
            <w:r w:rsidRPr="009B5734">
              <w:rPr>
                <w:rFonts w:ascii="Times New Roman" w:hAnsi="Times New Roman" w:cs="Times New Roman"/>
                <w:b w:val="0"/>
                <w:noProof/>
                <w:sz w:val="24"/>
              </w:rPr>
              <w:t xml:space="preserve">The impact on consumer trust is expected to be high. This is in line with the results of the consumer survey carried out in this study (and with evidence from literature) and was also highlighted by the consulted experts and consumer organisations and NGOs. However, the reliance on self-assessment and ex-post enforcement may not give the full reassurance to consumers that labels </w:t>
            </w:r>
            <w:r w:rsidR="001E60F4" w:rsidRPr="009B5734">
              <w:rPr>
                <w:rFonts w:ascii="Times New Roman" w:hAnsi="Times New Roman" w:cs="Times New Roman"/>
                <w:b w:val="0"/>
                <w:noProof/>
                <w:sz w:val="24"/>
              </w:rPr>
              <w:t xml:space="preserve">and </w:t>
            </w:r>
            <w:r w:rsidR="006B6C94" w:rsidRPr="009B5734">
              <w:rPr>
                <w:rFonts w:ascii="Times New Roman" w:hAnsi="Times New Roman" w:cs="Times New Roman"/>
                <w:b w:val="0"/>
                <w:noProof/>
                <w:sz w:val="24"/>
              </w:rPr>
              <w:t xml:space="preserve">digital information </w:t>
            </w:r>
            <w:r w:rsidR="001E60F4" w:rsidRPr="009B5734">
              <w:rPr>
                <w:rFonts w:ascii="Times New Roman" w:hAnsi="Times New Roman" w:cs="Times New Roman"/>
                <w:b w:val="0"/>
                <w:noProof/>
                <w:sz w:val="24"/>
              </w:rPr>
              <w:t xml:space="preserve">tools </w:t>
            </w:r>
            <w:r w:rsidRPr="009B5734">
              <w:rPr>
                <w:rFonts w:ascii="Times New Roman" w:hAnsi="Times New Roman" w:cs="Times New Roman"/>
                <w:b w:val="0"/>
                <w:noProof/>
                <w:sz w:val="24"/>
              </w:rPr>
              <w:t>really do comply with the minimum criteria. (8/10)</w:t>
            </w:r>
          </w:p>
          <w:p w:rsidR="00EA45F9" w:rsidRPr="004931D3" w:rsidRDefault="00EA45F9" w:rsidP="004931D3">
            <w:pPr>
              <w:pStyle w:val="BTBullet1Last"/>
              <w:tabs>
                <w:tab w:val="clear" w:pos="1191"/>
                <w:tab w:val="left" w:pos="708"/>
              </w:tabs>
              <w:spacing w:after="0"/>
              <w:ind w:left="0" w:firstLine="0"/>
              <w:rPr>
                <w:rFonts w:ascii="Times New Roman" w:hAnsi="Times New Roman"/>
                <w:noProof/>
                <w:sz w:val="24"/>
              </w:rPr>
            </w:pPr>
            <w:r w:rsidRPr="6B053803">
              <w:rPr>
                <w:rFonts w:ascii="Times New Roman" w:hAnsi="Times New Roman"/>
                <w:noProof/>
                <w:sz w:val="24"/>
              </w:rPr>
              <w:t>Monetisable Consumer welfare:</w:t>
            </w:r>
            <w:r w:rsidRPr="009B5734">
              <w:rPr>
                <w:b w:val="0"/>
                <w:bCs w:val="0"/>
                <w:noProof/>
              </w:rPr>
              <w:t xml:space="preserve"> </w:t>
            </w:r>
            <w:r w:rsidRPr="00AB7BD8">
              <w:rPr>
                <w:rFonts w:ascii="Times New Roman" w:hAnsi="Times New Roman"/>
                <w:b w:val="0"/>
                <w:noProof/>
                <w:sz w:val="24"/>
              </w:rPr>
              <w:t>The impact on consumer welfare depends on the extent of the impact of the measure in increasing consumer trust in logos/labels</w:t>
            </w:r>
            <w:r w:rsidR="001E60F4" w:rsidRPr="00AB7BD8">
              <w:rPr>
                <w:rFonts w:ascii="Times New Roman" w:hAnsi="Times New Roman"/>
                <w:b w:val="0"/>
                <w:noProof/>
                <w:sz w:val="24"/>
              </w:rPr>
              <w:t xml:space="preserve"> (it was not possible to calculate the monetisable consumer welfare related to </w:t>
            </w:r>
            <w:r w:rsidR="006B6C94" w:rsidRPr="00AB7BD8">
              <w:rPr>
                <w:rFonts w:ascii="Times New Roman" w:hAnsi="Times New Roman"/>
                <w:b w:val="0"/>
                <w:noProof/>
                <w:sz w:val="24"/>
              </w:rPr>
              <w:t xml:space="preserve">digital information </w:t>
            </w:r>
            <w:r w:rsidR="001E60F4" w:rsidRPr="00AB7BD8">
              <w:rPr>
                <w:rFonts w:ascii="Times New Roman" w:hAnsi="Times New Roman"/>
                <w:b w:val="0"/>
                <w:noProof/>
                <w:sz w:val="24"/>
              </w:rPr>
              <w:t>tools)</w:t>
            </w:r>
            <w:r w:rsidRPr="00AB7BD8">
              <w:rPr>
                <w:rFonts w:ascii="Times New Roman" w:hAnsi="Times New Roman"/>
                <w:b w:val="0"/>
                <w:noProof/>
                <w:sz w:val="24"/>
              </w:rPr>
              <w:t>. When assuming a moderate impact on consumer trust, this option is estimated to increase consumer welfare by approximately EUR 4 500 – 6 610 million for the period 2025-2040</w:t>
            </w:r>
            <w:r w:rsidRPr="00AB7BD8">
              <w:rPr>
                <w:rStyle w:val="FootnoteReference"/>
                <w:rFonts w:ascii="Times New Roman" w:hAnsi="Times New Roman"/>
                <w:b w:val="0"/>
                <w:noProof/>
                <w:sz w:val="24"/>
              </w:rPr>
              <w:footnoteReference w:id="244"/>
            </w:r>
            <w:r w:rsidRPr="00AB7BD8">
              <w:rPr>
                <w:rFonts w:ascii="Times New Roman" w:hAnsi="Times New Roman"/>
                <w:b w:val="0"/>
                <w:noProof/>
                <w:sz w:val="24"/>
              </w:rPr>
              <w:t xml:space="preserve"> (present value).</w:t>
            </w:r>
            <w:r w:rsidRPr="00AB7BD8">
              <w:rPr>
                <w:b w:val="0"/>
                <w:bCs w:val="0"/>
                <w:noProof/>
              </w:rPr>
              <w:t xml:space="preserve"> </w:t>
            </w:r>
            <w:r w:rsidRPr="00AB7BD8">
              <w:rPr>
                <w:rFonts w:ascii="Times New Roman" w:hAnsi="Times New Roman"/>
                <w:b w:val="0"/>
                <w:noProof/>
                <w:sz w:val="24"/>
              </w:rPr>
              <w:t>(</w:t>
            </w:r>
            <w:r w:rsidR="009616EE" w:rsidRPr="00AB7BD8">
              <w:rPr>
                <w:rFonts w:ascii="Times New Roman" w:hAnsi="Times New Roman"/>
                <w:b w:val="0"/>
                <w:noProof/>
                <w:sz w:val="24"/>
              </w:rPr>
              <w:t>9</w:t>
            </w:r>
            <w:r w:rsidRPr="00AB7BD8">
              <w:rPr>
                <w:rFonts w:ascii="Times New Roman" w:hAnsi="Times New Roman"/>
                <w:b w:val="0"/>
                <w:noProof/>
                <w:sz w:val="24"/>
              </w:rPr>
              <w:t>/10)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businesses: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Level-playing field: </w:t>
            </w:r>
            <w:r w:rsidRPr="009B5734">
              <w:rPr>
                <w:rFonts w:ascii="Times New Roman" w:hAnsi="Times New Roman" w:cs="Times New Roman"/>
                <w:b w:val="0"/>
                <w:noProof/>
                <w:sz w:val="24"/>
              </w:rPr>
              <w:t xml:space="preserve">The option is expected to contribute to a level-playing field between products displaying labels </w:t>
            </w:r>
            <w:r w:rsidR="001E60F4" w:rsidRPr="009B5734">
              <w:rPr>
                <w:rFonts w:ascii="Times New Roman" w:hAnsi="Times New Roman" w:cs="Times New Roman"/>
                <w:b w:val="0"/>
                <w:noProof/>
                <w:sz w:val="24"/>
              </w:rPr>
              <w:t xml:space="preserve">or being compared by </w:t>
            </w:r>
            <w:r w:rsidR="006B6C94" w:rsidRPr="009B5734">
              <w:rPr>
                <w:rFonts w:ascii="Times New Roman" w:hAnsi="Times New Roman" w:cs="Times New Roman"/>
                <w:b w:val="0"/>
                <w:noProof/>
                <w:sz w:val="24"/>
              </w:rPr>
              <w:t xml:space="preserve">digital information </w:t>
            </w:r>
            <w:r w:rsidR="001E60F4" w:rsidRPr="009B5734">
              <w:rPr>
                <w:rFonts w:ascii="Times New Roman" w:hAnsi="Times New Roman" w:cs="Times New Roman"/>
                <w:b w:val="0"/>
                <w:noProof/>
                <w:sz w:val="24"/>
              </w:rPr>
              <w:t xml:space="preserve">tool, </w:t>
            </w:r>
            <w:r w:rsidRPr="009B5734">
              <w:rPr>
                <w:rFonts w:ascii="Times New Roman" w:hAnsi="Times New Roman" w:cs="Times New Roman"/>
                <w:b w:val="0"/>
                <w:noProof/>
                <w:sz w:val="24"/>
              </w:rPr>
              <w:t>as all will have to adhere to the same minimum criteria.</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b w:val="0"/>
                <w:noProof/>
                <w:sz w:val="24"/>
              </w:rPr>
              <w:t>Furthermore, it will also contribute to a level playing field between organisations running labels</w:t>
            </w:r>
            <w:r w:rsidR="001E60F4" w:rsidRPr="009B5734">
              <w:rPr>
                <w:rFonts w:ascii="Times New Roman" w:hAnsi="Times New Roman" w:cs="Times New Roman"/>
                <w:b w:val="0"/>
                <w:noProof/>
                <w:sz w:val="24"/>
              </w:rPr>
              <w:t xml:space="preserve"> and </w:t>
            </w:r>
            <w:r w:rsidR="006B6C94" w:rsidRPr="009B5734">
              <w:rPr>
                <w:rFonts w:ascii="Times New Roman" w:hAnsi="Times New Roman" w:cs="Times New Roman"/>
                <w:b w:val="0"/>
                <w:noProof/>
                <w:sz w:val="24"/>
              </w:rPr>
              <w:t xml:space="preserve">digital information </w:t>
            </w:r>
            <w:r w:rsidR="001E60F4" w:rsidRPr="009B5734">
              <w:rPr>
                <w:rFonts w:ascii="Times New Roman" w:hAnsi="Times New Roman" w:cs="Times New Roman"/>
                <w:b w:val="0"/>
                <w:noProof/>
                <w:sz w:val="24"/>
              </w:rPr>
              <w:t>tools</w:t>
            </w:r>
            <w:r w:rsidRPr="009B5734">
              <w:rPr>
                <w:rFonts w:ascii="Times New Roman" w:hAnsi="Times New Roman" w:cs="Times New Roman"/>
                <w:b w:val="0"/>
                <w:noProof/>
                <w:sz w:val="24"/>
              </w:rPr>
              <w:t>. (8/10)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Reduction of barriers to cross-border trade: </w:t>
            </w:r>
            <w:r w:rsidRPr="009B5734">
              <w:rPr>
                <w:rFonts w:ascii="Times New Roman" w:hAnsi="Times New Roman" w:cs="Times New Roman"/>
                <w:b w:val="0"/>
                <w:noProof/>
                <w:sz w:val="24"/>
              </w:rPr>
              <w:t>Member States are more and more concerned with the proliferation of labels/logos that are non-transparent or not credible. The consumer association in the Netherlands has called the Dutch government to legislate on this matter. Other Member States are expected to follow the same path. In the future, it is likely that Member States will have non-harmonised legislation to address this issue. This will increase legal uncertainty and costs to companies (as they will have to adhere to different rules) wanting to undertake cross-border trade. (8/10)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Administrative burdens: </w:t>
            </w:r>
            <w:r w:rsidRPr="009B5734">
              <w:rPr>
                <w:rFonts w:ascii="Times New Roman" w:hAnsi="Times New Roman" w:cs="Times New Roman"/>
                <w:b w:val="0"/>
                <w:noProof/>
                <w:sz w:val="24"/>
              </w:rPr>
              <w:t xml:space="preserve">The entities running and managing the labels/logos </w:t>
            </w:r>
            <w:r w:rsidR="00392FA4" w:rsidRPr="009B5734">
              <w:rPr>
                <w:rFonts w:ascii="Times New Roman" w:hAnsi="Times New Roman" w:cs="Times New Roman"/>
                <w:b w:val="0"/>
                <w:noProof/>
                <w:sz w:val="24"/>
              </w:rPr>
              <w:t xml:space="preserve">and </w:t>
            </w:r>
            <w:r w:rsidR="006B6C94" w:rsidRPr="009B5734">
              <w:rPr>
                <w:rFonts w:ascii="Times New Roman" w:hAnsi="Times New Roman" w:cs="Times New Roman"/>
                <w:b w:val="0"/>
                <w:noProof/>
                <w:sz w:val="24"/>
              </w:rPr>
              <w:t xml:space="preserve">digital information </w:t>
            </w:r>
            <w:r w:rsidR="00392FA4" w:rsidRPr="009B5734">
              <w:rPr>
                <w:rFonts w:ascii="Times New Roman" w:hAnsi="Times New Roman" w:cs="Times New Roman"/>
                <w:b w:val="0"/>
                <w:noProof/>
                <w:sz w:val="24"/>
              </w:rPr>
              <w:t xml:space="preserve">tools </w:t>
            </w:r>
            <w:r w:rsidRPr="009B5734">
              <w:rPr>
                <w:rFonts w:ascii="Times New Roman" w:hAnsi="Times New Roman" w:cs="Times New Roman"/>
                <w:b w:val="0"/>
                <w:noProof/>
                <w:sz w:val="24"/>
              </w:rPr>
              <w:t>will have administrative costs resulting from:</w:t>
            </w:r>
          </w:p>
          <w:p w:rsidR="00EA45F9" w:rsidRPr="009B5734" w:rsidRDefault="00EA45F9" w:rsidP="00981615">
            <w:pPr>
              <w:pStyle w:val="ListParagraph"/>
              <w:numPr>
                <w:ilvl w:val="0"/>
                <w:numId w:val="149"/>
              </w:numPr>
              <w:spacing w:before="0" w:after="0"/>
              <w:rPr>
                <w:rFonts w:ascii="Times New Roman" w:hAnsi="Times New Roman"/>
                <w:b w:val="0"/>
                <w:noProof/>
                <w:color w:val="auto"/>
                <w:sz w:val="24"/>
              </w:rPr>
            </w:pPr>
            <w:r w:rsidRPr="009B5734">
              <w:rPr>
                <w:rFonts w:ascii="Times New Roman" w:hAnsi="Times New Roman"/>
                <w:b w:val="0"/>
                <w:noProof/>
                <w:color w:val="auto"/>
                <w:sz w:val="24"/>
              </w:rPr>
              <w:t>becoming familiarised with the option and the minimum criteria and assessing to what extent they meet the criteria and what changes they will need to implement (a share of these costs could be considered substantive compliance costs);</w:t>
            </w:r>
          </w:p>
          <w:p w:rsidR="00EA45F9" w:rsidRPr="009B5734" w:rsidRDefault="00EA45F9" w:rsidP="00981615">
            <w:pPr>
              <w:pStyle w:val="ListParagraph"/>
              <w:numPr>
                <w:ilvl w:val="0"/>
                <w:numId w:val="149"/>
              </w:numPr>
              <w:spacing w:before="0" w:after="0"/>
              <w:rPr>
                <w:rFonts w:ascii="Times New Roman" w:hAnsi="Times New Roman"/>
                <w:b w:val="0"/>
                <w:noProof/>
                <w:color w:val="auto"/>
                <w:sz w:val="24"/>
              </w:rPr>
            </w:pPr>
            <w:r w:rsidRPr="009B5734">
              <w:rPr>
                <w:rFonts w:ascii="Times New Roman" w:hAnsi="Times New Roman"/>
                <w:b w:val="0"/>
                <w:noProof/>
                <w:color w:val="auto"/>
                <w:sz w:val="24"/>
              </w:rPr>
              <w:t>training staff (a share of these costs could be considered substantive compliance costs);</w:t>
            </w:r>
          </w:p>
          <w:p w:rsidR="00EA45F9" w:rsidRPr="009B5734" w:rsidRDefault="00EA45F9" w:rsidP="00981615">
            <w:pPr>
              <w:pStyle w:val="ListParagraph"/>
              <w:numPr>
                <w:ilvl w:val="0"/>
                <w:numId w:val="149"/>
              </w:numPr>
              <w:spacing w:before="0" w:after="0"/>
              <w:rPr>
                <w:rFonts w:ascii="Times New Roman" w:hAnsi="Times New Roman"/>
                <w:b w:val="0"/>
                <w:noProof/>
                <w:color w:val="auto"/>
                <w:sz w:val="24"/>
              </w:rPr>
            </w:pPr>
            <w:r w:rsidRPr="009B5734">
              <w:rPr>
                <w:rFonts w:ascii="Times New Roman" w:hAnsi="Times New Roman"/>
                <w:b w:val="0"/>
                <w:noProof/>
                <w:color w:val="auto"/>
                <w:sz w:val="24"/>
              </w:rPr>
              <w:t>ensure that all the necessary information is available on their website (or through other means) and that it is up to date;</w:t>
            </w:r>
          </w:p>
          <w:p w:rsidR="00EA45F9" w:rsidRPr="009B5734" w:rsidRDefault="00EA45F9" w:rsidP="00981615">
            <w:pPr>
              <w:pStyle w:val="ListParagraph"/>
              <w:numPr>
                <w:ilvl w:val="0"/>
                <w:numId w:val="149"/>
              </w:numPr>
              <w:spacing w:before="0" w:after="0"/>
              <w:rPr>
                <w:rFonts w:ascii="Times New Roman" w:hAnsi="Times New Roman"/>
                <w:b w:val="0"/>
                <w:noProof/>
                <w:color w:val="auto"/>
                <w:sz w:val="24"/>
              </w:rPr>
            </w:pPr>
            <w:r w:rsidRPr="009B5734">
              <w:rPr>
                <w:rFonts w:ascii="Times New Roman" w:hAnsi="Times New Roman"/>
                <w:b w:val="0"/>
                <w:noProof/>
                <w:color w:val="auto"/>
                <w:sz w:val="24"/>
              </w:rPr>
              <w:t xml:space="preserve">carrying out the necessary (internal and external) inspections (a share of these costs could be considered substantive compliance costs). </w:t>
            </w:r>
          </w:p>
          <w:p w:rsidR="00392FA4" w:rsidRPr="009B5734" w:rsidRDefault="00EA45F9" w:rsidP="00392FA4">
            <w:pPr>
              <w:ind w:left="0" w:firstLine="0"/>
              <w:rPr>
                <w:rFonts w:ascii="Times New Roman" w:hAnsi="Times New Roman" w:cs="Times New Roman"/>
                <w:b w:val="0"/>
                <w:noProof/>
                <w:sz w:val="24"/>
                <w:szCs w:val="24"/>
              </w:rPr>
            </w:pPr>
            <w:r w:rsidRPr="009B5734">
              <w:rPr>
                <w:rFonts w:ascii="Times New Roman" w:hAnsi="Times New Roman" w:cs="Times New Roman"/>
                <w:b w:val="0"/>
                <w:noProof/>
                <w:sz w:val="24"/>
              </w:rPr>
              <w:t xml:space="preserve">These costs are estimated to amount to </w:t>
            </w:r>
            <w:r w:rsidRPr="009B5734">
              <w:rPr>
                <w:rFonts w:ascii="Times New Roman" w:hAnsi="Times New Roman" w:cs="Times New Roman"/>
                <w:b w:val="0"/>
                <w:noProof/>
                <w:sz w:val="24"/>
                <w:szCs w:val="24"/>
              </w:rPr>
              <w:t xml:space="preserve">EUR </w:t>
            </w:r>
            <w:r w:rsidRPr="009B5734">
              <w:rPr>
                <w:rFonts w:ascii="Times New Roman" w:hAnsi="Times New Roman"/>
                <w:b w:val="0"/>
                <w:noProof/>
                <w:sz w:val="24"/>
                <w:szCs w:val="20"/>
              </w:rPr>
              <w:t xml:space="preserve">615 – 620 </w:t>
            </w:r>
            <w:r w:rsidRPr="009B5734">
              <w:rPr>
                <w:rFonts w:ascii="Times New Roman" w:hAnsi="Times New Roman" w:cs="Times New Roman"/>
                <w:b w:val="0"/>
                <w:noProof/>
                <w:sz w:val="24"/>
                <w:szCs w:val="24"/>
              </w:rPr>
              <w:t>million for the period 2025-2040 (present value).</w:t>
            </w:r>
            <w:r w:rsidR="00392FA4" w:rsidRPr="009B5734">
              <w:rPr>
                <w:rFonts w:ascii="Times New Roman" w:hAnsi="Times New Roman" w:cs="Times New Roman"/>
                <w:b w:val="0"/>
                <w:noProof/>
                <w:sz w:val="24"/>
                <w:szCs w:val="24"/>
              </w:rPr>
              <w:t xml:space="preserve"> </w:t>
            </w:r>
            <w:r w:rsidR="00392FA4" w:rsidRPr="009B5734">
              <w:rPr>
                <w:rFonts w:ascii="Times New Roman" w:hAnsi="Times New Roman" w:cs="Times New Roman"/>
                <w:b w:val="0"/>
                <w:noProof/>
                <w:sz w:val="24"/>
              </w:rPr>
              <w:t xml:space="preserve">These do not include the costs for </w:t>
            </w:r>
            <w:r w:rsidR="006B6C94" w:rsidRPr="009B5734">
              <w:rPr>
                <w:rFonts w:ascii="Times New Roman" w:hAnsi="Times New Roman" w:cs="Times New Roman"/>
                <w:b w:val="0"/>
                <w:noProof/>
                <w:sz w:val="24"/>
              </w:rPr>
              <w:t>digital</w:t>
            </w:r>
            <w:r w:rsidR="00392FA4" w:rsidRPr="009B5734">
              <w:rPr>
                <w:rFonts w:ascii="Times New Roman" w:hAnsi="Times New Roman" w:cs="Times New Roman"/>
                <w:b w:val="0"/>
                <w:noProof/>
                <w:sz w:val="24"/>
              </w:rPr>
              <w:t xml:space="preserve"> </w:t>
            </w:r>
            <w:r w:rsidR="001E7C1C" w:rsidRPr="009B5734">
              <w:rPr>
                <w:rFonts w:ascii="Times New Roman" w:hAnsi="Times New Roman" w:cs="Times New Roman"/>
                <w:b w:val="0"/>
                <w:noProof/>
                <w:sz w:val="24"/>
              </w:rPr>
              <w:t>information</w:t>
            </w:r>
            <w:r w:rsidR="00392FA4" w:rsidRPr="009B5734">
              <w:rPr>
                <w:rFonts w:ascii="Times New Roman" w:hAnsi="Times New Roman" w:cs="Times New Roman"/>
                <w:b w:val="0"/>
                <w:noProof/>
                <w:sz w:val="24"/>
              </w:rPr>
              <w:t xml:space="preserve"> tools as there is very limited data about the number of apps currently.</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Substantive compliance costs: </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b w:val="0"/>
                <w:noProof/>
                <w:sz w:val="24"/>
              </w:rPr>
              <w:t xml:space="preserve">The entities running and managing the labels </w:t>
            </w:r>
            <w:r w:rsidR="00392FA4" w:rsidRPr="009B5734">
              <w:rPr>
                <w:rFonts w:ascii="Times New Roman" w:hAnsi="Times New Roman" w:cs="Times New Roman"/>
                <w:b w:val="0"/>
                <w:noProof/>
                <w:sz w:val="24"/>
              </w:rPr>
              <w:t xml:space="preserve">and </w:t>
            </w:r>
            <w:r w:rsidR="006B6C94" w:rsidRPr="009B5734">
              <w:rPr>
                <w:rFonts w:ascii="Times New Roman" w:hAnsi="Times New Roman" w:cs="Times New Roman"/>
                <w:b w:val="0"/>
                <w:noProof/>
                <w:sz w:val="24"/>
              </w:rPr>
              <w:t>digital information</w:t>
            </w:r>
            <w:r w:rsidR="00C25351" w:rsidRPr="009B5734">
              <w:rPr>
                <w:rFonts w:ascii="Times New Roman" w:hAnsi="Times New Roman" w:cs="Times New Roman"/>
                <w:b w:val="0"/>
                <w:noProof/>
                <w:sz w:val="24"/>
              </w:rPr>
              <w:t xml:space="preserve"> </w:t>
            </w:r>
            <w:r w:rsidR="00392FA4" w:rsidRPr="009B5734">
              <w:rPr>
                <w:rFonts w:ascii="Times New Roman" w:hAnsi="Times New Roman" w:cs="Times New Roman"/>
                <w:b w:val="0"/>
                <w:noProof/>
                <w:sz w:val="24"/>
              </w:rPr>
              <w:t xml:space="preserve">tools </w:t>
            </w:r>
            <w:r w:rsidRPr="009B5734">
              <w:rPr>
                <w:rFonts w:ascii="Times New Roman" w:hAnsi="Times New Roman" w:cs="Times New Roman"/>
                <w:b w:val="0"/>
                <w:noProof/>
                <w:sz w:val="24"/>
              </w:rPr>
              <w:t>will have substantive compliance costs resulting from implementing the necessary changes in their internal processes, including carrying out third party certifications for each application (if they are not doing it already at the baseline). The</w:t>
            </w:r>
            <w:r w:rsidR="00392FA4" w:rsidRPr="009B5734">
              <w:rPr>
                <w:rFonts w:ascii="Times New Roman" w:hAnsi="Times New Roman" w:cs="Times New Roman"/>
                <w:b w:val="0"/>
                <w:noProof/>
                <w:sz w:val="24"/>
              </w:rPr>
              <w:t xml:space="preserve"> costs incurred by the entities running and managing the labels </w:t>
            </w:r>
            <w:r w:rsidRPr="009B5734">
              <w:rPr>
                <w:rFonts w:ascii="Times New Roman" w:hAnsi="Times New Roman" w:cs="Times New Roman"/>
                <w:b w:val="0"/>
                <w:noProof/>
                <w:sz w:val="24"/>
              </w:rPr>
              <w:t xml:space="preserve">will be passed on to the manufacturers and sellers applying for the label. These costs are estimated to amount to EUR 3 025 - 3 500 million for the period 2025-2040 (present value). </w:t>
            </w:r>
            <w:r w:rsidR="00392FA4" w:rsidRPr="009B5734">
              <w:rPr>
                <w:rFonts w:ascii="Times New Roman" w:hAnsi="Times New Roman" w:cs="Times New Roman"/>
                <w:b w:val="0"/>
                <w:noProof/>
                <w:sz w:val="24"/>
              </w:rPr>
              <w:t xml:space="preserve">These do not include the costs for </w:t>
            </w:r>
            <w:r w:rsidR="006B6C94" w:rsidRPr="009B5734">
              <w:rPr>
                <w:rFonts w:ascii="Times New Roman" w:hAnsi="Times New Roman" w:cs="Times New Roman"/>
                <w:b w:val="0"/>
                <w:noProof/>
                <w:sz w:val="24"/>
              </w:rPr>
              <w:t xml:space="preserve">digital information </w:t>
            </w:r>
            <w:r w:rsidR="00392FA4" w:rsidRPr="009B5734">
              <w:rPr>
                <w:rFonts w:ascii="Times New Roman" w:hAnsi="Times New Roman" w:cs="Times New Roman"/>
                <w:b w:val="0"/>
                <w:noProof/>
                <w:sz w:val="24"/>
              </w:rPr>
              <w:t xml:space="preserve">tools as there is very limited data about the number of </w:t>
            </w:r>
            <w:r w:rsidR="006B6C94" w:rsidRPr="009B5734">
              <w:rPr>
                <w:rFonts w:ascii="Times New Roman" w:hAnsi="Times New Roman" w:cs="Times New Roman"/>
                <w:b w:val="0"/>
                <w:noProof/>
                <w:sz w:val="24"/>
              </w:rPr>
              <w:t>tools</w:t>
            </w:r>
            <w:r w:rsidR="00392FA4" w:rsidRPr="009B5734">
              <w:rPr>
                <w:rFonts w:ascii="Times New Roman" w:hAnsi="Times New Roman" w:cs="Times New Roman"/>
                <w:b w:val="0"/>
                <w:noProof/>
                <w:sz w:val="24"/>
              </w:rPr>
              <w:t xml:space="preserve"> currently.</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Indirect costs: </w:t>
            </w:r>
            <w:r w:rsidRPr="009B5734">
              <w:rPr>
                <w:rFonts w:ascii="Times New Roman" w:hAnsi="Times New Roman" w:cs="Times New Roman"/>
                <w:b w:val="0"/>
                <w:noProof/>
                <w:sz w:val="24"/>
              </w:rPr>
              <w:t>The costs of applying for labels are expected to increase. On the other hand, the increased harmonisation might reduce the need to apply to several labels. (5/10)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SME growth:</w:t>
            </w:r>
            <w:r w:rsidRPr="009B5734">
              <w:rPr>
                <w:rFonts w:ascii="Times New Roman" w:hAnsi="Times New Roman" w:cs="Times New Roman"/>
                <w:b w:val="0"/>
                <w:noProof/>
                <w:sz w:val="24"/>
              </w:rPr>
              <w:t xml:space="preserve"> No impacts identified. (5/10)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public administrations: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Enforcement costs and other costs: </w:t>
            </w:r>
            <w:r w:rsidRPr="009B5734">
              <w:rPr>
                <w:rFonts w:ascii="Times New Roman" w:hAnsi="Times New Roman" w:cs="Times New Roman"/>
                <w:b w:val="0"/>
                <w:noProof/>
                <w:sz w:val="24"/>
              </w:rPr>
              <w:t>Enforcement costs were estimated assuming that one Full Time Equivalent will work to monitor (50%), carry out inspections (40%) and handle complaints (10%)”. Enforcement is not expected to be very challenging since the proposed minimum criteria require all relevant information to be provided online.</w:t>
            </w:r>
          </w:p>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b w:val="0"/>
                <w:noProof/>
                <w:sz w:val="24"/>
              </w:rPr>
              <w:t>A few CPC authorities indicated that the introduction of clear criteria to increase transparency and reliability will, in fact, make the process of fighting misleading labels less complex and resource-intensive</w:t>
            </w:r>
            <w:r w:rsidR="003C392C">
              <w:rPr>
                <w:rFonts w:ascii="Times New Roman" w:hAnsi="Times New Roman" w:cs="Times New Roman"/>
                <w:b w:val="0"/>
                <w:noProof/>
                <w:sz w:val="24"/>
              </w:rPr>
              <w:t xml:space="preserve"> and could lead to savings</w:t>
            </w:r>
            <w:r w:rsidRPr="009B5734">
              <w:rPr>
                <w:rFonts w:ascii="Times New Roman" w:hAnsi="Times New Roman" w:cs="Times New Roman"/>
                <w:b w:val="0"/>
                <w:noProof/>
                <w:sz w:val="24"/>
              </w:rPr>
              <w:t>.</w:t>
            </w:r>
            <w:r w:rsidR="003C392C">
              <w:rPr>
                <w:rFonts w:ascii="Times New Roman" w:hAnsi="Times New Roman" w:cs="Times New Roman"/>
                <w:b w:val="0"/>
                <w:noProof/>
                <w:sz w:val="24"/>
              </w:rPr>
              <w:t xml:space="preserve"> </w:t>
            </w:r>
            <w:r w:rsidRPr="009B5734">
              <w:rPr>
                <w:rFonts w:ascii="Times New Roman" w:hAnsi="Times New Roman" w:cs="Times New Roman"/>
                <w:b w:val="0"/>
                <w:noProof/>
                <w:sz w:val="24"/>
              </w:rPr>
              <w:t xml:space="preserve">These costs are estimated to amount to EUR </w:t>
            </w:r>
            <w:r w:rsidR="009616EE" w:rsidRPr="009B5734">
              <w:rPr>
                <w:rFonts w:ascii="Times New Roman" w:hAnsi="Times New Roman" w:cs="Times New Roman"/>
                <w:b w:val="0"/>
                <w:noProof/>
                <w:sz w:val="24"/>
              </w:rPr>
              <w:t xml:space="preserve">14 </w:t>
            </w:r>
            <w:r w:rsidRPr="009B5734">
              <w:rPr>
                <w:rFonts w:ascii="Times New Roman" w:hAnsi="Times New Roman" w:cs="Times New Roman"/>
                <w:b w:val="0"/>
                <w:noProof/>
                <w:sz w:val="24"/>
              </w:rPr>
              <w:t xml:space="preserve">– 15 million for the period 2025-2040 (present value). </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Environmental impacts: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Climate change: </w:t>
            </w:r>
          </w:p>
          <w:p w:rsidR="00EA45F9" w:rsidRPr="009B5734" w:rsidRDefault="00EA45F9" w:rsidP="00981615">
            <w:pPr>
              <w:pStyle w:val="BodyText"/>
              <w:spacing w:before="0" w:after="0"/>
              <w:ind w:left="0" w:firstLine="0"/>
              <w:rPr>
                <w:rFonts w:ascii="Times New Roman" w:hAnsi="Times New Roman"/>
                <w:b w:val="0"/>
                <w:noProof/>
                <w:sz w:val="24"/>
              </w:rPr>
            </w:pPr>
            <w:r w:rsidRPr="009B5734">
              <w:rPr>
                <w:rFonts w:ascii="Times New Roman" w:hAnsi="Times New Roman"/>
                <w:b w:val="0"/>
                <w:noProof/>
                <w:sz w:val="24"/>
              </w:rPr>
              <w:t>The climate change impact is expected to be positive as:</w:t>
            </w:r>
          </w:p>
          <w:p w:rsidR="00EA45F9" w:rsidRPr="009B5734" w:rsidRDefault="00EA45F9" w:rsidP="00981615">
            <w:pPr>
              <w:pStyle w:val="BodyText"/>
              <w:numPr>
                <w:ilvl w:val="0"/>
                <w:numId w:val="174"/>
              </w:numPr>
              <w:spacing w:before="0" w:after="0" w:line="240" w:lineRule="auto"/>
              <w:jc w:val="left"/>
              <w:rPr>
                <w:rFonts w:ascii="Times New Roman" w:hAnsi="Times New Roman"/>
                <w:b w:val="0"/>
                <w:noProof/>
                <w:sz w:val="24"/>
              </w:rPr>
            </w:pPr>
            <w:r w:rsidRPr="009B5734">
              <w:rPr>
                <w:rFonts w:ascii="Times New Roman" w:hAnsi="Times New Roman"/>
                <w:b w:val="0"/>
                <w:noProof/>
                <w:sz w:val="24"/>
              </w:rPr>
              <w:t>consumers of products holding sustainable labels in the baseline, will be able to select the truly sustainable ones instead of products that only claimed to be sustainable;</w:t>
            </w:r>
          </w:p>
          <w:p w:rsidR="00EA45F9" w:rsidRPr="009B5734" w:rsidRDefault="00EA45F9" w:rsidP="00981615">
            <w:pPr>
              <w:pStyle w:val="BodyText"/>
              <w:numPr>
                <w:ilvl w:val="0"/>
                <w:numId w:val="174"/>
              </w:numPr>
              <w:spacing w:before="0" w:after="0" w:line="240" w:lineRule="auto"/>
              <w:jc w:val="left"/>
              <w:rPr>
                <w:rFonts w:ascii="Times New Roman" w:hAnsi="Times New Roman"/>
                <w:b w:val="0"/>
                <w:noProof/>
                <w:sz w:val="24"/>
              </w:rPr>
            </w:pPr>
            <w:r w:rsidRPr="009B5734">
              <w:rPr>
                <w:rFonts w:ascii="Times New Roman" w:hAnsi="Times New Roman"/>
                <w:b w:val="0"/>
                <w:noProof/>
                <w:sz w:val="24"/>
              </w:rPr>
              <w:t>some consumers who in the baseline would not buy sustainable products because they did not trust labels, will now start trusting those labels and purchase products that have them.</w:t>
            </w:r>
          </w:p>
          <w:p w:rsidR="00EA45F9" w:rsidRPr="009B5734" w:rsidRDefault="00EA45F9" w:rsidP="00981615">
            <w:pPr>
              <w:pStyle w:val="BodyText"/>
              <w:spacing w:before="0" w:after="0"/>
              <w:ind w:left="0" w:firstLine="0"/>
              <w:rPr>
                <w:rFonts w:ascii="Times New Roman" w:hAnsi="Times New Roman"/>
                <w:b w:val="0"/>
                <w:noProof/>
                <w:sz w:val="24"/>
              </w:rPr>
            </w:pPr>
            <w:r w:rsidRPr="009B5734">
              <w:rPr>
                <w:rFonts w:ascii="Times New Roman" w:hAnsi="Times New Roman"/>
                <w:b w:val="0"/>
                <w:noProof/>
                <w:sz w:val="24"/>
              </w:rPr>
              <w:t xml:space="preserve">However, estimation of the impacts is extremely challenging for various reasons: </w:t>
            </w:r>
          </w:p>
          <w:p w:rsidR="00EA45F9" w:rsidRPr="009B5734" w:rsidRDefault="00EA45F9" w:rsidP="00981615">
            <w:pPr>
              <w:pStyle w:val="BodyText"/>
              <w:numPr>
                <w:ilvl w:val="0"/>
                <w:numId w:val="174"/>
              </w:numPr>
              <w:spacing w:before="0" w:after="0" w:line="240" w:lineRule="auto"/>
              <w:jc w:val="left"/>
              <w:rPr>
                <w:rFonts w:ascii="Times New Roman" w:hAnsi="Times New Roman"/>
                <w:b w:val="0"/>
                <w:noProof/>
                <w:sz w:val="24"/>
              </w:rPr>
            </w:pPr>
            <w:r w:rsidRPr="009B5734">
              <w:rPr>
                <w:rFonts w:ascii="Times New Roman" w:hAnsi="Times New Roman"/>
                <w:b w:val="0"/>
                <w:noProof/>
                <w:sz w:val="24"/>
              </w:rPr>
              <w:t>sustainability labels cover various impacts, which may or may not include climate change;</w:t>
            </w:r>
          </w:p>
          <w:p w:rsidR="00EA45F9" w:rsidRPr="009B5734" w:rsidRDefault="00EA45F9" w:rsidP="00981615">
            <w:pPr>
              <w:pStyle w:val="BodyText"/>
              <w:numPr>
                <w:ilvl w:val="0"/>
                <w:numId w:val="174"/>
              </w:numPr>
              <w:spacing w:before="0" w:after="0" w:line="240" w:lineRule="auto"/>
              <w:jc w:val="left"/>
              <w:rPr>
                <w:rFonts w:ascii="Times New Roman" w:hAnsi="Times New Roman"/>
                <w:b w:val="0"/>
                <w:noProof/>
                <w:sz w:val="24"/>
              </w:rPr>
            </w:pPr>
            <w:r w:rsidRPr="009B5734">
              <w:rPr>
                <w:rFonts w:ascii="Times New Roman" w:hAnsi="Times New Roman"/>
                <w:b w:val="0"/>
                <w:noProof/>
                <w:sz w:val="24"/>
              </w:rPr>
              <w:t>there is no available data on the share of sales per label</w:t>
            </w:r>
          </w:p>
          <w:p w:rsidR="00EA45F9" w:rsidRPr="009B5734" w:rsidRDefault="00EA45F9" w:rsidP="00981615">
            <w:pPr>
              <w:pStyle w:val="BodyText"/>
              <w:numPr>
                <w:ilvl w:val="0"/>
                <w:numId w:val="174"/>
              </w:numPr>
              <w:spacing w:before="0" w:after="0" w:line="240" w:lineRule="auto"/>
              <w:jc w:val="left"/>
              <w:rPr>
                <w:rFonts w:ascii="Times New Roman" w:hAnsi="Times New Roman"/>
                <w:b w:val="0"/>
                <w:noProof/>
                <w:sz w:val="24"/>
              </w:rPr>
            </w:pPr>
            <w:r w:rsidRPr="009B5734">
              <w:rPr>
                <w:rFonts w:ascii="Times New Roman" w:hAnsi="Times New Roman"/>
                <w:b w:val="0"/>
                <w:noProof/>
                <w:sz w:val="24"/>
              </w:rPr>
              <w:t>there is no data on the difference between the CO2e of a product holding a certain label or holding a different one or not holding any.</w:t>
            </w:r>
          </w:p>
          <w:p w:rsidR="00EA45F9" w:rsidRPr="009B5734" w:rsidRDefault="00EA45F9" w:rsidP="00981615">
            <w:pPr>
              <w:ind w:left="0" w:firstLine="0"/>
              <w:rPr>
                <w:rFonts w:ascii="Times New Roman" w:hAnsi="Times New Roman" w:cs="Times New Roman"/>
                <w:b w:val="0"/>
                <w:noProof/>
                <w:color w:val="000000" w:themeColor="text1"/>
                <w:sz w:val="24"/>
                <w:szCs w:val="24"/>
              </w:rPr>
            </w:pPr>
            <w:r w:rsidRPr="009B5734">
              <w:rPr>
                <w:rFonts w:ascii="Times New Roman" w:hAnsi="Times New Roman" w:cs="Times New Roman"/>
                <w:b w:val="0"/>
                <w:noProof/>
                <w:color w:val="000000" w:themeColor="text1"/>
                <w:sz w:val="24"/>
                <w:szCs w:val="24"/>
              </w:rPr>
              <w:t xml:space="preserve">For these reasons, it is not possible to quantify and monetise this impact. </w:t>
            </w:r>
          </w:p>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Other environmental impacts change. </w:t>
            </w:r>
            <w:r w:rsidRPr="009B5734">
              <w:rPr>
                <w:rFonts w:ascii="Times New Roman" w:hAnsi="Times New Roman" w:cs="Times New Roman"/>
                <w:b w:val="0"/>
                <w:noProof/>
                <w:sz w:val="24"/>
              </w:rPr>
              <w:t>The impact on other environmental impacts is also expected to positive. The magnitude of the impact depends on various factors; however, including coverage of these impacts by labels/logos and update of those labels/logos. (7/10)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15586F" w:rsidRDefault="00EA45F9" w:rsidP="003B203F">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Coherence: </w:t>
            </w:r>
            <w:r w:rsidRPr="009B5734">
              <w:rPr>
                <w:rFonts w:ascii="Times New Roman" w:hAnsi="Times New Roman" w:cs="Times New Roman"/>
                <w:b w:val="0"/>
                <w:noProof/>
                <w:sz w:val="24"/>
              </w:rPr>
              <w:t>No issue of coherence identified.</w:t>
            </w:r>
            <w:r w:rsidRPr="0015586F">
              <w:rPr>
                <w:rFonts w:ascii="Times New Roman" w:hAnsi="Times New Roman" w:cs="Times New Roman"/>
                <w:noProof/>
                <w:sz w:val="24"/>
              </w:rPr>
              <w:t xml:space="preserve"> </w:t>
            </w:r>
            <w:r w:rsidR="003B203F" w:rsidRPr="0015586F">
              <w:rPr>
                <w:rFonts w:ascii="Times New Roman" w:hAnsi="Times New Roman" w:cs="Times New Roman"/>
                <w:noProof/>
                <w:sz w:val="24"/>
              </w:rPr>
              <w:t>T</w:t>
            </w:r>
            <w:r w:rsidRPr="0015586F">
              <w:rPr>
                <w:rFonts w:ascii="Times New Roman" w:hAnsi="Times New Roman" w:cs="Times New Roman"/>
                <w:noProof/>
                <w:sz w:val="24"/>
              </w:rPr>
              <w:t>his option will be complementary to the Green Claims Initiative as it will introduce only ‘</w:t>
            </w:r>
            <w:r w:rsidR="003B203F" w:rsidRPr="0015586F">
              <w:rPr>
                <w:rFonts w:ascii="Times New Roman" w:hAnsi="Times New Roman" w:cs="Times New Roman"/>
                <w:noProof/>
                <w:sz w:val="24"/>
              </w:rPr>
              <w:t>credibility/transparency requirements</w:t>
            </w:r>
            <w:r w:rsidRPr="0015586F">
              <w:rPr>
                <w:rFonts w:ascii="Times New Roman" w:hAnsi="Times New Roman" w:cs="Times New Roman"/>
                <w:noProof/>
                <w:sz w:val="24"/>
              </w:rPr>
              <w:t xml:space="preserve"> on sustainability labels and the scope will be broader than only ecolabels</w:t>
            </w:r>
            <w:r w:rsidRPr="009B5734">
              <w:rPr>
                <w:rFonts w:ascii="Times New Roman" w:hAnsi="Times New Roman" w:cs="Times New Roman"/>
                <w:b w:val="0"/>
                <w:noProof/>
                <w:sz w:val="24"/>
              </w:rPr>
              <w:t>. (8/10)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Overarching impacts:</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Circularity and sustainable consumption: </w:t>
            </w:r>
            <w:r w:rsidRPr="009B5734">
              <w:rPr>
                <w:rFonts w:ascii="Times New Roman" w:hAnsi="Times New Roman" w:cs="Times New Roman"/>
                <w:b w:val="0"/>
                <w:noProof/>
                <w:sz w:val="24"/>
              </w:rPr>
              <w:t>The impact on circularity and consumption of sustainable products is expected to be positive. (7/10)</w:t>
            </w:r>
          </w:p>
          <w:p w:rsidR="00EA45F9" w:rsidRPr="009B5734" w:rsidRDefault="00EA45F9" w:rsidP="0098161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Application of the EU legal consumer framework: </w:t>
            </w:r>
            <w:r w:rsidRPr="009B5734">
              <w:rPr>
                <w:rFonts w:ascii="Times New Roman" w:hAnsi="Times New Roman" w:cs="Times New Roman"/>
                <w:b w:val="0"/>
                <w:noProof/>
                <w:sz w:val="24"/>
              </w:rPr>
              <w:t>This option will have a positive impact on ensuring a better and coherent application of the EU legal consumer framework, in particular of the UCPD. (8/10)</w:t>
            </w:r>
          </w:p>
          <w:p w:rsidR="00EA45F9" w:rsidRPr="009B5734" w:rsidRDefault="00EA45F9" w:rsidP="00981615">
            <w:pPr>
              <w:ind w:left="0" w:firstLine="0"/>
              <w:rPr>
                <w:rFonts w:ascii="Times New Roman" w:hAnsi="Times New Roman" w:cs="Times New Roman"/>
                <w:noProof/>
                <w:sz w:val="24"/>
              </w:rPr>
            </w:pPr>
          </w:p>
        </w:tc>
      </w:tr>
    </w:tbl>
    <w:p w:rsidR="00EA45F9" w:rsidRPr="009B5734" w:rsidRDefault="00EA45F9" w:rsidP="00EA45F9">
      <w:pPr>
        <w:ind w:left="0" w:firstLine="0"/>
        <w:rPr>
          <w:noProof/>
        </w:rPr>
      </w:pPr>
    </w:p>
    <w:tbl>
      <w:tblPr>
        <w:tblStyle w:val="GridTable1Light-Accent2"/>
        <w:tblW w:w="0" w:type="auto"/>
        <w:tblLook w:val="04A0" w:firstRow="1" w:lastRow="0" w:firstColumn="1" w:lastColumn="0" w:noHBand="0" w:noVBand="1"/>
      </w:tblPr>
      <w:tblGrid>
        <w:gridCol w:w="8607"/>
      </w:tblGrid>
      <w:tr w:rsidR="00EA45F9" w:rsidRPr="009B5734" w:rsidTr="00C84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right w:val="single" w:sz="4" w:space="0" w:color="E5B8B7" w:themeColor="accent2" w:themeTint="66"/>
            </w:tcBorders>
            <w:shd w:val="clear" w:color="auto" w:fill="E5B8B7" w:themeFill="accent2" w:themeFillTint="66"/>
            <w:hideMark/>
          </w:tcPr>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Option 2.3.C:  </w:t>
            </w:r>
            <w:r w:rsidR="00BB3B05" w:rsidRPr="009B5734">
              <w:rPr>
                <w:rFonts w:ascii="Times New Roman" w:hAnsi="Times New Roman" w:cs="Times New Roman"/>
                <w:noProof/>
                <w:sz w:val="24"/>
              </w:rPr>
              <w:t>Option 2.3.C: Pre-approval of sustainability labels and digital information tools via an EU body</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b w:val="0"/>
                <w:noProof/>
                <w:sz w:val="24"/>
              </w:rPr>
            </w:pPr>
            <w:r w:rsidRPr="009B5734">
              <w:rPr>
                <w:rFonts w:ascii="Times New Roman" w:hAnsi="Times New Roman" w:cs="Times New Roman"/>
                <w:noProof/>
                <w:sz w:val="24"/>
              </w:rPr>
              <w:t>Impacts on consumers:</w:t>
            </w:r>
          </w:p>
          <w:p w:rsidR="00BB3B05" w:rsidRPr="009B5734" w:rsidRDefault="00BB3B05" w:rsidP="00BB3B05">
            <w:pPr>
              <w:ind w:left="0" w:firstLine="0"/>
              <w:rPr>
                <w:rFonts w:ascii="Times New Roman" w:hAnsi="Times New Roman"/>
                <w:noProof/>
                <w:sz w:val="24"/>
              </w:rPr>
            </w:pPr>
            <w:r w:rsidRPr="009B5734">
              <w:rPr>
                <w:rFonts w:ascii="Times New Roman" w:hAnsi="Times New Roman" w:cs="Times New Roman"/>
                <w:noProof/>
                <w:sz w:val="24"/>
              </w:rPr>
              <w:t xml:space="preserve">Quality of decision-making: </w:t>
            </w:r>
            <w:r w:rsidRPr="009B5734">
              <w:rPr>
                <w:rFonts w:ascii="Times New Roman" w:hAnsi="Times New Roman" w:cs="Times New Roman"/>
                <w:b w:val="0"/>
                <w:noProof/>
                <w:sz w:val="24"/>
              </w:rPr>
              <w:t>The impacts are similar to those described for option 2.3.B. (8/10)</w:t>
            </w:r>
          </w:p>
          <w:p w:rsidR="00BB3B05" w:rsidRPr="009B5734" w:rsidRDefault="00BB3B05" w:rsidP="00BB3B0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Consumer protection: </w:t>
            </w:r>
            <w:r w:rsidRPr="009B5734">
              <w:rPr>
                <w:rFonts w:ascii="Times New Roman" w:hAnsi="Times New Roman" w:cs="Times New Roman"/>
                <w:b w:val="0"/>
                <w:noProof/>
                <w:sz w:val="24"/>
              </w:rPr>
              <w:t>The impacts are similar to those described for option 2.3.B but higher, as the compliance level will be higher given that only pre-approved labels/logos and digital information tools will be allowed. (9/10)</w:t>
            </w:r>
          </w:p>
          <w:p w:rsidR="00BB3B05" w:rsidRPr="009B5734" w:rsidRDefault="00BB3B05" w:rsidP="00BB3B0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Consumer trust: </w:t>
            </w:r>
            <w:r w:rsidRPr="009B5734">
              <w:rPr>
                <w:rFonts w:ascii="Times New Roman" w:hAnsi="Times New Roman" w:cs="Times New Roman"/>
                <w:b w:val="0"/>
                <w:noProof/>
                <w:sz w:val="24"/>
              </w:rPr>
              <w:t>The impacts are similar to those described for option 2.3.B. (8/10)</w:t>
            </w:r>
          </w:p>
          <w:p w:rsidR="00EA45F9" w:rsidRPr="009B5734" w:rsidRDefault="00225E72" w:rsidP="008D2C27">
            <w:pPr>
              <w:spacing w:after="120"/>
              <w:ind w:left="0" w:firstLine="0"/>
              <w:rPr>
                <w:noProof/>
              </w:rPr>
            </w:pPr>
            <w:r w:rsidRPr="009B5734">
              <w:rPr>
                <w:rFonts w:ascii="Times New Roman" w:hAnsi="Times New Roman" w:cs="Times New Roman"/>
                <w:noProof/>
              </w:rPr>
              <w:t xml:space="preserve">Monetisable </w:t>
            </w:r>
            <w:r w:rsidR="00BB3B05" w:rsidRPr="009B5734">
              <w:rPr>
                <w:rFonts w:ascii="Times New Roman" w:hAnsi="Times New Roman" w:cs="Times New Roman"/>
                <w:noProof/>
              </w:rPr>
              <w:t>Consumer welfare:</w:t>
            </w:r>
            <w:r w:rsidR="00BB3B05" w:rsidRPr="009B5734">
              <w:rPr>
                <w:b w:val="0"/>
                <w:bCs w:val="0"/>
                <w:noProof/>
              </w:rPr>
              <w:t xml:space="preserve"> </w:t>
            </w:r>
            <w:r w:rsidR="00BB3B05" w:rsidRPr="009B5734">
              <w:rPr>
                <w:rFonts w:ascii="Times New Roman" w:eastAsia="Times New Roman" w:hAnsi="Times New Roman" w:cs="Times New Roman"/>
                <w:b w:val="0"/>
                <w:bCs w:val="0"/>
                <w:noProof/>
                <w:sz w:val="24"/>
                <w:szCs w:val="24"/>
              </w:rPr>
              <w:t>The consumer welfare is estimated to amount to EUR</w:t>
            </w:r>
            <w:r w:rsidRPr="009B5734">
              <w:rPr>
                <w:rFonts w:ascii="Times New Roman" w:eastAsia="Times New Roman" w:hAnsi="Times New Roman" w:cs="Times New Roman"/>
                <w:b w:val="0"/>
                <w:bCs w:val="0"/>
                <w:noProof/>
                <w:sz w:val="24"/>
                <w:szCs w:val="24"/>
              </w:rPr>
              <w:t xml:space="preserve"> 4 500 – 6 610 </w:t>
            </w:r>
            <w:r w:rsidR="00BB3B05" w:rsidRPr="009B5734">
              <w:rPr>
                <w:rFonts w:ascii="Times New Roman" w:eastAsia="Times New Roman" w:hAnsi="Times New Roman" w:cs="Times New Roman"/>
                <w:b w:val="0"/>
                <w:bCs w:val="0"/>
                <w:noProof/>
                <w:sz w:val="24"/>
                <w:szCs w:val="24"/>
              </w:rPr>
              <w:t>million for the period 2025-2040</w:t>
            </w:r>
            <w:r w:rsidRPr="009B5734">
              <w:rPr>
                <w:rFonts w:ascii="Times New Roman" w:eastAsia="Times New Roman" w:hAnsi="Times New Roman" w:cs="Times New Roman"/>
                <w:b w:val="0"/>
                <w:bCs w:val="0"/>
                <w:noProof/>
                <w:sz w:val="24"/>
                <w:szCs w:val="24"/>
              </w:rPr>
              <w:t xml:space="preserve"> </w:t>
            </w:r>
            <w:r w:rsidRPr="6B053803">
              <w:rPr>
                <w:rFonts w:ascii="Times New Roman" w:hAnsi="Times New Roman"/>
                <w:noProof/>
                <w:sz w:val="24"/>
                <w:szCs w:val="24"/>
              </w:rPr>
              <w:t>(present value)</w:t>
            </w:r>
            <w:r w:rsidR="00BB3B05" w:rsidRPr="009B5734">
              <w:rPr>
                <w:rFonts w:ascii="Times New Roman" w:eastAsia="Times New Roman" w:hAnsi="Times New Roman" w:cs="Times New Roman"/>
                <w:b w:val="0"/>
                <w:bCs w:val="0"/>
                <w:noProof/>
                <w:sz w:val="24"/>
                <w:szCs w:val="24"/>
              </w:rPr>
              <w:t>, similar to option 2.3.B</w:t>
            </w:r>
            <w:r w:rsidRPr="009B5734">
              <w:rPr>
                <w:rFonts w:ascii="Times New Roman" w:eastAsia="Times New Roman" w:hAnsi="Times New Roman" w:cs="Times New Roman"/>
                <w:b w:val="0"/>
                <w:bCs w:val="0"/>
                <w:noProof/>
                <w:sz w:val="24"/>
                <w:szCs w:val="24"/>
              </w:rPr>
              <w:t xml:space="preserve">. </w:t>
            </w:r>
            <w:r w:rsidRPr="6B053803">
              <w:rPr>
                <w:rFonts w:ascii="Times New Roman" w:hAnsi="Times New Roman"/>
                <w:noProof/>
                <w:sz w:val="24"/>
                <w:szCs w:val="24"/>
              </w:rPr>
              <w:t>(9/10)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businesses:</w:t>
            </w:r>
          </w:p>
          <w:p w:rsidR="00BB3B05" w:rsidRPr="009B5734" w:rsidRDefault="00BB3B05" w:rsidP="00BB3B0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Level-playing field: </w:t>
            </w:r>
            <w:r w:rsidRPr="009B5734">
              <w:rPr>
                <w:rFonts w:ascii="Times New Roman" w:hAnsi="Times New Roman" w:cs="Times New Roman"/>
                <w:b w:val="0"/>
                <w:noProof/>
                <w:sz w:val="24"/>
              </w:rPr>
              <w:t>The impacts are similar to those described for option 2.3.B because on the one hand compliance level might be higher given that only pre-approved labels/logos will be allowed on the other hand the fees and bureaucratic procedure as well as the time required to get the pre-approval might be entry barriers to smaller companies. (8/10)</w:t>
            </w:r>
          </w:p>
          <w:p w:rsidR="00BB3B05" w:rsidRPr="009B5734" w:rsidRDefault="00BB3B05" w:rsidP="00BB3B0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Reduction of barriers to cross-border trade: </w:t>
            </w:r>
            <w:r w:rsidRPr="009B5734">
              <w:rPr>
                <w:rFonts w:ascii="Times New Roman" w:hAnsi="Times New Roman" w:cs="Times New Roman"/>
                <w:b w:val="0"/>
                <w:noProof/>
                <w:sz w:val="24"/>
              </w:rPr>
              <w:t xml:space="preserve">The impacts are similar to those described for option 2.3.B but </w:t>
            </w:r>
            <w:r w:rsidR="006E3D3A" w:rsidRPr="009B5734">
              <w:rPr>
                <w:rFonts w:ascii="Times New Roman" w:hAnsi="Times New Roman" w:cs="Times New Roman"/>
                <w:b w:val="0"/>
                <w:noProof/>
                <w:sz w:val="24"/>
              </w:rPr>
              <w:t xml:space="preserve">slightly </w:t>
            </w:r>
            <w:r w:rsidRPr="009B5734">
              <w:rPr>
                <w:rFonts w:ascii="Times New Roman" w:hAnsi="Times New Roman" w:cs="Times New Roman"/>
                <w:b w:val="0"/>
                <w:noProof/>
                <w:sz w:val="24"/>
              </w:rPr>
              <w:t xml:space="preserve">higher, as the compliance level </w:t>
            </w:r>
            <w:r w:rsidR="006E3D3A" w:rsidRPr="009B5734">
              <w:rPr>
                <w:rFonts w:ascii="Times New Roman" w:hAnsi="Times New Roman" w:cs="Times New Roman"/>
                <w:b w:val="0"/>
                <w:noProof/>
                <w:sz w:val="24"/>
              </w:rPr>
              <w:t>may be</w:t>
            </w:r>
            <w:r w:rsidRPr="009B5734">
              <w:rPr>
                <w:rFonts w:ascii="Times New Roman" w:hAnsi="Times New Roman" w:cs="Times New Roman"/>
                <w:b w:val="0"/>
                <w:noProof/>
                <w:sz w:val="24"/>
              </w:rPr>
              <w:t xml:space="preserve"> higher given that only pre-approved labels </w:t>
            </w:r>
            <w:r w:rsidR="006E3D3A" w:rsidRPr="009B5734">
              <w:rPr>
                <w:rFonts w:ascii="Times New Roman" w:hAnsi="Times New Roman" w:cs="Times New Roman"/>
                <w:b w:val="0"/>
                <w:noProof/>
                <w:sz w:val="24"/>
              </w:rPr>
              <w:t xml:space="preserve">and digital information tools </w:t>
            </w:r>
            <w:r w:rsidRPr="009B5734">
              <w:rPr>
                <w:rFonts w:ascii="Times New Roman" w:hAnsi="Times New Roman" w:cs="Times New Roman"/>
                <w:b w:val="0"/>
                <w:noProof/>
                <w:sz w:val="24"/>
              </w:rPr>
              <w:t>will be allowed. (8/10)</w:t>
            </w:r>
          </w:p>
          <w:p w:rsidR="00BB3B05" w:rsidRPr="009B5734" w:rsidRDefault="00BB3B05" w:rsidP="00BB3B0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Administrative burdens: </w:t>
            </w:r>
            <w:r w:rsidRPr="009B5734">
              <w:rPr>
                <w:rFonts w:ascii="Times New Roman" w:hAnsi="Times New Roman" w:cs="Times New Roman"/>
                <w:b w:val="0"/>
                <w:noProof/>
                <w:sz w:val="24"/>
              </w:rPr>
              <w:t xml:space="preserve">The administrative burdens are similar to the ones described for the managers of labels in the context of option 2.3.B. These costs are estimated to amount to </w:t>
            </w:r>
            <w:r w:rsidRPr="009B5734">
              <w:rPr>
                <w:rFonts w:ascii="Times New Roman" w:hAnsi="Times New Roman"/>
                <w:b w:val="0"/>
                <w:noProof/>
                <w:sz w:val="24"/>
                <w:szCs w:val="20"/>
              </w:rPr>
              <w:t xml:space="preserve">EUR </w:t>
            </w:r>
            <w:r w:rsidR="00225E72" w:rsidRPr="009B5734">
              <w:rPr>
                <w:rFonts w:ascii="Times New Roman" w:hAnsi="Times New Roman"/>
                <w:b w:val="0"/>
                <w:noProof/>
                <w:sz w:val="24"/>
                <w:szCs w:val="20"/>
              </w:rPr>
              <w:t xml:space="preserve">615 – 620 </w:t>
            </w:r>
            <w:r w:rsidRPr="009B5734">
              <w:rPr>
                <w:rFonts w:ascii="Times New Roman" w:hAnsi="Times New Roman"/>
                <w:b w:val="0"/>
                <w:noProof/>
                <w:sz w:val="24"/>
                <w:szCs w:val="20"/>
              </w:rPr>
              <w:t>million</w:t>
            </w:r>
            <w:r w:rsidRPr="009B5734">
              <w:rPr>
                <w:rFonts w:ascii="Times New Roman" w:hAnsi="Times New Roman" w:cs="Times New Roman"/>
                <w:b w:val="0"/>
                <w:noProof/>
                <w:sz w:val="24"/>
                <w:szCs w:val="24"/>
              </w:rPr>
              <w:t xml:space="preserve"> for the period 2025-2040.</w:t>
            </w:r>
          </w:p>
          <w:p w:rsidR="00BB3B05" w:rsidRPr="009B5734" w:rsidRDefault="00BB3B05" w:rsidP="00BB3B0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Substantive compliance costs: </w:t>
            </w:r>
          </w:p>
          <w:p w:rsidR="00BB3B05" w:rsidRPr="009B5734" w:rsidRDefault="00BB3B05" w:rsidP="00BB3B05">
            <w:pPr>
              <w:ind w:left="0" w:firstLine="0"/>
              <w:rPr>
                <w:rFonts w:ascii="Times New Roman" w:hAnsi="Times New Roman" w:cs="Times New Roman"/>
                <w:b w:val="0"/>
                <w:noProof/>
                <w:sz w:val="24"/>
              </w:rPr>
            </w:pPr>
            <w:r w:rsidRPr="009B5734">
              <w:rPr>
                <w:rFonts w:ascii="Times New Roman" w:hAnsi="Times New Roman" w:cs="Times New Roman"/>
                <w:b w:val="0"/>
                <w:noProof/>
                <w:sz w:val="24"/>
              </w:rPr>
              <w:t xml:space="preserve">The substantive compliance costs are similar to those described for option 2.3.B plus an additional fee when applying for pre-approval (which we assume will be similar to the upper limit of the EU Ecolabel fee). This will amount to EUR </w:t>
            </w:r>
            <w:r w:rsidR="006E3D3A" w:rsidRPr="009B5734">
              <w:rPr>
                <w:rFonts w:ascii="Times New Roman" w:hAnsi="Times New Roman" w:cs="Times New Roman"/>
                <w:b w:val="0"/>
                <w:noProof/>
                <w:sz w:val="24"/>
              </w:rPr>
              <w:t>3 120</w:t>
            </w:r>
            <w:r w:rsidRPr="009B5734">
              <w:rPr>
                <w:rFonts w:ascii="Times New Roman" w:hAnsi="Times New Roman" w:cs="Times New Roman"/>
                <w:b w:val="0"/>
                <w:noProof/>
                <w:sz w:val="24"/>
              </w:rPr>
              <w:t xml:space="preserve"> - </w:t>
            </w:r>
            <w:r w:rsidR="006E3D3A" w:rsidRPr="009B5734">
              <w:rPr>
                <w:rFonts w:ascii="Times New Roman" w:hAnsi="Times New Roman" w:cs="Times New Roman"/>
                <w:b w:val="0"/>
                <w:noProof/>
                <w:sz w:val="24"/>
              </w:rPr>
              <w:t>3</w:t>
            </w:r>
            <w:r w:rsidRPr="009B5734">
              <w:rPr>
                <w:rFonts w:ascii="Times New Roman" w:hAnsi="Times New Roman" w:cs="Times New Roman"/>
                <w:b w:val="0"/>
                <w:noProof/>
                <w:sz w:val="24"/>
              </w:rPr>
              <w:t xml:space="preserve"> </w:t>
            </w:r>
            <w:r w:rsidR="006E3D3A" w:rsidRPr="009B5734">
              <w:rPr>
                <w:rFonts w:ascii="Times New Roman" w:hAnsi="Times New Roman" w:cs="Times New Roman"/>
                <w:b w:val="0"/>
                <w:noProof/>
                <w:sz w:val="24"/>
              </w:rPr>
              <w:t>580</w:t>
            </w:r>
            <w:r w:rsidRPr="009B5734">
              <w:rPr>
                <w:rFonts w:ascii="Times New Roman" w:hAnsi="Times New Roman" w:cs="Times New Roman"/>
                <w:b w:val="0"/>
                <w:noProof/>
                <w:sz w:val="24"/>
              </w:rPr>
              <w:t xml:space="preserve"> million for the period 2025-2040. </w:t>
            </w:r>
          </w:p>
          <w:p w:rsidR="00BB3B05" w:rsidRPr="009B5734" w:rsidRDefault="00BB3B05" w:rsidP="00BB3B0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Indirect costs: </w:t>
            </w:r>
            <w:r w:rsidRPr="009B5734">
              <w:rPr>
                <w:rFonts w:ascii="Times New Roman" w:hAnsi="Times New Roman" w:cs="Times New Roman"/>
                <w:b w:val="0"/>
                <w:noProof/>
                <w:sz w:val="24"/>
              </w:rPr>
              <w:t>No significant indirect costs were identified. (5/10)</w:t>
            </w:r>
          </w:p>
          <w:p w:rsidR="00EA45F9" w:rsidRPr="009B5734" w:rsidRDefault="00BB3B05" w:rsidP="00BB3B05">
            <w:pPr>
              <w:ind w:left="0" w:firstLine="0"/>
              <w:rPr>
                <w:rFonts w:ascii="Times New Roman" w:hAnsi="Times New Roman" w:cs="Times New Roman"/>
                <w:b w:val="0"/>
                <w:noProof/>
                <w:sz w:val="24"/>
              </w:rPr>
            </w:pPr>
            <w:r w:rsidRPr="009B5734">
              <w:rPr>
                <w:rFonts w:ascii="Times New Roman" w:hAnsi="Times New Roman" w:cs="Times New Roman"/>
                <w:noProof/>
                <w:sz w:val="24"/>
              </w:rPr>
              <w:t>SME growth:</w:t>
            </w:r>
            <w:r w:rsidRPr="009B5734">
              <w:rPr>
                <w:rFonts w:ascii="Times New Roman" w:hAnsi="Times New Roman" w:cs="Times New Roman"/>
                <w:b w:val="0"/>
                <w:noProof/>
                <w:sz w:val="24"/>
              </w:rPr>
              <w:t xml:space="preserve"> </w:t>
            </w:r>
            <w:r w:rsidR="006E3D3A" w:rsidRPr="009B5734">
              <w:rPr>
                <w:rFonts w:ascii="Times New Roman" w:hAnsi="Times New Roman" w:cs="Times New Roman"/>
                <w:b w:val="0"/>
                <w:noProof/>
                <w:sz w:val="24"/>
              </w:rPr>
              <w:t xml:space="preserve">The pre-approval of labels and </w:t>
            </w:r>
            <w:r w:rsidR="00CB531F" w:rsidRPr="009B5734">
              <w:rPr>
                <w:rFonts w:ascii="Times New Roman" w:hAnsi="Times New Roman" w:cs="Times New Roman"/>
                <w:b w:val="0"/>
                <w:noProof/>
                <w:sz w:val="24"/>
              </w:rPr>
              <w:t xml:space="preserve">of </w:t>
            </w:r>
            <w:r w:rsidR="006E3D3A" w:rsidRPr="009B5734">
              <w:rPr>
                <w:rFonts w:ascii="Times New Roman" w:hAnsi="Times New Roman" w:cs="Times New Roman"/>
                <w:b w:val="0"/>
                <w:noProof/>
                <w:sz w:val="24"/>
              </w:rPr>
              <w:t>digital information tools may constitute</w:t>
            </w:r>
            <w:r w:rsidR="00CB531F" w:rsidRPr="009B5734">
              <w:rPr>
                <w:rFonts w:ascii="Times New Roman" w:hAnsi="Times New Roman" w:cs="Times New Roman"/>
                <w:b w:val="0"/>
                <w:noProof/>
                <w:sz w:val="24"/>
              </w:rPr>
              <w:t xml:space="preserve"> a</w:t>
            </w:r>
            <w:r w:rsidR="006E3D3A" w:rsidRPr="009B5734">
              <w:rPr>
                <w:rFonts w:ascii="Times New Roman" w:hAnsi="Times New Roman" w:cs="Times New Roman"/>
                <w:b w:val="0"/>
                <w:noProof/>
                <w:sz w:val="24"/>
              </w:rPr>
              <w:t xml:space="preserve"> relevant entry barrier for SME </w:t>
            </w:r>
            <w:r w:rsidRPr="009B5734">
              <w:rPr>
                <w:rFonts w:ascii="Times New Roman" w:hAnsi="Times New Roman" w:cs="Times New Roman"/>
                <w:b w:val="0"/>
                <w:noProof/>
                <w:sz w:val="24"/>
              </w:rPr>
              <w:t>(</w:t>
            </w:r>
            <w:r w:rsidR="006E3D3A" w:rsidRPr="009B5734">
              <w:rPr>
                <w:rFonts w:ascii="Times New Roman" w:hAnsi="Times New Roman" w:cs="Times New Roman"/>
                <w:b w:val="0"/>
                <w:noProof/>
                <w:sz w:val="24"/>
              </w:rPr>
              <w:t>4</w:t>
            </w:r>
            <w:r w:rsidRPr="009B5734">
              <w:rPr>
                <w:rFonts w:ascii="Times New Roman" w:hAnsi="Times New Roman" w:cs="Times New Roman"/>
                <w:b w:val="0"/>
                <w:noProof/>
                <w:sz w:val="24"/>
              </w:rPr>
              <w:t>/10)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Impacts on public administrations:</w:t>
            </w:r>
          </w:p>
          <w:p w:rsidR="00BB3B05" w:rsidRPr="009B5734" w:rsidRDefault="00BB3B05" w:rsidP="00BB3B0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Enforcement costs and other costs: </w:t>
            </w:r>
          </w:p>
          <w:p w:rsidR="00BB3B05" w:rsidRPr="009B5734" w:rsidRDefault="00BB3B05" w:rsidP="00BB3B05">
            <w:pPr>
              <w:ind w:left="0" w:firstLine="0"/>
              <w:rPr>
                <w:rFonts w:ascii="Times New Roman" w:hAnsi="Times New Roman" w:cs="Times New Roman"/>
                <w:b w:val="0"/>
                <w:noProof/>
                <w:sz w:val="24"/>
              </w:rPr>
            </w:pPr>
            <w:r w:rsidRPr="009B5734">
              <w:rPr>
                <w:rFonts w:ascii="Times New Roman" w:hAnsi="Times New Roman" w:cs="Times New Roman"/>
                <w:b w:val="0"/>
                <w:noProof/>
                <w:sz w:val="24"/>
              </w:rPr>
              <w:t>Costs will be significantly higher than in option 2.3.B as all labels will need to be pre-approved by an EU body. The costs of setting up and running the EU body</w:t>
            </w:r>
            <w:r w:rsidRPr="009B5734">
              <w:rPr>
                <w:rStyle w:val="FootnoteReference"/>
                <w:rFonts w:ascii="Times New Roman" w:hAnsi="Times New Roman" w:cs="Times New Roman"/>
                <w:b w:val="0"/>
                <w:noProof/>
                <w:sz w:val="24"/>
              </w:rPr>
              <w:footnoteReference w:id="245"/>
            </w:r>
            <w:r w:rsidRPr="009B5734">
              <w:rPr>
                <w:rFonts w:ascii="Times New Roman" w:hAnsi="Times New Roman" w:cs="Times New Roman"/>
                <w:b w:val="0"/>
                <w:noProof/>
                <w:sz w:val="24"/>
              </w:rPr>
              <w:t xml:space="preserve"> were considered to be around EUR 4.02 million per year, which corresponds to a net present value for the period 2025-2040 of about EUR </w:t>
            </w:r>
            <w:r w:rsidR="006E3D3A" w:rsidRPr="009B5734">
              <w:rPr>
                <w:rFonts w:ascii="Times New Roman" w:hAnsi="Times New Roman" w:cs="Times New Roman"/>
                <w:b w:val="0"/>
                <w:noProof/>
                <w:sz w:val="24"/>
              </w:rPr>
              <w:t>42</w:t>
            </w:r>
            <w:r w:rsidRPr="009B5734">
              <w:rPr>
                <w:rFonts w:ascii="Times New Roman" w:hAnsi="Times New Roman" w:cs="Times New Roman"/>
                <w:b w:val="0"/>
                <w:noProof/>
                <w:sz w:val="24"/>
              </w:rPr>
              <w:t xml:space="preserve"> million.</w:t>
            </w:r>
          </w:p>
          <w:p w:rsidR="00EA45F9" w:rsidRPr="009B5734" w:rsidRDefault="00BB3B05" w:rsidP="00BB3B05">
            <w:pPr>
              <w:ind w:left="0" w:firstLine="0"/>
              <w:rPr>
                <w:rFonts w:ascii="Times New Roman" w:hAnsi="Times New Roman" w:cs="Times New Roman"/>
                <w:noProof/>
                <w:sz w:val="24"/>
              </w:rPr>
            </w:pPr>
            <w:r w:rsidRPr="009B5734">
              <w:rPr>
                <w:rFonts w:ascii="Times New Roman" w:hAnsi="Times New Roman" w:cs="Times New Roman"/>
                <w:b w:val="0"/>
                <w:noProof/>
                <w:sz w:val="24"/>
              </w:rPr>
              <w:t xml:space="preserve">National enforcement costs are estimated to be similar to those under option 2.3.B and amount to EUR </w:t>
            </w:r>
            <w:r w:rsidR="006E3D3A" w:rsidRPr="009B5734">
              <w:rPr>
                <w:rFonts w:ascii="Times New Roman" w:hAnsi="Times New Roman" w:cs="Times New Roman"/>
                <w:b w:val="0"/>
                <w:noProof/>
                <w:sz w:val="24"/>
              </w:rPr>
              <w:t>14</w:t>
            </w:r>
            <w:r w:rsidRPr="009B5734">
              <w:rPr>
                <w:rFonts w:ascii="Times New Roman" w:hAnsi="Times New Roman" w:cs="Times New Roman"/>
                <w:b w:val="0"/>
                <w:noProof/>
                <w:sz w:val="24"/>
              </w:rPr>
              <w:t xml:space="preserve"> - </w:t>
            </w:r>
            <w:r w:rsidR="006E3D3A" w:rsidRPr="009B5734">
              <w:rPr>
                <w:rFonts w:ascii="Times New Roman" w:hAnsi="Times New Roman" w:cs="Times New Roman"/>
                <w:b w:val="0"/>
                <w:noProof/>
                <w:sz w:val="24"/>
              </w:rPr>
              <w:t>15</w:t>
            </w:r>
            <w:r w:rsidRPr="009B5734">
              <w:rPr>
                <w:rFonts w:ascii="Times New Roman" w:hAnsi="Times New Roman" w:cs="Times New Roman"/>
                <w:b w:val="0"/>
                <w:noProof/>
                <w:sz w:val="24"/>
              </w:rPr>
              <w:t xml:space="preserve"> million for the period 2025-2040.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Environmental impacts:</w:t>
            </w:r>
          </w:p>
          <w:p w:rsidR="00BB3B05" w:rsidRPr="009B5734" w:rsidRDefault="00BB3B05" w:rsidP="00BB3B05">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Climate change: </w:t>
            </w:r>
          </w:p>
          <w:p w:rsidR="00BB3B05" w:rsidRPr="009B5734" w:rsidRDefault="00BB3B05" w:rsidP="00BB3B05">
            <w:pPr>
              <w:pStyle w:val="BodyText"/>
              <w:spacing w:before="0" w:after="0"/>
              <w:ind w:left="0" w:firstLine="0"/>
              <w:rPr>
                <w:rFonts w:ascii="Times New Roman" w:hAnsi="Times New Roman"/>
                <w:b w:val="0"/>
                <w:noProof/>
                <w:sz w:val="24"/>
              </w:rPr>
            </w:pPr>
            <w:r w:rsidRPr="009B5734">
              <w:rPr>
                <w:rFonts w:ascii="Times New Roman" w:hAnsi="Times New Roman"/>
                <w:b w:val="0"/>
                <w:noProof/>
                <w:sz w:val="24"/>
              </w:rPr>
              <w:t xml:space="preserve">The climate change impact is expected to be similar to those estimated for option 2.3.B. </w:t>
            </w:r>
          </w:p>
          <w:p w:rsidR="00EA45F9" w:rsidRPr="009B5734" w:rsidRDefault="00BB3B05" w:rsidP="00BB3B05">
            <w:pPr>
              <w:ind w:left="0" w:firstLine="0"/>
              <w:rPr>
                <w:rFonts w:ascii="Times New Roman" w:hAnsi="Times New Roman" w:cs="Times New Roman"/>
                <w:noProof/>
                <w:sz w:val="24"/>
              </w:rPr>
            </w:pPr>
            <w:r w:rsidRPr="009B5734">
              <w:rPr>
                <w:rFonts w:ascii="Times New Roman" w:hAnsi="Times New Roman" w:cs="Times New Roman"/>
                <w:noProof/>
                <w:sz w:val="24"/>
              </w:rPr>
              <w:t xml:space="preserve">Other environmental impacts change. </w:t>
            </w:r>
            <w:r w:rsidRPr="009B5734">
              <w:rPr>
                <w:rFonts w:ascii="Times New Roman" w:hAnsi="Times New Roman" w:cs="Times New Roman"/>
                <w:b w:val="0"/>
                <w:noProof/>
                <w:sz w:val="24"/>
                <w:szCs w:val="24"/>
              </w:rPr>
              <w:t>The other environmental impacts are expected to be similar to the ones of option 2.3.B. (7/10)</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Coherence: </w:t>
            </w:r>
            <w:r w:rsidRPr="009B5734">
              <w:rPr>
                <w:rFonts w:ascii="Times New Roman" w:hAnsi="Times New Roman" w:cs="Times New Roman"/>
                <w:b w:val="0"/>
                <w:noProof/>
                <w:sz w:val="24"/>
              </w:rPr>
              <w:t>No issue of coherence identified. (8/10)</w:t>
            </w:r>
            <w:r w:rsidRPr="009B5734">
              <w:rPr>
                <w:rFonts w:ascii="Times New Roman" w:hAnsi="Times New Roman" w:cs="Times New Roman"/>
                <w:noProof/>
                <w:sz w:val="24"/>
              </w:rPr>
              <w:t xml:space="preserve"> </w:t>
            </w:r>
            <w:r w:rsidRPr="009B5734">
              <w:rPr>
                <w:rFonts w:ascii="Times New Roman" w:hAnsi="Times New Roman" w:cs="Times New Roman"/>
                <w:b w:val="0"/>
                <w:noProof/>
                <w:sz w:val="24"/>
              </w:rPr>
              <w:t xml:space="preserve"> </w:t>
            </w:r>
          </w:p>
        </w:tc>
      </w:tr>
      <w:tr w:rsidR="00EA45F9" w:rsidRPr="009B5734" w:rsidTr="00C84A99">
        <w:tc>
          <w:tcPr>
            <w:cnfStyle w:val="001000000000" w:firstRow="0" w:lastRow="0" w:firstColumn="1" w:lastColumn="0" w:oddVBand="0" w:evenVBand="0" w:oddHBand="0" w:evenHBand="0" w:firstRowFirstColumn="0" w:firstRowLastColumn="0" w:lastRowFirstColumn="0" w:lastRowLastColumn="0"/>
            <w:tcW w:w="8755"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EA45F9" w:rsidRPr="009B5734" w:rsidRDefault="00EA45F9" w:rsidP="00981615">
            <w:pPr>
              <w:spacing w:after="120"/>
              <w:ind w:left="0" w:firstLine="0"/>
              <w:rPr>
                <w:rFonts w:ascii="Times New Roman" w:hAnsi="Times New Roman" w:cs="Times New Roman"/>
                <w:noProof/>
                <w:sz w:val="24"/>
              </w:rPr>
            </w:pPr>
            <w:r w:rsidRPr="009B5734">
              <w:rPr>
                <w:rFonts w:ascii="Times New Roman" w:hAnsi="Times New Roman" w:cs="Times New Roman"/>
                <w:noProof/>
                <w:sz w:val="24"/>
              </w:rPr>
              <w:t>Overarching impacts:</w:t>
            </w:r>
          </w:p>
          <w:p w:rsidR="00D645E9" w:rsidRPr="009B5734" w:rsidRDefault="00D645E9" w:rsidP="00D645E9">
            <w:pPr>
              <w:ind w:left="0" w:firstLine="0"/>
              <w:rPr>
                <w:rFonts w:ascii="Times New Roman" w:hAnsi="Times New Roman" w:cs="Times New Roman"/>
                <w:b w:val="0"/>
                <w:noProof/>
                <w:sz w:val="24"/>
              </w:rPr>
            </w:pPr>
            <w:r w:rsidRPr="009B5734">
              <w:rPr>
                <w:rFonts w:ascii="Times New Roman" w:hAnsi="Times New Roman" w:cs="Times New Roman"/>
                <w:noProof/>
                <w:sz w:val="24"/>
              </w:rPr>
              <w:t xml:space="preserve">Circularity and sustainable consumption: </w:t>
            </w:r>
            <w:r w:rsidRPr="009B5734">
              <w:rPr>
                <w:rFonts w:ascii="Times New Roman" w:hAnsi="Times New Roman" w:cs="Times New Roman"/>
                <w:b w:val="0"/>
                <w:noProof/>
                <w:sz w:val="24"/>
              </w:rPr>
              <w:t>The impact on circularity and consumption of sustainable products is expected to be more positive than that of option 2.3.B. (7/10)</w:t>
            </w:r>
          </w:p>
          <w:p w:rsidR="00EA45F9" w:rsidRPr="009B5734" w:rsidRDefault="00D645E9" w:rsidP="00981615">
            <w:pPr>
              <w:ind w:left="0" w:firstLine="0"/>
              <w:rPr>
                <w:rFonts w:ascii="Times New Roman" w:hAnsi="Times New Roman" w:cs="Times New Roman"/>
                <w:noProof/>
                <w:sz w:val="24"/>
              </w:rPr>
            </w:pPr>
            <w:r w:rsidRPr="009B5734">
              <w:rPr>
                <w:rFonts w:ascii="Times New Roman" w:hAnsi="Times New Roman" w:cs="Times New Roman"/>
                <w:noProof/>
                <w:sz w:val="24"/>
              </w:rPr>
              <w:t xml:space="preserve">Application of the EU legal consumer framework: </w:t>
            </w:r>
            <w:r w:rsidRPr="009B5734">
              <w:rPr>
                <w:rFonts w:ascii="Times New Roman" w:hAnsi="Times New Roman" w:cs="Times New Roman"/>
                <w:b w:val="0"/>
                <w:noProof/>
                <w:sz w:val="24"/>
              </w:rPr>
              <w:t>This option will have a positive impact on ensuring a better and coherent application of the EU legal consumer framework, in particular of the UCPD. (8/10)</w:t>
            </w:r>
          </w:p>
        </w:tc>
      </w:tr>
    </w:tbl>
    <w:p w:rsidR="00EA45F9" w:rsidRPr="009B5734" w:rsidRDefault="00EA45F9" w:rsidP="00EA45F9">
      <w:pPr>
        <w:ind w:left="0" w:firstLine="0"/>
        <w:rPr>
          <w:noProof/>
        </w:rPr>
      </w:pPr>
    </w:p>
    <w:p w:rsidR="00EA45F9" w:rsidRPr="004931D3" w:rsidRDefault="00EA45F9">
      <w:pPr>
        <w:pStyle w:val="Heading5"/>
        <w:rPr>
          <w:rFonts w:ascii="Times New Roman" w:hAnsi="Times New Roman" w:cs="Times New Roman"/>
          <w:i w:val="0"/>
          <w:noProof/>
          <w:sz w:val="24"/>
        </w:rPr>
      </w:pPr>
      <w:bookmarkStart w:id="737" w:name="_Toc75441017"/>
      <w:bookmarkStart w:id="738" w:name="_Toc75447016"/>
      <w:bookmarkStart w:id="739" w:name="_Toc75448889"/>
      <w:bookmarkStart w:id="740" w:name="_Ref59616197"/>
      <w:bookmarkStart w:id="741" w:name="_Toc60734127"/>
      <w:r w:rsidRPr="6B053803">
        <w:rPr>
          <w:rFonts w:ascii="Times New Roman" w:hAnsi="Times New Roman" w:cs="Times New Roman"/>
          <w:i w:val="0"/>
          <w:noProof/>
          <w:sz w:val="24"/>
        </w:rPr>
        <w:t>Recap of the assessment</w:t>
      </w:r>
      <w:bookmarkEnd w:id="737"/>
      <w:bookmarkEnd w:id="738"/>
      <w:bookmarkEnd w:id="739"/>
    </w:p>
    <w:tbl>
      <w:tblPr>
        <w:tblStyle w:val="GridTable4-Accent3"/>
        <w:tblW w:w="8441" w:type="dxa"/>
        <w:tblLook w:val="04A0" w:firstRow="1" w:lastRow="0" w:firstColumn="1" w:lastColumn="0" w:noHBand="0" w:noVBand="1"/>
      </w:tblPr>
      <w:tblGrid>
        <w:gridCol w:w="1763"/>
        <w:gridCol w:w="2071"/>
        <w:gridCol w:w="1482"/>
        <w:gridCol w:w="1603"/>
        <w:gridCol w:w="1522"/>
      </w:tblGrid>
      <w:tr w:rsidR="00EA45F9" w:rsidRPr="009B5734" w:rsidTr="00C84A99">
        <w:trPr>
          <w:cnfStyle w:val="100000000000" w:firstRow="1" w:lastRow="0" w:firstColumn="0" w:lastColumn="0" w:oddVBand="0" w:evenVBand="0" w:oddHBand="0" w:evenHBand="0"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3834" w:type="dxa"/>
            <w:gridSpan w:val="2"/>
            <w:shd w:val="clear" w:color="auto" w:fill="F79646" w:themeFill="accent6"/>
            <w:vAlign w:val="center"/>
          </w:tcPr>
          <w:p w:rsidR="00EA45F9" w:rsidRPr="009B5734" w:rsidRDefault="00EA45F9" w:rsidP="00981615">
            <w:pPr>
              <w:pStyle w:val="Text2"/>
              <w:spacing w:after="0"/>
              <w:ind w:left="0" w:firstLine="0"/>
              <w:jc w:val="center"/>
              <w:rPr>
                <w:noProof/>
              </w:rPr>
            </w:pPr>
            <w:r w:rsidRPr="009B5734">
              <w:rPr>
                <w:noProof/>
              </w:rPr>
              <w:t>Criteria and sub-criteria</w:t>
            </w:r>
          </w:p>
        </w:tc>
        <w:tc>
          <w:tcPr>
            <w:tcW w:w="1482" w:type="dxa"/>
            <w:shd w:val="clear" w:color="auto" w:fill="F79646" w:themeFill="accent6"/>
            <w:vAlign w:val="center"/>
          </w:tcPr>
          <w:p w:rsidR="00EA45F9" w:rsidRPr="009B5734" w:rsidRDefault="00EA45F9" w:rsidP="00981615">
            <w:pPr>
              <w:pStyle w:val="Text2"/>
              <w:spacing w:after="0"/>
              <w:ind w:left="0" w:firstLine="0"/>
              <w:jc w:val="center"/>
              <w:cnfStyle w:val="100000000000" w:firstRow="1" w:lastRow="0" w:firstColumn="0" w:lastColumn="0" w:oddVBand="0" w:evenVBand="0" w:oddHBand="0" w:evenHBand="0" w:firstRowFirstColumn="0" w:firstRowLastColumn="0" w:lastRowFirstColumn="0" w:lastRowLastColumn="0"/>
              <w:rPr>
                <w:noProof/>
              </w:rPr>
            </w:pPr>
            <w:r w:rsidRPr="009B5734">
              <w:rPr>
                <w:noProof/>
              </w:rPr>
              <w:t xml:space="preserve">Option 2.3.A </w:t>
            </w:r>
          </w:p>
          <w:p w:rsidR="00821C27" w:rsidRPr="009B5734" w:rsidRDefault="00821C27" w:rsidP="00981615">
            <w:pPr>
              <w:pStyle w:val="Text2"/>
              <w:spacing w:after="0"/>
              <w:ind w:left="0" w:firstLine="0"/>
              <w:jc w:val="center"/>
              <w:cnfStyle w:val="100000000000" w:firstRow="1" w:lastRow="0" w:firstColumn="0" w:lastColumn="0" w:oddVBand="0" w:evenVBand="0" w:oddHBand="0" w:evenHBand="0" w:firstRowFirstColumn="0" w:firstRowLastColumn="0" w:lastRowFirstColumn="0" w:lastRowLastColumn="0"/>
              <w:rPr>
                <w:noProof/>
              </w:rPr>
            </w:pPr>
            <w:r w:rsidRPr="009B5734">
              <w:rPr>
                <w:noProof/>
                <w:sz w:val="22"/>
                <w:szCs w:val="22"/>
              </w:rPr>
              <w:t>Development of principles promoting the transparency and credibility of  sustainability labels and digital information tools for voluntary uptake</w:t>
            </w:r>
          </w:p>
        </w:tc>
        <w:tc>
          <w:tcPr>
            <w:tcW w:w="1603" w:type="dxa"/>
            <w:shd w:val="clear" w:color="auto" w:fill="F79646" w:themeFill="accent6"/>
            <w:vAlign w:val="center"/>
          </w:tcPr>
          <w:p w:rsidR="00EA45F9" w:rsidRPr="009B5734" w:rsidRDefault="00EA45F9" w:rsidP="00981615">
            <w:pPr>
              <w:pStyle w:val="Text2"/>
              <w:spacing w:after="0"/>
              <w:ind w:left="0" w:firstLine="0"/>
              <w:jc w:val="center"/>
              <w:cnfStyle w:val="100000000000" w:firstRow="1" w:lastRow="0" w:firstColumn="0" w:lastColumn="0" w:oddVBand="0" w:evenVBand="0" w:oddHBand="0" w:evenHBand="0" w:firstRowFirstColumn="0" w:firstRowLastColumn="0" w:lastRowFirstColumn="0" w:lastRowLastColumn="0"/>
              <w:rPr>
                <w:noProof/>
              </w:rPr>
            </w:pPr>
            <w:r w:rsidRPr="009B5734">
              <w:rPr>
                <w:noProof/>
              </w:rPr>
              <w:t>Option 2.3.B</w:t>
            </w:r>
          </w:p>
          <w:p w:rsidR="00EA45F9" w:rsidRPr="009B5734" w:rsidRDefault="00EA45F9" w:rsidP="00981615">
            <w:pPr>
              <w:pStyle w:val="Text2"/>
              <w:spacing w:after="0"/>
              <w:ind w:left="0" w:firstLine="0"/>
              <w:jc w:val="center"/>
              <w:cnfStyle w:val="100000000000" w:firstRow="1" w:lastRow="0" w:firstColumn="0" w:lastColumn="0" w:oddVBand="0" w:evenVBand="0" w:oddHBand="0" w:evenHBand="0" w:firstRowFirstColumn="0" w:firstRowLastColumn="0" w:lastRowFirstColumn="0" w:lastRowLastColumn="0"/>
              <w:rPr>
                <w:noProof/>
              </w:rPr>
            </w:pPr>
          </w:p>
          <w:p w:rsidR="00821C27" w:rsidRPr="009B5734" w:rsidRDefault="00821C27" w:rsidP="00981615">
            <w:pPr>
              <w:pStyle w:val="Text2"/>
              <w:spacing w:after="0"/>
              <w:ind w:left="0" w:firstLine="0"/>
              <w:jc w:val="center"/>
              <w:cnfStyle w:val="100000000000" w:firstRow="1" w:lastRow="0" w:firstColumn="0" w:lastColumn="0" w:oddVBand="0" w:evenVBand="0" w:oddHBand="0" w:evenHBand="0" w:firstRowFirstColumn="0" w:firstRowLastColumn="0" w:lastRowFirstColumn="0" w:lastRowLastColumn="0"/>
              <w:rPr>
                <w:noProof/>
              </w:rPr>
            </w:pPr>
            <w:r w:rsidRPr="009B5734">
              <w:rPr>
                <w:noProof/>
                <w:sz w:val="22"/>
                <w:szCs w:val="22"/>
              </w:rPr>
              <w:t xml:space="preserve">Prohibition of sustainability labels and digital information tools not meeting minimum transparency and credibility requirements  </w:t>
            </w:r>
          </w:p>
        </w:tc>
        <w:tc>
          <w:tcPr>
            <w:tcW w:w="1522" w:type="dxa"/>
            <w:shd w:val="clear" w:color="auto" w:fill="F79646" w:themeFill="accent6"/>
            <w:vAlign w:val="center"/>
          </w:tcPr>
          <w:p w:rsidR="00EA45F9" w:rsidRPr="009B5734" w:rsidRDefault="00EA45F9" w:rsidP="00981615">
            <w:pPr>
              <w:pStyle w:val="Text2"/>
              <w:spacing w:after="0"/>
              <w:ind w:left="0" w:firstLine="0"/>
              <w:jc w:val="center"/>
              <w:cnfStyle w:val="100000000000" w:firstRow="1" w:lastRow="0" w:firstColumn="0" w:lastColumn="0" w:oddVBand="0" w:evenVBand="0" w:oddHBand="0" w:evenHBand="0" w:firstRowFirstColumn="0" w:firstRowLastColumn="0" w:lastRowFirstColumn="0" w:lastRowLastColumn="0"/>
              <w:rPr>
                <w:noProof/>
              </w:rPr>
            </w:pPr>
            <w:r w:rsidRPr="009B5734">
              <w:rPr>
                <w:noProof/>
              </w:rPr>
              <w:t>Option 2.3.C</w:t>
            </w:r>
          </w:p>
          <w:p w:rsidR="00821C27" w:rsidRPr="009B5734" w:rsidRDefault="00821C27" w:rsidP="00981615">
            <w:pPr>
              <w:pStyle w:val="Text2"/>
              <w:spacing w:after="0"/>
              <w:ind w:left="0" w:firstLine="0"/>
              <w:jc w:val="center"/>
              <w:cnfStyle w:val="100000000000" w:firstRow="1" w:lastRow="0" w:firstColumn="0" w:lastColumn="0" w:oddVBand="0" w:evenVBand="0" w:oddHBand="0" w:evenHBand="0" w:firstRowFirstColumn="0" w:firstRowLastColumn="0" w:lastRowFirstColumn="0" w:lastRowLastColumn="0"/>
              <w:rPr>
                <w:noProof/>
              </w:rPr>
            </w:pPr>
            <w:r w:rsidRPr="009B5734">
              <w:rPr>
                <w:noProof/>
                <w:sz w:val="22"/>
                <w:szCs w:val="22"/>
              </w:rPr>
              <w:t>Pre-approval of sustainability labels and digital information tools via an EU body</w:t>
            </w:r>
          </w:p>
          <w:p w:rsidR="00EA45F9" w:rsidRPr="009B5734" w:rsidRDefault="00EA45F9" w:rsidP="00981615">
            <w:pPr>
              <w:pStyle w:val="Text2"/>
              <w:spacing w:after="0"/>
              <w:ind w:left="0" w:firstLine="0"/>
              <w:jc w:val="center"/>
              <w:cnfStyle w:val="100000000000" w:firstRow="1" w:lastRow="0" w:firstColumn="0" w:lastColumn="0" w:oddVBand="0" w:evenVBand="0" w:oddHBand="0" w:evenHBand="0" w:firstRowFirstColumn="0" w:firstRowLastColumn="0" w:lastRowFirstColumn="0" w:lastRowLastColumn="0"/>
              <w:rPr>
                <w:noProof/>
              </w:rPr>
            </w:pP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763" w:type="dxa"/>
            <w:vMerge w:val="restart"/>
            <w:shd w:val="clear" w:color="auto" w:fill="auto"/>
          </w:tcPr>
          <w:p w:rsidR="00EA45F9" w:rsidRPr="009B5734" w:rsidRDefault="00EA45F9" w:rsidP="00981615">
            <w:pPr>
              <w:pStyle w:val="Text2"/>
              <w:ind w:left="0" w:firstLine="0"/>
              <w:rPr>
                <w:noProof/>
              </w:rPr>
            </w:pPr>
            <w:r w:rsidRPr="009B5734">
              <w:rPr>
                <w:noProof/>
              </w:rPr>
              <w:t>Impact on consumers</w:t>
            </w:r>
          </w:p>
        </w:tc>
        <w:tc>
          <w:tcPr>
            <w:tcW w:w="2071"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Quality of consumer decision-making</w:t>
            </w:r>
          </w:p>
        </w:tc>
        <w:tc>
          <w:tcPr>
            <w:tcW w:w="1482"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5/10</w:t>
            </w:r>
          </w:p>
        </w:tc>
        <w:tc>
          <w:tcPr>
            <w:tcW w:w="1603"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8/10</w:t>
            </w:r>
          </w:p>
        </w:tc>
        <w:tc>
          <w:tcPr>
            <w:tcW w:w="1522" w:type="dxa"/>
            <w:shd w:val="clear" w:color="auto" w:fill="auto"/>
            <w:vAlign w:val="center"/>
          </w:tcPr>
          <w:p w:rsidR="00EA45F9" w:rsidRPr="009B5734" w:rsidRDefault="00225E72"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8</w:t>
            </w:r>
            <w:r w:rsidR="00EA45F9" w:rsidRPr="009B5734">
              <w:rPr>
                <w:noProof/>
              </w:rPr>
              <w:t>/10</w:t>
            </w:r>
          </w:p>
        </w:tc>
      </w:tr>
      <w:tr w:rsidR="00EA45F9" w:rsidRPr="009B5734" w:rsidTr="00C84A99">
        <w:trPr>
          <w:trHeight w:val="468"/>
        </w:trPr>
        <w:tc>
          <w:tcPr>
            <w:cnfStyle w:val="001000000000" w:firstRow="0" w:lastRow="0" w:firstColumn="1" w:lastColumn="0" w:oddVBand="0" w:evenVBand="0" w:oddHBand="0" w:evenHBand="0" w:firstRowFirstColumn="0" w:firstRowLastColumn="0" w:lastRowFirstColumn="0" w:lastRowLastColumn="0"/>
            <w:tcW w:w="1763" w:type="dxa"/>
            <w:vMerge/>
            <w:shd w:val="clear" w:color="auto" w:fill="auto"/>
          </w:tcPr>
          <w:p w:rsidR="00EA45F9" w:rsidRPr="009B5734" w:rsidRDefault="00EA45F9" w:rsidP="00981615">
            <w:pPr>
              <w:pStyle w:val="Text2"/>
              <w:ind w:left="0" w:firstLine="0"/>
              <w:rPr>
                <w:noProof/>
              </w:rPr>
            </w:pPr>
          </w:p>
        </w:tc>
        <w:tc>
          <w:tcPr>
            <w:tcW w:w="2071"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Consumer protection</w:t>
            </w:r>
          </w:p>
        </w:tc>
        <w:tc>
          <w:tcPr>
            <w:tcW w:w="1482"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5/10</w:t>
            </w:r>
          </w:p>
        </w:tc>
        <w:tc>
          <w:tcPr>
            <w:tcW w:w="1603"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8/10</w:t>
            </w:r>
          </w:p>
        </w:tc>
        <w:tc>
          <w:tcPr>
            <w:tcW w:w="1522" w:type="dxa"/>
            <w:shd w:val="clear" w:color="auto" w:fill="auto"/>
            <w:vAlign w:val="center"/>
          </w:tcPr>
          <w:p w:rsidR="00EA45F9" w:rsidRPr="009B5734" w:rsidRDefault="00225E72"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9</w:t>
            </w:r>
            <w:r w:rsidR="00EA45F9" w:rsidRPr="009B5734">
              <w:rPr>
                <w:noProof/>
              </w:rPr>
              <w:t>/10</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763" w:type="dxa"/>
            <w:vMerge/>
            <w:shd w:val="clear" w:color="auto" w:fill="auto"/>
          </w:tcPr>
          <w:p w:rsidR="00EA45F9" w:rsidRPr="009B5734" w:rsidRDefault="00EA45F9" w:rsidP="00981615">
            <w:pPr>
              <w:pStyle w:val="Text2"/>
              <w:ind w:left="0" w:firstLine="0"/>
              <w:rPr>
                <w:noProof/>
              </w:rPr>
            </w:pPr>
          </w:p>
        </w:tc>
        <w:tc>
          <w:tcPr>
            <w:tcW w:w="2071"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Consumer trust</w:t>
            </w:r>
          </w:p>
        </w:tc>
        <w:tc>
          <w:tcPr>
            <w:tcW w:w="1482"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5/10</w:t>
            </w:r>
          </w:p>
        </w:tc>
        <w:tc>
          <w:tcPr>
            <w:tcW w:w="1603"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8/10</w:t>
            </w:r>
          </w:p>
        </w:tc>
        <w:tc>
          <w:tcPr>
            <w:tcW w:w="1522"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8/10</w:t>
            </w:r>
          </w:p>
        </w:tc>
      </w:tr>
      <w:tr w:rsidR="00EA45F9" w:rsidRPr="009B5734" w:rsidTr="00C84A99">
        <w:trPr>
          <w:trHeight w:val="483"/>
        </w:trPr>
        <w:tc>
          <w:tcPr>
            <w:cnfStyle w:val="001000000000" w:firstRow="0" w:lastRow="0" w:firstColumn="1" w:lastColumn="0" w:oddVBand="0" w:evenVBand="0" w:oddHBand="0" w:evenHBand="0" w:firstRowFirstColumn="0" w:firstRowLastColumn="0" w:lastRowFirstColumn="0" w:lastRowLastColumn="0"/>
            <w:tcW w:w="1763" w:type="dxa"/>
            <w:vMerge/>
            <w:shd w:val="clear" w:color="auto" w:fill="auto"/>
          </w:tcPr>
          <w:p w:rsidR="00EA45F9" w:rsidRPr="009B5734" w:rsidRDefault="00EA45F9" w:rsidP="00981615">
            <w:pPr>
              <w:pStyle w:val="Text2"/>
              <w:ind w:left="0" w:firstLine="0"/>
              <w:rPr>
                <w:noProof/>
              </w:rPr>
            </w:pPr>
          </w:p>
        </w:tc>
        <w:tc>
          <w:tcPr>
            <w:tcW w:w="2071"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Monetisable consumer welfare (present value for period 2025-2040)</w:t>
            </w:r>
          </w:p>
        </w:tc>
        <w:tc>
          <w:tcPr>
            <w:tcW w:w="1482"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5/10</w:t>
            </w:r>
          </w:p>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(EUR 0)</w:t>
            </w:r>
          </w:p>
        </w:tc>
        <w:tc>
          <w:tcPr>
            <w:tcW w:w="1603" w:type="dxa"/>
            <w:shd w:val="clear" w:color="auto" w:fill="auto"/>
            <w:vAlign w:val="center"/>
          </w:tcPr>
          <w:p w:rsidR="00EA45F9" w:rsidRPr="009B5734" w:rsidRDefault="009616EE"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9</w:t>
            </w:r>
            <w:r w:rsidR="00EA45F9" w:rsidRPr="009B5734">
              <w:rPr>
                <w:noProof/>
              </w:rPr>
              <w:t>/10</w:t>
            </w:r>
          </w:p>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 xml:space="preserve">(EUR </w:t>
            </w:r>
            <w:r w:rsidR="00225E72" w:rsidRPr="009B5734">
              <w:rPr>
                <w:noProof/>
              </w:rPr>
              <w:t xml:space="preserve">4 500 – 6 610 </w:t>
            </w:r>
            <w:r w:rsidRPr="009B5734">
              <w:rPr>
                <w:noProof/>
              </w:rPr>
              <w:t>million)</w:t>
            </w:r>
          </w:p>
        </w:tc>
        <w:tc>
          <w:tcPr>
            <w:tcW w:w="1522" w:type="dxa"/>
            <w:shd w:val="clear" w:color="auto" w:fill="auto"/>
            <w:vAlign w:val="center"/>
          </w:tcPr>
          <w:p w:rsidR="00EA45F9" w:rsidRPr="009B5734" w:rsidRDefault="00225E72"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9</w:t>
            </w:r>
            <w:r w:rsidR="00EA45F9" w:rsidRPr="009B5734">
              <w:rPr>
                <w:noProof/>
              </w:rPr>
              <w:t>/10</w:t>
            </w:r>
          </w:p>
          <w:p w:rsidR="00EA45F9" w:rsidRPr="009B5734" w:rsidRDefault="00225E72"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(EUR 4 500 – 6 610 million)</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763" w:type="dxa"/>
            <w:vMerge w:val="restart"/>
            <w:shd w:val="clear" w:color="auto" w:fill="auto"/>
          </w:tcPr>
          <w:p w:rsidR="00EA45F9" w:rsidRPr="009B5734" w:rsidRDefault="00EA45F9" w:rsidP="00981615">
            <w:pPr>
              <w:pStyle w:val="Text2"/>
              <w:ind w:left="0" w:firstLine="0"/>
              <w:rPr>
                <w:noProof/>
              </w:rPr>
            </w:pPr>
            <w:r w:rsidRPr="009B5734">
              <w:rPr>
                <w:noProof/>
              </w:rPr>
              <w:t>Impact on businesses</w:t>
            </w:r>
          </w:p>
        </w:tc>
        <w:tc>
          <w:tcPr>
            <w:tcW w:w="2071"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Level-playing field</w:t>
            </w:r>
          </w:p>
        </w:tc>
        <w:tc>
          <w:tcPr>
            <w:tcW w:w="1482"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5/10</w:t>
            </w:r>
          </w:p>
        </w:tc>
        <w:tc>
          <w:tcPr>
            <w:tcW w:w="1603"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8/10</w:t>
            </w:r>
          </w:p>
        </w:tc>
        <w:tc>
          <w:tcPr>
            <w:tcW w:w="1522"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8/10</w:t>
            </w:r>
          </w:p>
        </w:tc>
      </w:tr>
      <w:tr w:rsidR="00EA45F9" w:rsidRPr="009B5734" w:rsidTr="00C84A99">
        <w:trPr>
          <w:trHeight w:val="468"/>
        </w:trPr>
        <w:tc>
          <w:tcPr>
            <w:cnfStyle w:val="001000000000" w:firstRow="0" w:lastRow="0" w:firstColumn="1" w:lastColumn="0" w:oddVBand="0" w:evenVBand="0" w:oddHBand="0" w:evenHBand="0" w:firstRowFirstColumn="0" w:firstRowLastColumn="0" w:lastRowFirstColumn="0" w:lastRowLastColumn="0"/>
            <w:tcW w:w="1763" w:type="dxa"/>
            <w:vMerge/>
            <w:shd w:val="clear" w:color="auto" w:fill="auto"/>
          </w:tcPr>
          <w:p w:rsidR="00EA45F9" w:rsidRPr="009B5734" w:rsidRDefault="00EA45F9" w:rsidP="00981615">
            <w:pPr>
              <w:pStyle w:val="Text2"/>
              <w:ind w:left="0" w:firstLine="0"/>
              <w:rPr>
                <w:noProof/>
              </w:rPr>
            </w:pPr>
          </w:p>
        </w:tc>
        <w:tc>
          <w:tcPr>
            <w:tcW w:w="2071"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Reduction of barriers to cross-border trade</w:t>
            </w:r>
          </w:p>
        </w:tc>
        <w:tc>
          <w:tcPr>
            <w:tcW w:w="1482"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5/10</w:t>
            </w:r>
          </w:p>
        </w:tc>
        <w:tc>
          <w:tcPr>
            <w:tcW w:w="1603"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8/10</w:t>
            </w:r>
          </w:p>
        </w:tc>
        <w:tc>
          <w:tcPr>
            <w:tcW w:w="1522" w:type="dxa"/>
            <w:shd w:val="clear" w:color="auto" w:fill="auto"/>
            <w:vAlign w:val="center"/>
          </w:tcPr>
          <w:p w:rsidR="00EA45F9" w:rsidRPr="009B5734" w:rsidRDefault="00225E72"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8</w:t>
            </w:r>
            <w:r w:rsidR="00EA45F9" w:rsidRPr="009B5734">
              <w:rPr>
                <w:noProof/>
              </w:rPr>
              <w:t>/10</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763" w:type="dxa"/>
            <w:vMerge/>
            <w:shd w:val="clear" w:color="auto" w:fill="auto"/>
          </w:tcPr>
          <w:p w:rsidR="00EA45F9" w:rsidRPr="009B5734" w:rsidRDefault="00EA45F9" w:rsidP="00981615">
            <w:pPr>
              <w:pStyle w:val="Text2"/>
              <w:ind w:left="0" w:firstLine="0"/>
              <w:rPr>
                <w:noProof/>
              </w:rPr>
            </w:pPr>
          </w:p>
        </w:tc>
        <w:tc>
          <w:tcPr>
            <w:tcW w:w="2071"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Administrative burdens (present value for period 2025-2040)</w:t>
            </w:r>
          </w:p>
        </w:tc>
        <w:tc>
          <w:tcPr>
            <w:tcW w:w="1482"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EUR 0</w:t>
            </w:r>
          </w:p>
        </w:tc>
        <w:tc>
          <w:tcPr>
            <w:tcW w:w="1603"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EUR 600 – 625 million</w:t>
            </w:r>
          </w:p>
        </w:tc>
        <w:tc>
          <w:tcPr>
            <w:tcW w:w="1522" w:type="dxa"/>
            <w:shd w:val="clear" w:color="auto" w:fill="auto"/>
            <w:vAlign w:val="center"/>
          </w:tcPr>
          <w:p w:rsidR="00EA45F9" w:rsidRPr="009B5734" w:rsidRDefault="00225E72"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EUR 600 – 625 million</w:t>
            </w:r>
          </w:p>
        </w:tc>
      </w:tr>
      <w:tr w:rsidR="00EA45F9" w:rsidRPr="009B5734" w:rsidTr="00C84A99">
        <w:trPr>
          <w:trHeight w:val="468"/>
        </w:trPr>
        <w:tc>
          <w:tcPr>
            <w:cnfStyle w:val="001000000000" w:firstRow="0" w:lastRow="0" w:firstColumn="1" w:lastColumn="0" w:oddVBand="0" w:evenVBand="0" w:oddHBand="0" w:evenHBand="0" w:firstRowFirstColumn="0" w:firstRowLastColumn="0" w:lastRowFirstColumn="0" w:lastRowLastColumn="0"/>
            <w:tcW w:w="1763" w:type="dxa"/>
            <w:vMerge/>
            <w:shd w:val="clear" w:color="auto" w:fill="auto"/>
          </w:tcPr>
          <w:p w:rsidR="00EA45F9" w:rsidRPr="009B5734" w:rsidRDefault="00EA45F9" w:rsidP="00981615">
            <w:pPr>
              <w:pStyle w:val="Text2"/>
              <w:ind w:left="0" w:firstLine="0"/>
              <w:rPr>
                <w:noProof/>
              </w:rPr>
            </w:pPr>
          </w:p>
        </w:tc>
        <w:tc>
          <w:tcPr>
            <w:tcW w:w="2071"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Substantive compliance costs (present value for period 2025-2040)</w:t>
            </w:r>
          </w:p>
        </w:tc>
        <w:tc>
          <w:tcPr>
            <w:tcW w:w="1482"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EUR 0</w:t>
            </w:r>
          </w:p>
        </w:tc>
        <w:tc>
          <w:tcPr>
            <w:tcW w:w="1603"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 xml:space="preserve">EUR </w:t>
            </w:r>
            <w:r w:rsidR="0022490C" w:rsidRPr="009B5734">
              <w:rPr>
                <w:noProof/>
              </w:rPr>
              <w:t xml:space="preserve">3 025 - 3 500 </w:t>
            </w:r>
            <w:r w:rsidRPr="009B5734" w:rsidDel="002F2577">
              <w:rPr>
                <w:noProof/>
              </w:rPr>
              <w:t>million</w:t>
            </w:r>
          </w:p>
        </w:tc>
        <w:tc>
          <w:tcPr>
            <w:tcW w:w="1522" w:type="dxa"/>
            <w:shd w:val="clear" w:color="auto" w:fill="auto"/>
            <w:vAlign w:val="center"/>
          </w:tcPr>
          <w:p w:rsidR="00EA45F9" w:rsidRPr="009B5734" w:rsidRDefault="006E3D3A"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 xml:space="preserve">EUR 3 120 - 3 580 </w:t>
            </w:r>
            <w:r w:rsidRPr="009B5734" w:rsidDel="002F2577">
              <w:rPr>
                <w:noProof/>
              </w:rPr>
              <w:t>million</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763" w:type="dxa"/>
            <w:vMerge/>
            <w:shd w:val="clear" w:color="auto" w:fill="auto"/>
          </w:tcPr>
          <w:p w:rsidR="00EA45F9" w:rsidRPr="009B5734" w:rsidRDefault="00EA45F9" w:rsidP="00981615">
            <w:pPr>
              <w:pStyle w:val="Text2"/>
              <w:ind w:left="0" w:firstLine="0"/>
              <w:rPr>
                <w:noProof/>
              </w:rPr>
            </w:pPr>
          </w:p>
        </w:tc>
        <w:tc>
          <w:tcPr>
            <w:tcW w:w="2071"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Indirect costs</w:t>
            </w:r>
          </w:p>
        </w:tc>
        <w:tc>
          <w:tcPr>
            <w:tcW w:w="1482"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5/10</w:t>
            </w:r>
          </w:p>
        </w:tc>
        <w:tc>
          <w:tcPr>
            <w:tcW w:w="1603"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5/10</w:t>
            </w:r>
          </w:p>
        </w:tc>
        <w:tc>
          <w:tcPr>
            <w:tcW w:w="1522"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5/10</w:t>
            </w:r>
          </w:p>
        </w:tc>
      </w:tr>
      <w:tr w:rsidR="00EA45F9" w:rsidRPr="009B5734" w:rsidTr="00C84A99">
        <w:trPr>
          <w:trHeight w:val="468"/>
        </w:trPr>
        <w:tc>
          <w:tcPr>
            <w:cnfStyle w:val="001000000000" w:firstRow="0" w:lastRow="0" w:firstColumn="1" w:lastColumn="0" w:oddVBand="0" w:evenVBand="0" w:oddHBand="0" w:evenHBand="0" w:firstRowFirstColumn="0" w:firstRowLastColumn="0" w:lastRowFirstColumn="0" w:lastRowLastColumn="0"/>
            <w:tcW w:w="1763" w:type="dxa"/>
            <w:vMerge/>
            <w:shd w:val="clear" w:color="auto" w:fill="auto"/>
          </w:tcPr>
          <w:p w:rsidR="00EA45F9" w:rsidRPr="009B5734" w:rsidRDefault="00EA45F9" w:rsidP="00981615">
            <w:pPr>
              <w:pStyle w:val="Text2"/>
              <w:ind w:left="0" w:firstLine="0"/>
              <w:rPr>
                <w:noProof/>
              </w:rPr>
            </w:pPr>
          </w:p>
        </w:tc>
        <w:tc>
          <w:tcPr>
            <w:tcW w:w="2071"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SME growth</w:t>
            </w:r>
          </w:p>
        </w:tc>
        <w:tc>
          <w:tcPr>
            <w:tcW w:w="1482"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5/10</w:t>
            </w:r>
          </w:p>
        </w:tc>
        <w:tc>
          <w:tcPr>
            <w:tcW w:w="1603"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5/10</w:t>
            </w:r>
          </w:p>
        </w:tc>
        <w:tc>
          <w:tcPr>
            <w:tcW w:w="1522"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5/10</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763" w:type="dxa"/>
            <w:shd w:val="clear" w:color="auto" w:fill="auto"/>
          </w:tcPr>
          <w:p w:rsidR="00EA45F9" w:rsidRPr="009B5734" w:rsidRDefault="00EA45F9" w:rsidP="00981615">
            <w:pPr>
              <w:pStyle w:val="Text2"/>
              <w:ind w:left="0" w:firstLine="0"/>
              <w:rPr>
                <w:noProof/>
              </w:rPr>
            </w:pPr>
            <w:r w:rsidRPr="009B5734">
              <w:rPr>
                <w:noProof/>
              </w:rPr>
              <w:t>Impacts on public administration</w:t>
            </w:r>
          </w:p>
        </w:tc>
        <w:tc>
          <w:tcPr>
            <w:tcW w:w="2071"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Enforcement costs and other costs (present value for period 2025-2040)</w:t>
            </w:r>
          </w:p>
        </w:tc>
        <w:tc>
          <w:tcPr>
            <w:tcW w:w="1482"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 xml:space="preserve">EUR 0.3 </w:t>
            </w:r>
            <w:r w:rsidRPr="009B5734" w:rsidDel="00170B8F">
              <w:rPr>
                <w:noProof/>
              </w:rPr>
              <w:t>million</w:t>
            </w:r>
          </w:p>
        </w:tc>
        <w:tc>
          <w:tcPr>
            <w:tcW w:w="1603"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EUR 1</w:t>
            </w:r>
            <w:r w:rsidR="009616EE" w:rsidRPr="009B5734">
              <w:rPr>
                <w:noProof/>
              </w:rPr>
              <w:t>4</w:t>
            </w:r>
            <w:r w:rsidRPr="009B5734">
              <w:rPr>
                <w:noProof/>
              </w:rPr>
              <w:t>-1</w:t>
            </w:r>
            <w:r w:rsidR="009616EE" w:rsidRPr="009B5734">
              <w:rPr>
                <w:noProof/>
              </w:rPr>
              <w:t>5</w:t>
            </w:r>
            <w:r w:rsidRPr="009B5734">
              <w:rPr>
                <w:noProof/>
              </w:rPr>
              <w:t xml:space="preserve"> </w:t>
            </w:r>
            <w:r w:rsidRPr="009B5734" w:rsidDel="00170B8F">
              <w:rPr>
                <w:noProof/>
              </w:rPr>
              <w:t>million</w:t>
            </w:r>
          </w:p>
        </w:tc>
        <w:tc>
          <w:tcPr>
            <w:tcW w:w="1522" w:type="dxa"/>
            <w:shd w:val="clear" w:color="auto" w:fill="auto"/>
            <w:vAlign w:val="center"/>
          </w:tcPr>
          <w:p w:rsidR="00EA45F9" w:rsidRPr="009B5734" w:rsidRDefault="006E3D3A"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 xml:space="preserve">EUR 56-57 </w:t>
            </w:r>
            <w:r w:rsidRPr="009B5734" w:rsidDel="00170B8F">
              <w:rPr>
                <w:noProof/>
              </w:rPr>
              <w:t>million</w:t>
            </w:r>
          </w:p>
        </w:tc>
      </w:tr>
      <w:tr w:rsidR="00EA45F9" w:rsidRPr="009B5734" w:rsidTr="00C84A99">
        <w:trPr>
          <w:trHeight w:val="468"/>
        </w:trPr>
        <w:tc>
          <w:tcPr>
            <w:cnfStyle w:val="001000000000" w:firstRow="0" w:lastRow="0" w:firstColumn="1" w:lastColumn="0" w:oddVBand="0" w:evenVBand="0" w:oddHBand="0" w:evenHBand="0" w:firstRowFirstColumn="0" w:firstRowLastColumn="0" w:lastRowFirstColumn="0" w:lastRowLastColumn="0"/>
            <w:tcW w:w="1763" w:type="dxa"/>
            <w:vMerge w:val="restart"/>
            <w:shd w:val="clear" w:color="auto" w:fill="auto"/>
          </w:tcPr>
          <w:p w:rsidR="00EA45F9" w:rsidRPr="009B5734" w:rsidRDefault="00EA45F9" w:rsidP="00981615">
            <w:pPr>
              <w:pStyle w:val="Text2"/>
              <w:ind w:left="0" w:firstLine="0"/>
              <w:rPr>
                <w:noProof/>
              </w:rPr>
            </w:pPr>
            <w:r w:rsidRPr="009B5734">
              <w:rPr>
                <w:noProof/>
              </w:rPr>
              <w:t>Environmental impacts</w:t>
            </w:r>
          </w:p>
        </w:tc>
        <w:tc>
          <w:tcPr>
            <w:tcW w:w="2071"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Climate change (present value for period 2025-2040)</w:t>
            </w:r>
          </w:p>
        </w:tc>
        <w:tc>
          <w:tcPr>
            <w:tcW w:w="1482"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EUR 0</w:t>
            </w:r>
          </w:p>
        </w:tc>
        <w:tc>
          <w:tcPr>
            <w:tcW w:w="1603"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&gt;EUR 0</w:t>
            </w:r>
          </w:p>
        </w:tc>
        <w:tc>
          <w:tcPr>
            <w:tcW w:w="1522"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&gt;EUR 0</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763" w:type="dxa"/>
            <w:vMerge/>
            <w:shd w:val="clear" w:color="auto" w:fill="auto"/>
          </w:tcPr>
          <w:p w:rsidR="00EA45F9" w:rsidRPr="009B5734" w:rsidRDefault="00EA45F9" w:rsidP="00981615">
            <w:pPr>
              <w:pStyle w:val="Text2"/>
              <w:ind w:left="0" w:firstLine="0"/>
              <w:rPr>
                <w:noProof/>
              </w:rPr>
            </w:pPr>
          </w:p>
        </w:tc>
        <w:tc>
          <w:tcPr>
            <w:tcW w:w="2071"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Other environmental impacts</w:t>
            </w:r>
          </w:p>
        </w:tc>
        <w:tc>
          <w:tcPr>
            <w:tcW w:w="1482"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5/10</w:t>
            </w:r>
          </w:p>
        </w:tc>
        <w:tc>
          <w:tcPr>
            <w:tcW w:w="1603"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7/10</w:t>
            </w:r>
          </w:p>
        </w:tc>
        <w:tc>
          <w:tcPr>
            <w:tcW w:w="1522" w:type="dxa"/>
            <w:shd w:val="clear" w:color="auto" w:fill="auto"/>
            <w:vAlign w:val="center"/>
          </w:tcPr>
          <w:p w:rsidR="00EA45F9" w:rsidRPr="009B5734" w:rsidRDefault="00225E72"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7</w:t>
            </w:r>
            <w:r w:rsidR="00EA45F9" w:rsidRPr="009B5734">
              <w:rPr>
                <w:noProof/>
              </w:rPr>
              <w:t>/10</w:t>
            </w:r>
          </w:p>
        </w:tc>
      </w:tr>
      <w:tr w:rsidR="00EA45F9" w:rsidRPr="009B5734" w:rsidTr="00C84A99">
        <w:trPr>
          <w:trHeight w:val="468"/>
        </w:trPr>
        <w:tc>
          <w:tcPr>
            <w:cnfStyle w:val="001000000000" w:firstRow="0" w:lastRow="0" w:firstColumn="1" w:lastColumn="0" w:oddVBand="0" w:evenVBand="0" w:oddHBand="0" w:evenHBand="0" w:firstRowFirstColumn="0" w:firstRowLastColumn="0" w:lastRowFirstColumn="0" w:lastRowLastColumn="0"/>
            <w:tcW w:w="1763" w:type="dxa"/>
            <w:shd w:val="clear" w:color="auto" w:fill="auto"/>
          </w:tcPr>
          <w:p w:rsidR="00EA45F9" w:rsidRPr="009B5734" w:rsidRDefault="00EA45F9" w:rsidP="00981615">
            <w:pPr>
              <w:pStyle w:val="Text2"/>
              <w:ind w:left="0" w:firstLine="0"/>
              <w:rPr>
                <w:noProof/>
              </w:rPr>
            </w:pPr>
            <w:r w:rsidRPr="009B5734">
              <w:rPr>
                <w:noProof/>
              </w:rPr>
              <w:t>Coherence</w:t>
            </w:r>
          </w:p>
        </w:tc>
        <w:tc>
          <w:tcPr>
            <w:tcW w:w="2071"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Coherence with other EU legislation</w:t>
            </w:r>
          </w:p>
        </w:tc>
        <w:tc>
          <w:tcPr>
            <w:tcW w:w="1482"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8/10</w:t>
            </w:r>
          </w:p>
        </w:tc>
        <w:tc>
          <w:tcPr>
            <w:tcW w:w="1603"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8/10</w:t>
            </w:r>
          </w:p>
        </w:tc>
        <w:tc>
          <w:tcPr>
            <w:tcW w:w="1522"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8/10</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763" w:type="dxa"/>
            <w:vMerge w:val="restart"/>
            <w:shd w:val="clear" w:color="auto" w:fill="auto"/>
          </w:tcPr>
          <w:p w:rsidR="00EA45F9" w:rsidRPr="009B5734" w:rsidRDefault="00EA45F9" w:rsidP="00981615">
            <w:pPr>
              <w:pStyle w:val="Text2"/>
              <w:ind w:left="0" w:firstLine="0"/>
              <w:rPr>
                <w:noProof/>
              </w:rPr>
            </w:pPr>
            <w:r w:rsidRPr="009B5734">
              <w:rPr>
                <w:noProof/>
              </w:rPr>
              <w:t>Overarching impacts</w:t>
            </w:r>
          </w:p>
        </w:tc>
        <w:tc>
          <w:tcPr>
            <w:tcW w:w="2071" w:type="dxa"/>
            <w:shd w:val="clear" w:color="auto" w:fill="auto"/>
          </w:tcPr>
          <w:p w:rsidR="00EA45F9" w:rsidRPr="009B5734" w:rsidRDefault="00EA45F9" w:rsidP="00981615">
            <w:pPr>
              <w:pStyle w:val="Text2"/>
              <w:spacing w:after="0"/>
              <w:ind w:left="0" w:firstLine="0"/>
              <w:cnfStyle w:val="000000100000" w:firstRow="0" w:lastRow="0" w:firstColumn="0" w:lastColumn="0" w:oddVBand="0" w:evenVBand="0" w:oddHBand="1" w:evenHBand="0" w:firstRowFirstColumn="0" w:firstRowLastColumn="0" w:lastRowFirstColumn="0" w:lastRowLastColumn="0"/>
              <w:rPr>
                <w:noProof/>
              </w:rPr>
            </w:pPr>
            <w:r w:rsidRPr="009B5734">
              <w:rPr>
                <w:noProof/>
              </w:rPr>
              <w:t>Circularity and sustainable consumption</w:t>
            </w:r>
          </w:p>
        </w:tc>
        <w:tc>
          <w:tcPr>
            <w:tcW w:w="1482"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5/10</w:t>
            </w:r>
          </w:p>
        </w:tc>
        <w:tc>
          <w:tcPr>
            <w:tcW w:w="1603"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7/10</w:t>
            </w:r>
          </w:p>
        </w:tc>
        <w:tc>
          <w:tcPr>
            <w:tcW w:w="1522" w:type="dxa"/>
            <w:shd w:val="clear" w:color="auto" w:fill="auto"/>
            <w:vAlign w:val="center"/>
          </w:tcPr>
          <w:p w:rsidR="00EA45F9" w:rsidRPr="009B5734" w:rsidRDefault="00EA45F9" w:rsidP="00981615">
            <w:pPr>
              <w:pStyle w:val="Text2"/>
              <w:spacing w:after="0"/>
              <w:ind w:left="0" w:firstLine="0"/>
              <w:jc w:val="center"/>
              <w:cnfStyle w:val="000000100000" w:firstRow="0" w:lastRow="0" w:firstColumn="0" w:lastColumn="0" w:oddVBand="0" w:evenVBand="0" w:oddHBand="1" w:evenHBand="0" w:firstRowFirstColumn="0" w:firstRowLastColumn="0" w:lastRowFirstColumn="0" w:lastRowLastColumn="0"/>
              <w:rPr>
                <w:noProof/>
              </w:rPr>
            </w:pPr>
            <w:r w:rsidRPr="009B5734">
              <w:rPr>
                <w:noProof/>
              </w:rPr>
              <w:t>7/10</w:t>
            </w:r>
          </w:p>
        </w:tc>
      </w:tr>
      <w:tr w:rsidR="00EA45F9" w:rsidRPr="009B5734" w:rsidTr="00C84A99">
        <w:trPr>
          <w:trHeight w:val="468"/>
        </w:trPr>
        <w:tc>
          <w:tcPr>
            <w:cnfStyle w:val="001000000000" w:firstRow="0" w:lastRow="0" w:firstColumn="1" w:lastColumn="0" w:oddVBand="0" w:evenVBand="0" w:oddHBand="0" w:evenHBand="0" w:firstRowFirstColumn="0" w:firstRowLastColumn="0" w:lastRowFirstColumn="0" w:lastRowLastColumn="0"/>
            <w:tcW w:w="1763" w:type="dxa"/>
            <w:vMerge/>
            <w:shd w:val="clear" w:color="auto" w:fill="auto"/>
          </w:tcPr>
          <w:p w:rsidR="00EA45F9" w:rsidRPr="009B5734" w:rsidRDefault="00EA45F9" w:rsidP="00981615">
            <w:pPr>
              <w:pStyle w:val="Text2"/>
              <w:ind w:left="0" w:firstLine="0"/>
              <w:rPr>
                <w:noProof/>
              </w:rPr>
            </w:pPr>
          </w:p>
        </w:tc>
        <w:tc>
          <w:tcPr>
            <w:tcW w:w="2071" w:type="dxa"/>
            <w:shd w:val="clear" w:color="auto" w:fill="auto"/>
          </w:tcPr>
          <w:p w:rsidR="00EA45F9" w:rsidRPr="009B5734" w:rsidRDefault="00EA45F9" w:rsidP="00981615">
            <w:pPr>
              <w:pStyle w:val="Text2"/>
              <w:spacing w:after="0"/>
              <w:ind w:left="0" w:firstLine="0"/>
              <w:cnfStyle w:val="000000000000" w:firstRow="0" w:lastRow="0" w:firstColumn="0" w:lastColumn="0" w:oddVBand="0" w:evenVBand="0" w:oddHBand="0" w:evenHBand="0" w:firstRowFirstColumn="0" w:firstRowLastColumn="0" w:lastRowFirstColumn="0" w:lastRowLastColumn="0"/>
              <w:rPr>
                <w:noProof/>
              </w:rPr>
            </w:pPr>
            <w:r w:rsidRPr="009B5734">
              <w:rPr>
                <w:noProof/>
              </w:rPr>
              <w:t>Application of the EU legal framework</w:t>
            </w:r>
          </w:p>
        </w:tc>
        <w:tc>
          <w:tcPr>
            <w:tcW w:w="1482"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5/10</w:t>
            </w:r>
          </w:p>
        </w:tc>
        <w:tc>
          <w:tcPr>
            <w:tcW w:w="1603" w:type="dxa"/>
            <w:shd w:val="clear" w:color="auto" w:fill="auto"/>
            <w:vAlign w:val="center"/>
          </w:tcPr>
          <w:p w:rsidR="00EA45F9" w:rsidRPr="009B5734" w:rsidRDefault="00EA45F9"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8/10</w:t>
            </w:r>
          </w:p>
        </w:tc>
        <w:tc>
          <w:tcPr>
            <w:tcW w:w="1522" w:type="dxa"/>
            <w:shd w:val="clear" w:color="auto" w:fill="auto"/>
            <w:vAlign w:val="center"/>
          </w:tcPr>
          <w:p w:rsidR="00EA45F9" w:rsidRPr="009B5734" w:rsidRDefault="00225E72" w:rsidP="00981615">
            <w:pPr>
              <w:pStyle w:val="Text2"/>
              <w:spacing w:after="0"/>
              <w:ind w:left="0" w:firstLine="0"/>
              <w:jc w:val="center"/>
              <w:cnfStyle w:val="000000000000" w:firstRow="0" w:lastRow="0" w:firstColumn="0" w:lastColumn="0" w:oddVBand="0" w:evenVBand="0" w:oddHBand="0" w:evenHBand="0" w:firstRowFirstColumn="0" w:firstRowLastColumn="0" w:lastRowFirstColumn="0" w:lastRowLastColumn="0"/>
              <w:rPr>
                <w:noProof/>
              </w:rPr>
            </w:pPr>
            <w:r w:rsidRPr="009B5734">
              <w:rPr>
                <w:noProof/>
              </w:rPr>
              <w:t>8</w:t>
            </w:r>
            <w:r w:rsidR="00EA45F9" w:rsidRPr="009B5734">
              <w:rPr>
                <w:noProof/>
              </w:rPr>
              <w:t>/10</w:t>
            </w:r>
          </w:p>
        </w:tc>
      </w:tr>
    </w:tbl>
    <w:p w:rsidR="00EA45F9" w:rsidRPr="009B5734" w:rsidRDefault="00EA45F9" w:rsidP="00EA45F9">
      <w:pPr>
        <w:rPr>
          <w:noProof/>
        </w:rPr>
      </w:pPr>
    </w:p>
    <w:bookmarkEnd w:id="740"/>
    <w:bookmarkEnd w:id="741"/>
    <w:p w:rsidR="00EA45F9" w:rsidRPr="009B5734" w:rsidRDefault="00EA45F9" w:rsidP="00EA45F9">
      <w:pPr>
        <w:rPr>
          <w:rFonts w:ascii="Times New Roman" w:eastAsia="Times New Roman" w:hAnsi="Times New Roman" w:cs="Times New Roman"/>
          <w:noProof/>
          <w:sz w:val="32"/>
          <w:szCs w:val="20"/>
        </w:rPr>
      </w:pPr>
    </w:p>
    <w:p w:rsidR="00EA45F9" w:rsidRPr="009B5734" w:rsidRDefault="00EA45F9" w:rsidP="00EA45F9">
      <w:pPr>
        <w:rPr>
          <w:rFonts w:ascii="Times New Roman" w:eastAsia="Times New Roman" w:hAnsi="Times New Roman" w:cs="Times New Roman"/>
          <w:noProof/>
          <w:sz w:val="32"/>
          <w:szCs w:val="20"/>
        </w:rPr>
      </w:pPr>
    </w:p>
    <w:p w:rsidR="00EA45F9" w:rsidRPr="009B5734" w:rsidRDefault="00EA45F9" w:rsidP="00EA45F9">
      <w:pPr>
        <w:rPr>
          <w:rFonts w:ascii="Times New Roman" w:eastAsia="Times New Roman" w:hAnsi="Times New Roman" w:cs="Times New Roman"/>
          <w:b/>
          <w:smallCaps/>
          <w:noProof/>
          <w:color w:val="000000" w:themeColor="text1"/>
          <w:sz w:val="24"/>
          <w:szCs w:val="20"/>
        </w:rPr>
      </w:pPr>
      <w:bookmarkStart w:id="742" w:name="_Toc58604153"/>
      <w:r w:rsidRPr="009B5734">
        <w:rPr>
          <w:noProof/>
          <w:color w:val="000000" w:themeColor="text1"/>
        </w:rPr>
        <w:br w:type="page"/>
      </w:r>
    </w:p>
    <w:p w:rsidR="003D001D" w:rsidRDefault="003D001D" w:rsidP="00EA45F9">
      <w:pPr>
        <w:pStyle w:val="Heading1"/>
        <w:jc w:val="center"/>
        <w:rPr>
          <w:noProof/>
        </w:rPr>
        <w:sectPr w:rsidR="003D001D" w:rsidSect="003D001D">
          <w:headerReference w:type="even" r:id="rId104"/>
          <w:headerReference w:type="default" r:id="rId105"/>
          <w:footerReference w:type="even" r:id="rId106"/>
          <w:footerReference w:type="default" r:id="rId107"/>
          <w:headerReference w:type="first" r:id="rId108"/>
          <w:footerReference w:type="first" r:id="rId109"/>
          <w:pgSz w:w="11906" w:h="16838"/>
          <w:pgMar w:top="1021" w:right="1701" w:bottom="1021" w:left="1588" w:header="601" w:footer="397" w:gutter="0"/>
          <w:cols w:space="720"/>
          <w:titlePg/>
        </w:sectPr>
      </w:pPr>
      <w:bookmarkStart w:id="743" w:name="_Annex_9:_Detailed"/>
      <w:bookmarkStart w:id="744" w:name="_Toc75441018"/>
      <w:bookmarkStart w:id="745" w:name="_Toc75447017"/>
      <w:bookmarkStart w:id="746" w:name="_Toc75448890"/>
      <w:bookmarkStart w:id="747" w:name="_Ref77089818"/>
      <w:bookmarkStart w:id="748" w:name="_Ref77090080"/>
      <w:bookmarkStart w:id="749" w:name="_Toc77844269"/>
      <w:bookmarkEnd w:id="743"/>
    </w:p>
    <w:p w:rsidR="00EA45F9" w:rsidRPr="009B5734" w:rsidRDefault="00EA45F9" w:rsidP="00EA45F9">
      <w:pPr>
        <w:pStyle w:val="Heading1"/>
        <w:jc w:val="center"/>
        <w:rPr>
          <w:noProof/>
        </w:rPr>
      </w:pPr>
      <w:bookmarkStart w:id="750" w:name="_Toc86391772"/>
      <w:r w:rsidRPr="009B5734">
        <w:rPr>
          <w:noProof/>
        </w:rPr>
        <w:t>Annex 9: Detailed results from the Cost and Benefit Analysis and from the Multi-Criteria Analysis</w:t>
      </w:r>
      <w:bookmarkEnd w:id="742"/>
      <w:bookmarkEnd w:id="744"/>
      <w:bookmarkEnd w:id="745"/>
      <w:bookmarkEnd w:id="746"/>
      <w:bookmarkEnd w:id="747"/>
      <w:bookmarkEnd w:id="748"/>
      <w:bookmarkEnd w:id="749"/>
      <w:bookmarkEnd w:id="750"/>
    </w:p>
    <w:p w:rsidR="00EA45F9" w:rsidRPr="009B5734" w:rsidRDefault="00A00208" w:rsidP="00A00208">
      <w:pPr>
        <w:pStyle w:val="Heading2"/>
        <w:rPr>
          <w:noProof/>
        </w:rPr>
      </w:pPr>
      <w:bookmarkStart w:id="751" w:name="_General_approach_to"/>
      <w:bookmarkStart w:id="752" w:name="_Toc75441019"/>
      <w:bookmarkStart w:id="753" w:name="_Toc75447018"/>
      <w:bookmarkStart w:id="754" w:name="_Toc75448891"/>
      <w:bookmarkStart w:id="755" w:name="_Toc77844270"/>
      <w:bookmarkStart w:id="756" w:name="_Toc86391773"/>
      <w:bookmarkEnd w:id="751"/>
      <w:r w:rsidRPr="00A00208">
        <w:t>1.</w:t>
      </w:r>
      <w:r w:rsidRPr="00A00208">
        <w:tab/>
      </w:r>
      <w:r w:rsidR="00EA45F9" w:rsidRPr="009B5734">
        <w:rPr>
          <w:noProof/>
        </w:rPr>
        <w:t>General approach to compare the various option/options</w:t>
      </w:r>
      <w:bookmarkEnd w:id="752"/>
      <w:bookmarkEnd w:id="753"/>
      <w:bookmarkEnd w:id="754"/>
      <w:bookmarkEnd w:id="755"/>
      <w:bookmarkEnd w:id="756"/>
    </w:p>
    <w:p w:rsidR="00E50EA8" w:rsidRPr="009B5734" w:rsidRDefault="00E50EA8" w:rsidP="00E50EA8">
      <w:pPr>
        <w:ind w:left="0" w:firstLine="0"/>
        <w:rPr>
          <w:rFonts w:ascii="Times New Roman" w:hAnsi="Times New Roman" w:cs="Times New Roman"/>
          <w:noProof/>
          <w:color w:val="000000" w:themeColor="text1"/>
          <w:sz w:val="24"/>
          <w:szCs w:val="24"/>
        </w:rPr>
      </w:pPr>
      <w:bookmarkStart w:id="757" w:name="_Hlk76127315"/>
      <w:r w:rsidRPr="009B5734">
        <w:rPr>
          <w:rFonts w:ascii="Times New Roman" w:hAnsi="Times New Roman" w:cs="Times New Roman"/>
          <w:noProof/>
          <w:color w:val="000000" w:themeColor="text1"/>
          <w:sz w:val="24"/>
          <w:szCs w:val="24"/>
        </w:rPr>
        <w:t xml:space="preserve">The options are compared following the Better Regulation Guidelines, in particular section 2.6 of Chapter III, ‘How do the options compare?’. </w:t>
      </w:r>
      <w:bookmarkEnd w:id="757"/>
      <w:r w:rsidRPr="009B5734">
        <w:rPr>
          <w:rFonts w:ascii="Times New Roman" w:hAnsi="Times New Roman" w:cs="Times New Roman"/>
          <w:noProof/>
          <w:color w:val="000000" w:themeColor="text1"/>
          <w:sz w:val="24"/>
          <w:szCs w:val="24"/>
        </w:rPr>
        <w:t xml:space="preserve">In spite </w:t>
      </w:r>
      <w:bookmarkStart w:id="758" w:name="_Hlk76126650"/>
      <w:r w:rsidRPr="009B5734">
        <w:rPr>
          <w:rFonts w:ascii="Times New Roman" w:hAnsi="Times New Roman" w:cs="Times New Roman"/>
          <w:noProof/>
          <w:color w:val="000000" w:themeColor="text1"/>
          <w:sz w:val="24"/>
          <w:szCs w:val="24"/>
        </w:rPr>
        <w:t xml:space="preserve">of all efforts to monetise identified impacts, it was not possible to monetise all impacts in full due to methodological challenges and insufficient quantitative evidence. Therefore, in order not to make judgements based on a sub-set of impacts (those monetisable), a cost-benefit analysis (CBA) was carried out and integrated in a MCA where the monetisable impacts are complemented by and compared with intangible impacts to be able to make a fully-fledged comparison. </w:t>
      </w:r>
    </w:p>
    <w:p w:rsidR="00E50EA8" w:rsidRPr="009B5734" w:rsidRDefault="00E50EA8" w:rsidP="00E50EA8">
      <w:pPr>
        <w:ind w:left="0" w:firstLine="0"/>
        <w:rPr>
          <w:rFonts w:ascii="Times New Roman" w:hAnsi="Times New Roman" w:cs="Times New Roman"/>
          <w:noProof/>
          <w:color w:val="000000" w:themeColor="text1"/>
          <w:sz w:val="24"/>
          <w:szCs w:val="24"/>
        </w:rPr>
      </w:pPr>
    </w:p>
    <w:bookmarkEnd w:id="758"/>
    <w:p w:rsidR="00E50EA8" w:rsidRPr="009B5734" w:rsidRDefault="00E50EA8" w:rsidP="00E50EA8">
      <w:pPr>
        <w:ind w:left="0" w:firstLine="0"/>
        <w:rPr>
          <w:rFonts w:ascii="Times New Roman" w:hAnsi="Times New Roman" w:cs="Times New Roman"/>
          <w:noProof/>
          <w:color w:val="000000" w:themeColor="text1"/>
          <w:sz w:val="24"/>
          <w:szCs w:val="24"/>
        </w:rPr>
      </w:pPr>
      <w:r w:rsidRPr="009B5734">
        <w:rPr>
          <w:rFonts w:ascii="Times New Roman" w:hAnsi="Times New Roman" w:cs="Times New Roman"/>
          <w:noProof/>
          <w:color w:val="000000" w:themeColor="text1"/>
          <w:sz w:val="24"/>
          <w:szCs w:val="24"/>
        </w:rPr>
        <w:t>The CBA provides a limited view of the net benefits of the measures / options as these are calculated by subtracting the monetisable costs (administrative burdens, substantive compliance costs and enforcement costs) from the monetisable benefits (monetisable consumer welfare and the impact on climate change), disregarding non</w:t>
      </w:r>
      <w:r w:rsidR="00F721CC">
        <w:rPr>
          <w:rFonts w:ascii="Times New Roman" w:hAnsi="Times New Roman" w:cs="Times New Roman"/>
          <w:noProof/>
          <w:color w:val="000000" w:themeColor="text1"/>
          <w:sz w:val="24"/>
          <w:szCs w:val="24"/>
        </w:rPr>
        <w:t>-</w:t>
      </w:r>
      <w:r w:rsidRPr="009B5734">
        <w:rPr>
          <w:rFonts w:ascii="Times New Roman" w:hAnsi="Times New Roman" w:cs="Times New Roman"/>
          <w:noProof/>
          <w:color w:val="000000" w:themeColor="text1"/>
          <w:sz w:val="24"/>
          <w:szCs w:val="24"/>
        </w:rPr>
        <w:t>monetisable impacts. The (partial) CBA considered a social discount rate of 4%, as recommended by the Better Regulation Guidelines Toolbox (Tool#61)</w:t>
      </w:r>
      <w:r w:rsidRPr="005D24D2">
        <w:rPr>
          <w:rStyle w:val="FootnoteReference"/>
          <w:noProof/>
        </w:rPr>
        <w:footnoteReference w:id="246"/>
      </w:r>
      <w:r w:rsidRPr="009B5734">
        <w:rPr>
          <w:rFonts w:ascii="Times New Roman" w:hAnsi="Times New Roman" w:cs="Times New Roman"/>
          <w:noProof/>
          <w:color w:val="000000" w:themeColor="text1"/>
          <w:sz w:val="24"/>
          <w:szCs w:val="24"/>
        </w:rPr>
        <w:t>. It was carried out for two periods: 2025-2040 (15 years, as recommended by the BRG) and 2025-2050. The selection of a second period of analysis beyond the 15-year recommendation reflected that it takes more than 10 years for measures on lifespan and reparability to start to have an effect for some product categories. The downside of longer periods of analysis is the increased uncertainty in respect of the economic, social, technological developments that can influence the impact of the measure. The analysis was done in constant prices, at 2019 levels. The limitations of the (partial) CBA analysis are significant and are primarily related to the limitations of the monetising the costs and benefits. There is, however, one additional limitation that is important to highlight – the fact that some of the identified benefits and costs may represent redistributions of welfare between agents of the economy.</w:t>
      </w:r>
    </w:p>
    <w:p w:rsidR="00E50EA8" w:rsidRPr="009B5734" w:rsidRDefault="00E50EA8" w:rsidP="00E50EA8">
      <w:pPr>
        <w:ind w:left="0" w:firstLine="0"/>
        <w:rPr>
          <w:rFonts w:ascii="Times New Roman" w:hAnsi="Times New Roman" w:cs="Times New Roman"/>
          <w:noProof/>
          <w:color w:val="000000" w:themeColor="text1"/>
          <w:sz w:val="24"/>
          <w:szCs w:val="24"/>
        </w:rPr>
      </w:pPr>
    </w:p>
    <w:p w:rsidR="00E50EA8" w:rsidRPr="009B5734" w:rsidRDefault="00E50EA8" w:rsidP="00E50EA8">
      <w:pPr>
        <w:ind w:left="0" w:firstLine="0"/>
        <w:rPr>
          <w:rFonts w:ascii="Times New Roman" w:hAnsi="Times New Roman" w:cs="Times New Roman"/>
          <w:noProof/>
          <w:color w:val="000000" w:themeColor="text1"/>
          <w:sz w:val="24"/>
          <w:szCs w:val="24"/>
        </w:rPr>
      </w:pPr>
      <w:r w:rsidRPr="009B5734">
        <w:rPr>
          <w:rFonts w:ascii="Times New Roman" w:hAnsi="Times New Roman" w:cs="Times New Roman"/>
          <w:noProof/>
          <w:color w:val="000000" w:themeColor="text1"/>
          <w:sz w:val="24"/>
          <w:szCs w:val="24"/>
        </w:rPr>
        <w:t xml:space="preserve">The MCA has three high-level assessment criteria (as required by the Better Regulation guidelines): Efficiency, Effectiveness, Coherence. Each of the identified impacts are a sub-criterion of one of those three high-level criteria). The assessment of the options follows the ‘non-linear/non-compensatory approach’ described in Tool #63. In the efficiency criteria we incorporated the five impacts that were monetisable either as benefits or costs: </w:t>
      </w:r>
    </w:p>
    <w:p w:rsidR="00E50EA8" w:rsidRPr="009B5734" w:rsidRDefault="00E50EA8" w:rsidP="00E50EA8">
      <w:pPr>
        <w:ind w:left="0" w:firstLine="0"/>
        <w:rPr>
          <w:rFonts w:ascii="Times New Roman" w:hAnsi="Times New Roman" w:cs="Times New Roman"/>
          <w:noProof/>
          <w:color w:val="000000" w:themeColor="text1"/>
          <w:sz w:val="24"/>
          <w:szCs w:val="24"/>
        </w:rPr>
      </w:pPr>
    </w:p>
    <w:p w:rsidR="00E50EA8" w:rsidRPr="004931D3" w:rsidRDefault="00E50EA8" w:rsidP="004931D3">
      <w:pPr>
        <w:pStyle w:val="BTBullet1Last"/>
        <w:numPr>
          <w:ilvl w:val="0"/>
          <w:numId w:val="159"/>
        </w:numPr>
        <w:spacing w:after="0" w:line="240" w:lineRule="auto"/>
        <w:jc w:val="left"/>
        <w:rPr>
          <w:rFonts w:ascii="Times New Roman" w:hAnsi="Times New Roman"/>
          <w:noProof/>
          <w:color w:val="000000" w:themeColor="text1"/>
          <w:sz w:val="24"/>
        </w:rPr>
      </w:pPr>
      <w:r w:rsidRPr="6B053803">
        <w:rPr>
          <w:rFonts w:ascii="Times New Roman" w:hAnsi="Times New Roman"/>
          <w:noProof/>
          <w:color w:val="000000" w:themeColor="text1"/>
          <w:sz w:val="24"/>
        </w:rPr>
        <w:t>as benefits, we incorporated the monetisable consumer welfare and the impact on climate change (which complement the intangible benefits included in the MCA - reduction of cross-border barriers and other environmental impacts).</w:t>
      </w:r>
    </w:p>
    <w:p w:rsidR="00E50EA8" w:rsidRPr="009B5734" w:rsidRDefault="00E50EA8" w:rsidP="00E50EA8">
      <w:pPr>
        <w:pStyle w:val="BTBullet1Last"/>
        <w:numPr>
          <w:ilvl w:val="0"/>
          <w:numId w:val="159"/>
        </w:numPr>
        <w:spacing w:after="0" w:line="240" w:lineRule="auto"/>
        <w:jc w:val="left"/>
        <w:rPr>
          <w:rFonts w:ascii="Times New Roman" w:hAnsi="Times New Roman"/>
          <w:noProof/>
          <w:color w:val="000000" w:themeColor="text1"/>
          <w:sz w:val="24"/>
        </w:rPr>
      </w:pPr>
      <w:r w:rsidRPr="009B5734">
        <w:rPr>
          <w:rFonts w:ascii="Times New Roman" w:hAnsi="Times New Roman"/>
          <w:noProof/>
          <w:color w:val="000000" w:themeColor="text1"/>
          <w:sz w:val="24"/>
        </w:rPr>
        <w:t>as costs, we incorporated the administrative burdens, substantive compliance costs and enforcement costs (which complemented the intangible costs included in the MCA - indirect costs and reduction of SME growth).</w:t>
      </w:r>
    </w:p>
    <w:p w:rsidR="00E50EA8" w:rsidRPr="009B5734" w:rsidRDefault="00E50EA8" w:rsidP="00E50EA8">
      <w:pPr>
        <w:ind w:left="0" w:firstLine="0"/>
        <w:rPr>
          <w:rFonts w:ascii="Times New Roman" w:hAnsi="Times New Roman" w:cs="Times New Roman"/>
          <w:noProof/>
          <w:color w:val="000000" w:themeColor="text1"/>
          <w:sz w:val="24"/>
          <w:szCs w:val="24"/>
        </w:rPr>
      </w:pPr>
    </w:p>
    <w:p w:rsidR="00E50EA8" w:rsidRPr="009B5734" w:rsidRDefault="00E50EA8" w:rsidP="00E50EA8">
      <w:pPr>
        <w:ind w:left="0" w:firstLine="0"/>
        <w:rPr>
          <w:rFonts w:ascii="Times New Roman" w:hAnsi="Times New Roman" w:cs="Times New Roman"/>
          <w:noProof/>
          <w:color w:val="000000" w:themeColor="text1"/>
          <w:sz w:val="24"/>
          <w:szCs w:val="24"/>
        </w:rPr>
      </w:pPr>
      <w:r w:rsidRPr="009B5734">
        <w:rPr>
          <w:rFonts w:ascii="Times New Roman" w:hAnsi="Times New Roman" w:cs="Times New Roman"/>
          <w:noProof/>
          <w:color w:val="000000" w:themeColor="text1"/>
          <w:sz w:val="24"/>
          <w:szCs w:val="24"/>
        </w:rPr>
        <w:t>This approach assigns weights to the criteria/sub-criteria. This is a subjective exercise and relies on judgements on the relative importance of each criteria/sub-criterion. That subjectivity is both an important limitation and an advantage of the MCA, as it allows other considerations to be incorporated in the assessment in a way that other approaches do not.</w:t>
      </w:r>
    </w:p>
    <w:p w:rsidR="00E50EA8" w:rsidRPr="009B5734" w:rsidRDefault="00E50EA8" w:rsidP="00E50EA8">
      <w:pPr>
        <w:ind w:left="0" w:firstLine="0"/>
        <w:rPr>
          <w:rFonts w:ascii="Times New Roman" w:hAnsi="Times New Roman" w:cs="Times New Roman"/>
          <w:noProof/>
          <w:color w:val="000000" w:themeColor="text1"/>
          <w:sz w:val="24"/>
          <w:szCs w:val="24"/>
        </w:rPr>
      </w:pPr>
    </w:p>
    <w:p w:rsidR="00E50EA8" w:rsidRPr="009B5734" w:rsidRDefault="00E50EA8" w:rsidP="00E50EA8">
      <w:pPr>
        <w:ind w:left="0" w:firstLine="0"/>
        <w:rPr>
          <w:rFonts w:ascii="Times New Roman" w:hAnsi="Times New Roman" w:cs="Times New Roman"/>
          <w:noProof/>
          <w:color w:val="000000" w:themeColor="text1"/>
          <w:sz w:val="24"/>
          <w:szCs w:val="24"/>
        </w:rPr>
      </w:pPr>
      <w:r w:rsidRPr="009B5734">
        <w:rPr>
          <w:rFonts w:ascii="Times New Roman" w:hAnsi="Times New Roman" w:cs="Times New Roman"/>
          <w:noProof/>
          <w:color w:val="000000" w:themeColor="text1"/>
          <w:sz w:val="24"/>
          <w:szCs w:val="24"/>
        </w:rPr>
        <w:t>A reasonable scenario was selected as default scenario in order to ensure coverage of all criteria and sub-criteria without giving significantly more weight to benefits than to costs. In the default scenario, 30 points are assigned to Effectiveness, 60 points to Efficiency and 10 points to Coherence. The points are divided equally between the various subcriteria</w:t>
      </w:r>
      <w:r w:rsidRPr="009B5734">
        <w:rPr>
          <w:rFonts w:ascii="Times New Roman" w:hAnsi="Times New Roman" w:cs="Times New Roman"/>
          <w:noProof/>
          <w:color w:val="000000" w:themeColor="text1"/>
          <w:sz w:val="24"/>
          <w:szCs w:val="24"/>
        </w:rPr>
        <w:noBreakHyphen/>
        <w:t xml:space="preserve"> of each criterion:</w:t>
      </w:r>
    </w:p>
    <w:p w:rsidR="00E50EA8" w:rsidRPr="009B5734" w:rsidRDefault="00E50EA8" w:rsidP="00E50EA8">
      <w:pPr>
        <w:pStyle w:val="BTBullet1Last"/>
        <w:numPr>
          <w:ilvl w:val="0"/>
          <w:numId w:val="159"/>
        </w:numPr>
        <w:spacing w:after="0" w:line="240" w:lineRule="auto"/>
        <w:jc w:val="left"/>
        <w:rPr>
          <w:rFonts w:ascii="Times New Roman" w:hAnsi="Times New Roman"/>
          <w:noProof/>
          <w:color w:val="000000" w:themeColor="text1"/>
          <w:sz w:val="24"/>
        </w:rPr>
      </w:pPr>
      <w:r w:rsidRPr="009B5734">
        <w:rPr>
          <w:rFonts w:ascii="Times New Roman" w:hAnsi="Times New Roman"/>
          <w:noProof/>
          <w:color w:val="000000" w:themeColor="text1"/>
          <w:sz w:val="24"/>
        </w:rPr>
        <w:t>each of the 6 sub-criteria in the effectiveness criterion was assigned 1/6 of its 30 points;</w:t>
      </w:r>
    </w:p>
    <w:p w:rsidR="00E50EA8" w:rsidRPr="009B5734" w:rsidRDefault="00E50EA8" w:rsidP="00611D38">
      <w:pPr>
        <w:pStyle w:val="BTBullet1Last"/>
        <w:numPr>
          <w:ilvl w:val="0"/>
          <w:numId w:val="159"/>
        </w:numPr>
        <w:spacing w:after="0" w:line="240" w:lineRule="auto"/>
        <w:jc w:val="left"/>
        <w:rPr>
          <w:rFonts w:ascii="Times New Roman" w:hAnsi="Times New Roman"/>
          <w:noProof/>
          <w:color w:val="000000" w:themeColor="text1"/>
          <w:sz w:val="24"/>
        </w:rPr>
      </w:pPr>
      <w:r w:rsidRPr="009B5734">
        <w:rPr>
          <w:rFonts w:ascii="Times New Roman" w:hAnsi="Times New Roman"/>
          <w:noProof/>
          <w:color w:val="000000" w:themeColor="text1"/>
          <w:sz w:val="24"/>
        </w:rPr>
        <w:t xml:space="preserve">each of the 9 sub-criteria of the efficiency criterion was assigned 1/9 of its 60 points; which means that overall benefits (4 of the 9 sub-criteria of efficiency) have less weight than costs (5 out of 9 sub-criteria of efficiency). </w:t>
      </w:r>
    </w:p>
    <w:p w:rsidR="00E50EA8" w:rsidRPr="009B5734" w:rsidRDefault="00E50EA8" w:rsidP="00E50EA8">
      <w:pPr>
        <w:ind w:left="0" w:firstLine="0"/>
        <w:rPr>
          <w:rFonts w:ascii="Times New Roman" w:hAnsi="Times New Roman" w:cs="Times New Roman"/>
          <w:noProof/>
          <w:color w:val="000000" w:themeColor="text1"/>
          <w:sz w:val="24"/>
          <w:szCs w:val="24"/>
        </w:rPr>
      </w:pPr>
    </w:p>
    <w:p w:rsidR="00E50EA8" w:rsidRPr="009B5734" w:rsidRDefault="00E50EA8" w:rsidP="00E50EA8">
      <w:pPr>
        <w:ind w:left="0" w:firstLine="0"/>
        <w:rPr>
          <w:rFonts w:ascii="Times New Roman" w:hAnsi="Times New Roman" w:cs="Times New Roman"/>
          <w:noProof/>
          <w:color w:val="000000" w:themeColor="text1"/>
          <w:sz w:val="24"/>
          <w:szCs w:val="24"/>
        </w:rPr>
      </w:pPr>
      <w:r w:rsidRPr="009B5734">
        <w:rPr>
          <w:rFonts w:ascii="Times New Roman" w:hAnsi="Times New Roman" w:cs="Times New Roman"/>
          <w:noProof/>
          <w:color w:val="000000" w:themeColor="text1"/>
          <w:sz w:val="24"/>
          <w:szCs w:val="24"/>
        </w:rPr>
        <w:t>As assignment of criteria is subjective and there is some overlap between some of the criteria under Effectiveness and Efficiency, a sensitivity analysis was carried out for various possible weight combinations:</w:t>
      </w:r>
    </w:p>
    <w:p w:rsidR="00E50EA8" w:rsidRPr="009B5734" w:rsidRDefault="00E50EA8" w:rsidP="00E50EA8">
      <w:pPr>
        <w:ind w:left="0" w:firstLine="0"/>
        <w:rPr>
          <w:rFonts w:ascii="Times New Roman" w:hAnsi="Times New Roman" w:cs="Times New Roman"/>
          <w:noProof/>
          <w:color w:val="000000" w:themeColor="text1"/>
          <w:sz w:val="24"/>
          <w:szCs w:val="24"/>
        </w:rPr>
      </w:pPr>
    </w:p>
    <w:p w:rsidR="00E50EA8" w:rsidRPr="009B5734" w:rsidRDefault="00E50EA8" w:rsidP="00E50EA8">
      <w:pPr>
        <w:pStyle w:val="BTBullet1Last"/>
        <w:numPr>
          <w:ilvl w:val="0"/>
          <w:numId w:val="159"/>
        </w:numPr>
        <w:spacing w:after="0" w:line="240" w:lineRule="auto"/>
        <w:jc w:val="left"/>
        <w:rPr>
          <w:rFonts w:ascii="Times New Roman" w:hAnsi="Times New Roman"/>
          <w:noProof/>
          <w:color w:val="000000" w:themeColor="text1"/>
          <w:sz w:val="24"/>
        </w:rPr>
      </w:pPr>
      <w:r w:rsidRPr="009B5734">
        <w:rPr>
          <w:rFonts w:ascii="Times New Roman" w:hAnsi="Times New Roman"/>
          <w:noProof/>
          <w:color w:val="000000" w:themeColor="text1"/>
          <w:sz w:val="24"/>
        </w:rPr>
        <w:t>All three criteria (Effectiveness, Efficiency, Coherence) have the same weights (100/3), and the points are divided equally between the various sub-criteria of each criterion;</w:t>
      </w:r>
    </w:p>
    <w:p w:rsidR="00E50EA8" w:rsidRPr="009B5734" w:rsidRDefault="00E50EA8" w:rsidP="00E50EA8">
      <w:pPr>
        <w:pStyle w:val="BTBullet1Last"/>
        <w:numPr>
          <w:ilvl w:val="0"/>
          <w:numId w:val="159"/>
        </w:numPr>
        <w:spacing w:after="0" w:line="240" w:lineRule="auto"/>
        <w:jc w:val="left"/>
        <w:rPr>
          <w:rFonts w:ascii="Times New Roman" w:hAnsi="Times New Roman"/>
          <w:noProof/>
          <w:color w:val="000000" w:themeColor="text1"/>
          <w:sz w:val="24"/>
        </w:rPr>
      </w:pPr>
      <w:r w:rsidRPr="009B5734">
        <w:rPr>
          <w:rFonts w:ascii="Times New Roman" w:hAnsi="Times New Roman"/>
          <w:noProof/>
          <w:color w:val="000000" w:themeColor="text1"/>
          <w:sz w:val="24"/>
        </w:rPr>
        <w:t>Effectiveness has a weight of 45, Efficiency 45 and Coherence 10, and the points are divided equally between the various sub-criteria of each criterion;</w:t>
      </w:r>
    </w:p>
    <w:p w:rsidR="00E50EA8" w:rsidRPr="009B5734" w:rsidRDefault="00E50EA8" w:rsidP="00E50EA8">
      <w:pPr>
        <w:pStyle w:val="BTBullet1Last"/>
        <w:numPr>
          <w:ilvl w:val="0"/>
          <w:numId w:val="159"/>
        </w:numPr>
        <w:spacing w:after="0" w:line="240" w:lineRule="auto"/>
        <w:jc w:val="left"/>
        <w:rPr>
          <w:rFonts w:ascii="Times New Roman" w:hAnsi="Times New Roman"/>
          <w:noProof/>
          <w:color w:val="000000" w:themeColor="text1"/>
          <w:sz w:val="24"/>
        </w:rPr>
      </w:pPr>
      <w:r w:rsidRPr="009B5734">
        <w:rPr>
          <w:rFonts w:ascii="Times New Roman" w:hAnsi="Times New Roman"/>
          <w:noProof/>
          <w:color w:val="000000" w:themeColor="text1"/>
          <w:sz w:val="24"/>
        </w:rPr>
        <w:t>Effectiveness has a weight of 20, Efficiency 70 and Coherence 10, and the points are divided equally between the various sub-criteria of each criterion;</w:t>
      </w:r>
    </w:p>
    <w:p w:rsidR="00E50EA8" w:rsidRPr="009B5734" w:rsidRDefault="00E50EA8" w:rsidP="00E50EA8">
      <w:pPr>
        <w:pStyle w:val="BTBullet1Last"/>
        <w:numPr>
          <w:ilvl w:val="0"/>
          <w:numId w:val="159"/>
        </w:numPr>
        <w:spacing w:after="0" w:line="240" w:lineRule="auto"/>
        <w:jc w:val="left"/>
        <w:rPr>
          <w:rFonts w:ascii="Times New Roman" w:hAnsi="Times New Roman"/>
          <w:noProof/>
          <w:color w:val="000000" w:themeColor="text1"/>
          <w:sz w:val="24"/>
        </w:rPr>
      </w:pPr>
      <w:r w:rsidRPr="009B5734">
        <w:rPr>
          <w:rFonts w:ascii="Times New Roman" w:hAnsi="Times New Roman"/>
          <w:noProof/>
          <w:color w:val="000000" w:themeColor="text1"/>
          <w:sz w:val="24"/>
        </w:rPr>
        <w:t>Effectiveness has a weight of 10, Efficiency 80 and Coherence 10, and the points are divided equally between the various sub-criteria of each criterion;</w:t>
      </w:r>
    </w:p>
    <w:p w:rsidR="00E50EA8" w:rsidRPr="009B5734" w:rsidRDefault="00E50EA8" w:rsidP="00E50EA8">
      <w:pPr>
        <w:pStyle w:val="BTBullet1Last"/>
        <w:numPr>
          <w:ilvl w:val="0"/>
          <w:numId w:val="159"/>
        </w:numPr>
        <w:spacing w:after="0" w:line="240" w:lineRule="auto"/>
        <w:jc w:val="left"/>
        <w:rPr>
          <w:rFonts w:ascii="Times New Roman" w:hAnsi="Times New Roman"/>
          <w:noProof/>
          <w:color w:val="000000" w:themeColor="text1"/>
          <w:sz w:val="24"/>
        </w:rPr>
      </w:pPr>
      <w:r w:rsidRPr="009B5734">
        <w:rPr>
          <w:rFonts w:ascii="Times New Roman" w:hAnsi="Times New Roman"/>
          <w:noProof/>
          <w:color w:val="000000" w:themeColor="text1"/>
          <w:sz w:val="24"/>
        </w:rPr>
        <w:t>Effectiveness has a weight of 0, Efficiency 90 and Coherence 10, and the points are divided equally between the various sub-criteria of each criterion;</w:t>
      </w:r>
    </w:p>
    <w:p w:rsidR="00464FD5" w:rsidRDefault="00E50EA8" w:rsidP="00464FD5">
      <w:pPr>
        <w:pStyle w:val="BTBullet1Last"/>
        <w:numPr>
          <w:ilvl w:val="0"/>
          <w:numId w:val="159"/>
        </w:numPr>
        <w:spacing w:after="0" w:line="240" w:lineRule="auto"/>
        <w:jc w:val="left"/>
        <w:rPr>
          <w:rFonts w:ascii="Times New Roman" w:hAnsi="Times New Roman"/>
          <w:noProof/>
          <w:color w:val="000000" w:themeColor="text1"/>
          <w:sz w:val="24"/>
        </w:rPr>
      </w:pPr>
      <w:r w:rsidRPr="6B053803">
        <w:rPr>
          <w:rFonts w:ascii="Times New Roman" w:hAnsi="Times New Roman"/>
          <w:noProof/>
          <w:color w:val="000000" w:themeColor="text1"/>
          <w:sz w:val="24"/>
        </w:rPr>
        <w:t>Average of the weights assigned by five independent experts to each subcriterion</w:t>
      </w:r>
      <w:r w:rsidRPr="6B053803">
        <w:rPr>
          <w:rFonts w:ascii="Times New Roman" w:hAnsi="Times New Roman"/>
          <w:noProof/>
          <w:color w:val="000000" w:themeColor="text1"/>
          <w:sz w:val="24"/>
        </w:rPr>
        <w:noBreakHyphen/>
        <w:t xml:space="preserve">. This was done by asking each expert independently (through an online survey) to express their views on the relative importance of each criterion and sub-criterion. They were given 100 points to allocate between all three criteria and then had to distribute the points they had assigned to each criterion between its corresponding sub-criteria. </w:t>
      </w:r>
    </w:p>
    <w:p w:rsidR="003D001D" w:rsidRPr="00464FD5" w:rsidRDefault="003D001D" w:rsidP="00464FD5">
      <w:pPr>
        <w:pStyle w:val="BTBullet1Last"/>
        <w:numPr>
          <w:ilvl w:val="0"/>
          <w:numId w:val="159"/>
        </w:numPr>
        <w:spacing w:after="0" w:line="240" w:lineRule="auto"/>
        <w:jc w:val="left"/>
        <w:rPr>
          <w:rFonts w:ascii="Times New Roman" w:hAnsi="Times New Roman"/>
          <w:noProof/>
          <w:color w:val="000000" w:themeColor="text1"/>
          <w:sz w:val="24"/>
        </w:rPr>
      </w:pPr>
      <w:r w:rsidRPr="00464FD5">
        <w:rPr>
          <w:rFonts w:ascii="Times New Roman" w:hAnsi="Times New Roman"/>
          <w:noProof/>
          <w:color w:val="000000" w:themeColor="text1"/>
          <w:sz w:val="24"/>
        </w:rPr>
        <w:t>Worst-case scenario, where Effectiveness has a weight of 0, Efficiency 100 and Coherence 0; 60% of the points allocated to efficiency are divided equally between the various sub-criteria related to costs and the remaining 40% are divided equally between the various sub-criteria related to benefits.</w:t>
      </w:r>
    </w:p>
    <w:p w:rsidR="00AB20B1" w:rsidRDefault="00AB20B1" w:rsidP="00EA45F9">
      <w:pPr>
        <w:pStyle w:val="FigureTitle"/>
        <w:rPr>
          <w:noProof/>
        </w:rPr>
        <w:sectPr w:rsidR="00AB20B1" w:rsidSect="00AB20B1">
          <w:headerReference w:type="even" r:id="rId110"/>
          <w:headerReference w:type="default" r:id="rId111"/>
          <w:footerReference w:type="even" r:id="rId112"/>
          <w:footerReference w:type="default" r:id="rId113"/>
          <w:headerReference w:type="first" r:id="rId114"/>
          <w:footerReference w:type="first" r:id="rId115"/>
          <w:pgSz w:w="11906" w:h="16838"/>
          <w:pgMar w:top="1021" w:right="1701" w:bottom="1021" w:left="1588" w:header="601" w:footer="397" w:gutter="0"/>
          <w:cols w:space="720"/>
          <w:titlePg/>
        </w:sectPr>
      </w:pPr>
    </w:p>
    <w:p w:rsidR="00EA45F9" w:rsidRPr="009B5734" w:rsidRDefault="00EA45F9" w:rsidP="00EA45F9">
      <w:pPr>
        <w:pStyle w:val="FigureTitle"/>
        <w:rPr>
          <w:noProof/>
        </w:rPr>
      </w:pPr>
      <w:r w:rsidRPr="009B5734">
        <w:rPr>
          <w:noProof/>
        </w:rPr>
        <w:t>Assessment table</w:t>
      </w:r>
    </w:p>
    <w:tbl>
      <w:tblPr>
        <w:tblW w:w="157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0" w:type="dxa"/>
          <w:right w:w="0" w:type="dxa"/>
        </w:tblCellMar>
        <w:tblLook w:val="04A0" w:firstRow="1" w:lastRow="0" w:firstColumn="1" w:lastColumn="0" w:noHBand="0" w:noVBand="1"/>
      </w:tblPr>
      <w:tblGrid>
        <w:gridCol w:w="1038"/>
        <w:gridCol w:w="1024"/>
        <w:gridCol w:w="460"/>
        <w:gridCol w:w="470"/>
        <w:gridCol w:w="769"/>
        <w:gridCol w:w="833"/>
        <w:gridCol w:w="835"/>
        <w:gridCol w:w="1355"/>
        <w:gridCol w:w="1261"/>
        <w:gridCol w:w="860"/>
        <w:gridCol w:w="859"/>
        <w:gridCol w:w="861"/>
        <w:gridCol w:w="859"/>
        <w:gridCol w:w="860"/>
        <w:gridCol w:w="859"/>
        <w:gridCol w:w="860"/>
        <w:gridCol w:w="835"/>
        <w:gridCol w:w="833"/>
      </w:tblGrid>
      <w:tr w:rsidR="00EA45F9" w:rsidRPr="009B5734" w:rsidTr="00C84A99">
        <w:trPr>
          <w:cantSplit/>
          <w:trHeight w:val="600"/>
        </w:trPr>
        <w:tc>
          <w:tcPr>
            <w:tcW w:w="1038" w:type="dxa"/>
            <w:vMerge w:val="restart"/>
            <w:shd w:val="clear" w:color="auto" w:fill="404040" w:themeFill="text1" w:themeFillTint="BF"/>
            <w:noWrap/>
            <w:tcMar>
              <w:top w:w="15" w:type="dxa"/>
              <w:left w:w="15" w:type="dxa"/>
              <w:bottom w:w="0" w:type="dxa"/>
              <w:right w:w="15" w:type="dxa"/>
            </w:tcMar>
            <w:vAlign w:val="center"/>
            <w:hideMark/>
          </w:tcPr>
          <w:p w:rsidR="00EA45F9" w:rsidRPr="009B5734" w:rsidRDefault="00EA45F9" w:rsidP="00981615">
            <w:pPr>
              <w:jc w:val="center"/>
              <w:rPr>
                <w:rFonts w:cstheme="minorHAnsi"/>
                <w:b/>
                <w:bCs/>
                <w:noProof/>
                <w:color w:val="FFFFFF"/>
                <w:sz w:val="14"/>
                <w:szCs w:val="18"/>
              </w:rPr>
            </w:pPr>
            <w:r w:rsidRPr="005D24D2">
              <w:rPr>
                <w:b/>
                <w:bCs/>
                <w:noProof/>
                <w:color w:val="FFFFFF"/>
                <w:sz w:val="14"/>
                <w:szCs w:val="14"/>
              </w:rPr>
              <w:t>CRITERIA</w:t>
            </w:r>
          </w:p>
        </w:tc>
        <w:tc>
          <w:tcPr>
            <w:tcW w:w="5746" w:type="dxa"/>
            <w:gridSpan w:val="7"/>
            <w:shd w:val="clear" w:color="auto" w:fill="215868"/>
            <w:tcMar>
              <w:top w:w="15" w:type="dxa"/>
              <w:left w:w="15" w:type="dxa"/>
              <w:bottom w:w="0" w:type="dxa"/>
              <w:right w:w="15" w:type="dxa"/>
            </w:tcMar>
            <w:vAlign w:val="center"/>
            <w:hideMark/>
          </w:tcPr>
          <w:p w:rsidR="00EA45F9" w:rsidRPr="009B5734" w:rsidRDefault="00EA45F9" w:rsidP="00981615">
            <w:pPr>
              <w:jc w:val="center"/>
              <w:rPr>
                <w:rFonts w:cstheme="minorHAnsi"/>
                <w:b/>
                <w:bCs/>
                <w:noProof/>
                <w:color w:val="FFFFFF" w:themeColor="background1"/>
                <w:sz w:val="14"/>
                <w:szCs w:val="18"/>
              </w:rPr>
            </w:pPr>
            <w:r w:rsidRPr="005D24D2">
              <w:rPr>
                <w:b/>
                <w:bCs/>
                <w:noProof/>
                <w:color w:val="FFFFFF" w:themeColor="background1"/>
                <w:sz w:val="14"/>
                <w:szCs w:val="14"/>
              </w:rPr>
              <w:t>EFFECTIVENESS</w:t>
            </w:r>
          </w:p>
        </w:tc>
        <w:tc>
          <w:tcPr>
            <w:tcW w:w="8114" w:type="dxa"/>
            <w:gridSpan w:val="9"/>
            <w:shd w:val="clear" w:color="auto" w:fill="244061"/>
            <w:noWrap/>
            <w:tcMar>
              <w:top w:w="15" w:type="dxa"/>
              <w:left w:w="15" w:type="dxa"/>
              <w:bottom w:w="0" w:type="dxa"/>
              <w:right w:w="15" w:type="dxa"/>
            </w:tcMar>
            <w:vAlign w:val="center"/>
            <w:hideMark/>
          </w:tcPr>
          <w:p w:rsidR="00EA45F9" w:rsidRPr="009B5734" w:rsidRDefault="00EA45F9" w:rsidP="00981615">
            <w:pPr>
              <w:jc w:val="center"/>
              <w:rPr>
                <w:rFonts w:cstheme="minorHAnsi"/>
                <w:b/>
                <w:bCs/>
                <w:noProof/>
                <w:color w:val="FFFFFF" w:themeColor="background1"/>
                <w:sz w:val="14"/>
                <w:szCs w:val="18"/>
              </w:rPr>
            </w:pPr>
            <w:r w:rsidRPr="005D24D2">
              <w:rPr>
                <w:b/>
                <w:bCs/>
                <w:noProof/>
                <w:color w:val="FFFFFF" w:themeColor="background1"/>
                <w:sz w:val="14"/>
                <w:szCs w:val="14"/>
              </w:rPr>
              <w:t>EFFICIENCY</w:t>
            </w:r>
          </w:p>
        </w:tc>
        <w:tc>
          <w:tcPr>
            <w:tcW w:w="833" w:type="dxa"/>
            <w:vMerge w:val="restart"/>
            <w:shd w:val="clear" w:color="auto" w:fill="0F243E" w:themeFill="text2" w:themeFillShade="7F"/>
            <w:noWrap/>
            <w:tcMar>
              <w:top w:w="15" w:type="dxa"/>
              <w:left w:w="15" w:type="dxa"/>
              <w:bottom w:w="0" w:type="dxa"/>
              <w:right w:w="15" w:type="dxa"/>
            </w:tcMar>
            <w:hideMark/>
          </w:tcPr>
          <w:p w:rsidR="00EA45F9" w:rsidRPr="009B5734" w:rsidRDefault="00EA45F9" w:rsidP="00981615">
            <w:pPr>
              <w:jc w:val="center"/>
              <w:rPr>
                <w:rFonts w:cstheme="minorHAnsi"/>
                <w:b/>
                <w:bCs/>
                <w:noProof/>
                <w:color w:val="FFFFFF" w:themeColor="background1"/>
                <w:sz w:val="14"/>
                <w:szCs w:val="18"/>
              </w:rPr>
            </w:pPr>
            <w:r w:rsidRPr="005D24D2">
              <w:rPr>
                <w:b/>
                <w:bCs/>
                <w:noProof/>
                <w:color w:val="FFFFFF" w:themeColor="background1"/>
                <w:sz w:val="14"/>
                <w:szCs w:val="14"/>
              </w:rPr>
              <w:t>COHERENCE</w:t>
            </w:r>
          </w:p>
        </w:tc>
      </w:tr>
      <w:tr w:rsidR="00EA45F9" w:rsidRPr="009B5734" w:rsidTr="00C84A99">
        <w:trPr>
          <w:cantSplit/>
          <w:trHeight w:val="1945"/>
        </w:trPr>
        <w:tc>
          <w:tcPr>
            <w:tcW w:w="1038" w:type="dxa"/>
            <w:vMerge/>
            <w:shd w:val="clear" w:color="auto" w:fill="404040" w:themeFill="text1" w:themeFillTint="BF"/>
            <w:noWrap/>
            <w:tcMar>
              <w:top w:w="15" w:type="dxa"/>
              <w:left w:w="15" w:type="dxa"/>
              <w:bottom w:w="0" w:type="dxa"/>
              <w:right w:w="15" w:type="dxa"/>
            </w:tcMar>
            <w:vAlign w:val="center"/>
            <w:hideMark/>
          </w:tcPr>
          <w:p w:rsidR="00EA45F9" w:rsidRPr="009B5734" w:rsidRDefault="00EA45F9" w:rsidP="00981615">
            <w:pPr>
              <w:jc w:val="center"/>
              <w:rPr>
                <w:rFonts w:cstheme="minorHAnsi"/>
                <w:b/>
                <w:bCs/>
                <w:noProof/>
                <w:color w:val="FFFFFF"/>
                <w:sz w:val="14"/>
                <w:szCs w:val="18"/>
              </w:rPr>
            </w:pPr>
          </w:p>
        </w:tc>
        <w:tc>
          <w:tcPr>
            <w:tcW w:w="1484" w:type="dxa"/>
            <w:gridSpan w:val="2"/>
            <w:shd w:val="clear" w:color="auto" w:fill="31849B" w:themeFill="accent5" w:themeFillShade="BF"/>
            <w:tcMar>
              <w:top w:w="15" w:type="dxa"/>
              <w:left w:w="15" w:type="dxa"/>
              <w:bottom w:w="0" w:type="dxa"/>
              <w:right w:w="15" w:type="dxa"/>
            </w:tcMar>
            <w:hideMark/>
          </w:tcPr>
          <w:p w:rsidR="00EA45F9" w:rsidRPr="009B5734" w:rsidRDefault="00EA45F9" w:rsidP="00981615">
            <w:pPr>
              <w:jc w:val="center"/>
              <w:rPr>
                <w:rFonts w:ascii="Bahnschrift SemiLight" w:hAnsi="Bahnschrift SemiLight" w:cs="Calibri"/>
                <w:noProof/>
                <w:color w:val="FFFFFF" w:themeColor="background1"/>
                <w:sz w:val="14"/>
                <w:szCs w:val="18"/>
              </w:rPr>
            </w:pPr>
            <w:r w:rsidRPr="009B5734">
              <w:rPr>
                <w:rFonts w:ascii="Bahnschrift SemiLight" w:hAnsi="Bahnschrift SemiLight" w:cs="Calibri"/>
                <w:noProof/>
                <w:color w:val="FFFFFF" w:themeColor="background1"/>
                <w:sz w:val="14"/>
                <w:szCs w:val="14"/>
              </w:rPr>
              <w:t>Specific objective 1. Enable informed purchasing decisions by consumers to foster sustainable consumption</w:t>
            </w:r>
          </w:p>
        </w:tc>
        <w:tc>
          <w:tcPr>
            <w:tcW w:w="2907" w:type="dxa"/>
            <w:gridSpan w:val="4"/>
            <w:shd w:val="clear" w:color="auto" w:fill="31849B" w:themeFill="accent5" w:themeFillShade="BF"/>
          </w:tcPr>
          <w:p w:rsidR="00EA45F9" w:rsidRPr="009B5734" w:rsidRDefault="00EA45F9" w:rsidP="00981615">
            <w:pPr>
              <w:jc w:val="center"/>
              <w:rPr>
                <w:rFonts w:ascii="Bahnschrift SemiLight" w:hAnsi="Bahnschrift SemiLight" w:cs="Calibri"/>
                <w:noProof/>
                <w:color w:val="FFFFFF" w:themeColor="background1"/>
                <w:sz w:val="14"/>
                <w:szCs w:val="18"/>
              </w:rPr>
            </w:pPr>
            <w:r w:rsidRPr="009B5734">
              <w:rPr>
                <w:rFonts w:ascii="Bahnschrift SemiLight" w:hAnsi="Bahnschrift SemiLight" w:cs="Calibri"/>
                <w:noProof/>
                <w:color w:val="FFFFFF" w:themeColor="background1"/>
                <w:sz w:val="14"/>
                <w:szCs w:val="14"/>
              </w:rPr>
              <w:t>Specific objective 2. Eliminate untrustworthy practices that run against sustainable economy and mislead consumers away from sustainable consumption</w:t>
            </w:r>
          </w:p>
        </w:tc>
        <w:tc>
          <w:tcPr>
            <w:tcW w:w="1355" w:type="dxa"/>
            <w:shd w:val="clear" w:color="auto" w:fill="31849B" w:themeFill="accent5" w:themeFillShade="BF"/>
          </w:tcPr>
          <w:p w:rsidR="00EA45F9" w:rsidRPr="009B5734" w:rsidRDefault="00EA45F9" w:rsidP="00981615">
            <w:pPr>
              <w:ind w:left="0" w:firstLine="0"/>
              <w:jc w:val="center"/>
              <w:rPr>
                <w:rFonts w:ascii="Bahnschrift SemiLight" w:hAnsi="Bahnschrift SemiLight" w:cs="Calibri"/>
                <w:noProof/>
                <w:color w:val="FFFFFF" w:themeColor="background1"/>
                <w:sz w:val="14"/>
                <w:szCs w:val="18"/>
              </w:rPr>
            </w:pPr>
            <w:r w:rsidRPr="009B5734">
              <w:rPr>
                <w:rFonts w:ascii="Bahnschrift SemiLight" w:hAnsi="Bahnschrift SemiLight" w:cs="Calibri"/>
                <w:noProof/>
                <w:color w:val="FFFFFF" w:themeColor="background1"/>
                <w:sz w:val="14"/>
                <w:szCs w:val="14"/>
              </w:rPr>
              <w:t>Specific objective 3. Ensure a better and coherent application of the EU legal framework thanks to clearer and more enforceable rules</w:t>
            </w:r>
          </w:p>
        </w:tc>
        <w:tc>
          <w:tcPr>
            <w:tcW w:w="3841" w:type="dxa"/>
            <w:gridSpan w:val="4"/>
            <w:shd w:val="clear" w:color="auto" w:fill="1F497D" w:themeFill="text2"/>
            <w:noWrap/>
            <w:tcMar>
              <w:top w:w="15" w:type="dxa"/>
              <w:left w:w="15" w:type="dxa"/>
              <w:bottom w:w="0" w:type="dxa"/>
              <w:right w:w="15" w:type="dxa"/>
            </w:tcMar>
            <w:vAlign w:val="center"/>
            <w:hideMark/>
          </w:tcPr>
          <w:p w:rsidR="00EA45F9" w:rsidRPr="009B5734" w:rsidRDefault="00EA45F9" w:rsidP="00981615">
            <w:pPr>
              <w:jc w:val="center"/>
              <w:rPr>
                <w:rFonts w:ascii="Bahnschrift SemiLight" w:hAnsi="Bahnschrift SemiLight" w:cs="Calibri"/>
                <w:noProof/>
                <w:color w:val="FFFFFF" w:themeColor="background1"/>
                <w:sz w:val="14"/>
                <w:szCs w:val="18"/>
              </w:rPr>
            </w:pPr>
            <w:r w:rsidRPr="009B5734">
              <w:rPr>
                <w:rFonts w:ascii="Bahnschrift SemiLight" w:hAnsi="Bahnschrift SemiLight" w:cs="Calibri"/>
                <w:noProof/>
                <w:color w:val="FFFFFF" w:themeColor="background1"/>
                <w:sz w:val="14"/>
                <w:szCs w:val="14"/>
              </w:rPr>
              <w:t>Benefits</w:t>
            </w:r>
          </w:p>
        </w:tc>
        <w:tc>
          <w:tcPr>
            <w:tcW w:w="4273" w:type="dxa"/>
            <w:gridSpan w:val="5"/>
            <w:shd w:val="clear" w:color="auto" w:fill="1F497D" w:themeFill="text2"/>
            <w:noWrap/>
            <w:tcMar>
              <w:top w:w="15" w:type="dxa"/>
              <w:left w:w="15" w:type="dxa"/>
              <w:bottom w:w="0" w:type="dxa"/>
              <w:right w:w="15" w:type="dxa"/>
            </w:tcMar>
            <w:vAlign w:val="center"/>
            <w:hideMark/>
          </w:tcPr>
          <w:p w:rsidR="00EA45F9" w:rsidRPr="009B5734" w:rsidRDefault="00EA45F9" w:rsidP="00981615">
            <w:pPr>
              <w:jc w:val="center"/>
              <w:rPr>
                <w:rFonts w:ascii="Bahnschrift SemiLight" w:hAnsi="Bahnschrift SemiLight" w:cs="Calibri"/>
                <w:noProof/>
                <w:color w:val="000000"/>
                <w:sz w:val="14"/>
                <w:szCs w:val="18"/>
              </w:rPr>
            </w:pPr>
            <w:r w:rsidRPr="009B5734">
              <w:rPr>
                <w:rFonts w:ascii="Bahnschrift SemiLight" w:hAnsi="Bahnschrift SemiLight" w:cs="Calibri"/>
                <w:noProof/>
                <w:color w:val="FFFFFF" w:themeColor="background1"/>
                <w:sz w:val="14"/>
                <w:szCs w:val="14"/>
              </w:rPr>
              <w:t>Costs</w:t>
            </w:r>
          </w:p>
        </w:tc>
        <w:tc>
          <w:tcPr>
            <w:tcW w:w="833" w:type="dxa"/>
            <w:vMerge/>
            <w:shd w:val="clear" w:color="auto" w:fill="0F243E" w:themeFill="text2" w:themeFillShade="80"/>
            <w:vAlign w:val="center"/>
            <w:hideMark/>
          </w:tcPr>
          <w:p w:rsidR="00EA45F9" w:rsidRPr="009B5734" w:rsidRDefault="00EA45F9" w:rsidP="00981615">
            <w:pPr>
              <w:rPr>
                <w:rFonts w:ascii="Bahnschrift SemiLight" w:hAnsi="Bahnschrift SemiLight" w:cs="Calibri"/>
                <w:noProof/>
                <w:color w:val="000000"/>
                <w:sz w:val="14"/>
                <w:szCs w:val="18"/>
              </w:rPr>
            </w:pPr>
          </w:p>
        </w:tc>
      </w:tr>
      <w:tr w:rsidR="00703416" w:rsidRPr="009B5734" w:rsidTr="70D97C89">
        <w:trPr>
          <w:cantSplit/>
          <w:trHeight w:val="2297"/>
        </w:trPr>
        <w:tc>
          <w:tcPr>
            <w:tcW w:w="1038" w:type="dxa"/>
            <w:shd w:val="clear" w:color="auto" w:fill="7F7F7F" w:themeFill="background1" w:themeFillShade="7F"/>
            <w:noWrap/>
            <w:tcMar>
              <w:top w:w="15" w:type="dxa"/>
              <w:left w:w="15" w:type="dxa"/>
              <w:bottom w:w="0" w:type="dxa"/>
              <w:right w:w="15" w:type="dxa"/>
            </w:tcMar>
            <w:vAlign w:val="center"/>
            <w:hideMark/>
          </w:tcPr>
          <w:p w:rsidR="00EA45F9" w:rsidRPr="009B5734" w:rsidRDefault="00EA45F9" w:rsidP="00981615">
            <w:pPr>
              <w:ind w:left="0" w:firstLine="0"/>
              <w:jc w:val="center"/>
              <w:rPr>
                <w:rFonts w:cstheme="minorHAnsi"/>
                <w:b/>
                <w:bCs/>
                <w:noProof/>
                <w:color w:val="FFFFFF"/>
                <w:sz w:val="14"/>
                <w:szCs w:val="18"/>
              </w:rPr>
            </w:pPr>
            <w:r w:rsidRPr="005D24D2">
              <w:rPr>
                <w:b/>
                <w:bCs/>
                <w:noProof/>
                <w:color w:val="FFFFFF"/>
                <w:sz w:val="14"/>
                <w:szCs w:val="14"/>
              </w:rPr>
              <w:t>SUB-CRITERIA/    IMPACTS</w:t>
            </w:r>
          </w:p>
        </w:tc>
        <w:tc>
          <w:tcPr>
            <w:tcW w:w="1024" w:type="dxa"/>
            <w:shd w:val="clear" w:color="auto" w:fill="DAEEF3" w:themeFill="accent5" w:themeFillTint="33"/>
            <w:tcMar>
              <w:top w:w="15" w:type="dxa"/>
              <w:left w:w="15" w:type="dxa"/>
              <w:bottom w:w="0" w:type="dxa"/>
              <w:right w:w="15" w:type="dxa"/>
            </w:tcMar>
            <w:vAlign w:val="center"/>
            <w:hideMark/>
          </w:tcPr>
          <w:p w:rsidR="00EA45F9" w:rsidRPr="009B5734" w:rsidRDefault="00EA45F9" w:rsidP="00981615">
            <w:pPr>
              <w:ind w:left="4" w:hanging="4"/>
              <w:jc w:val="center"/>
              <w:rPr>
                <w:rFonts w:ascii="Bahnschrift SemiLight" w:hAnsi="Bahnschrift SemiLight" w:cs="Calibri"/>
                <w:noProof/>
                <w:color w:val="595959" w:themeColor="text1" w:themeTint="A6"/>
                <w:sz w:val="14"/>
                <w:szCs w:val="18"/>
              </w:rPr>
            </w:pPr>
            <w:r w:rsidRPr="009B5734">
              <w:rPr>
                <w:rFonts w:ascii="Bahnschrift SemiLight" w:hAnsi="Bahnschrift SemiLight" w:cs="Calibri"/>
                <w:noProof/>
                <w:color w:val="595959" w:themeColor="text1" w:themeTint="A6"/>
                <w:sz w:val="14"/>
                <w:szCs w:val="18"/>
              </w:rPr>
              <w:t>Quality of consumer decision making</w:t>
            </w:r>
          </w:p>
        </w:tc>
        <w:tc>
          <w:tcPr>
            <w:tcW w:w="930" w:type="dxa"/>
            <w:gridSpan w:val="2"/>
            <w:shd w:val="clear" w:color="auto" w:fill="DAEEF3" w:themeFill="accent5" w:themeFillTint="33"/>
            <w:tcMar>
              <w:top w:w="15" w:type="dxa"/>
              <w:left w:w="15" w:type="dxa"/>
              <w:bottom w:w="0" w:type="dxa"/>
              <w:right w:w="15" w:type="dxa"/>
            </w:tcMar>
            <w:vAlign w:val="center"/>
            <w:hideMark/>
          </w:tcPr>
          <w:p w:rsidR="00EA45F9" w:rsidRPr="009B5734" w:rsidRDefault="00EA45F9" w:rsidP="00981615">
            <w:pPr>
              <w:ind w:left="23" w:hanging="23"/>
              <w:jc w:val="center"/>
              <w:rPr>
                <w:rFonts w:ascii="Bahnschrift SemiLight" w:hAnsi="Bahnschrift SemiLight" w:cs="Calibri"/>
                <w:noProof/>
                <w:color w:val="595959" w:themeColor="text1" w:themeTint="A6"/>
                <w:sz w:val="14"/>
                <w:szCs w:val="18"/>
              </w:rPr>
            </w:pPr>
            <w:r w:rsidRPr="009B5734">
              <w:rPr>
                <w:rFonts w:ascii="Bahnschrift SemiLight" w:hAnsi="Bahnschrift SemiLight" w:cs="Calibri"/>
                <w:noProof/>
                <w:color w:val="595959" w:themeColor="text1" w:themeTint="A6"/>
                <w:sz w:val="14"/>
                <w:szCs w:val="18"/>
              </w:rPr>
              <w:t>Circularity and sustainable consumption</w:t>
            </w:r>
          </w:p>
        </w:tc>
        <w:tc>
          <w:tcPr>
            <w:tcW w:w="769" w:type="dxa"/>
            <w:shd w:val="clear" w:color="auto" w:fill="DAEEF3" w:themeFill="accent5" w:themeFillTint="33"/>
            <w:tcMar>
              <w:top w:w="15" w:type="dxa"/>
              <w:left w:w="15" w:type="dxa"/>
              <w:bottom w:w="0" w:type="dxa"/>
              <w:right w:w="15" w:type="dxa"/>
            </w:tcMar>
            <w:vAlign w:val="center"/>
            <w:hideMark/>
          </w:tcPr>
          <w:p w:rsidR="00EA45F9" w:rsidRPr="009B5734" w:rsidRDefault="00EA45F9" w:rsidP="00981615">
            <w:pPr>
              <w:ind w:left="8" w:hanging="8"/>
              <w:jc w:val="center"/>
              <w:rPr>
                <w:rFonts w:ascii="Bahnschrift SemiLight" w:hAnsi="Bahnschrift SemiLight" w:cs="Calibri"/>
                <w:noProof/>
                <w:color w:val="595959" w:themeColor="text1" w:themeTint="A6"/>
                <w:sz w:val="14"/>
                <w:szCs w:val="18"/>
              </w:rPr>
            </w:pPr>
            <w:r w:rsidRPr="009B5734">
              <w:rPr>
                <w:rFonts w:ascii="Bahnschrift SemiLight" w:hAnsi="Bahnschrift SemiLight" w:cs="Calibri"/>
                <w:noProof/>
                <w:color w:val="595959" w:themeColor="text1" w:themeTint="A6"/>
                <w:sz w:val="14"/>
                <w:szCs w:val="18"/>
              </w:rPr>
              <w:t>Consumer protection</w:t>
            </w:r>
          </w:p>
        </w:tc>
        <w:tc>
          <w:tcPr>
            <w:tcW w:w="833" w:type="dxa"/>
            <w:shd w:val="clear" w:color="auto" w:fill="DAEEF3" w:themeFill="accent5" w:themeFillTint="33"/>
            <w:tcMar>
              <w:top w:w="15" w:type="dxa"/>
              <w:left w:w="15" w:type="dxa"/>
              <w:bottom w:w="0" w:type="dxa"/>
              <w:right w:w="15" w:type="dxa"/>
            </w:tcMar>
            <w:vAlign w:val="center"/>
            <w:hideMark/>
          </w:tcPr>
          <w:p w:rsidR="00EA45F9" w:rsidRPr="009B5734" w:rsidRDefault="00EA45F9" w:rsidP="00981615">
            <w:pPr>
              <w:ind w:left="0" w:firstLine="0"/>
              <w:jc w:val="center"/>
              <w:rPr>
                <w:rFonts w:ascii="Bahnschrift SemiLight" w:hAnsi="Bahnschrift SemiLight" w:cs="Calibri"/>
                <w:noProof/>
                <w:color w:val="595959" w:themeColor="text1" w:themeTint="A6"/>
                <w:sz w:val="14"/>
                <w:szCs w:val="18"/>
              </w:rPr>
            </w:pPr>
            <w:r w:rsidRPr="009B5734">
              <w:rPr>
                <w:rFonts w:ascii="Bahnschrift SemiLight" w:hAnsi="Bahnschrift SemiLight" w:cs="Calibri"/>
                <w:noProof/>
                <w:color w:val="595959" w:themeColor="text1" w:themeTint="A6"/>
                <w:sz w:val="14"/>
                <w:szCs w:val="18"/>
              </w:rPr>
              <w:t>Consumer trust in the market</w:t>
            </w:r>
          </w:p>
        </w:tc>
        <w:tc>
          <w:tcPr>
            <w:tcW w:w="835" w:type="dxa"/>
            <w:shd w:val="clear" w:color="auto" w:fill="DAEEF3" w:themeFill="accent5" w:themeFillTint="33"/>
            <w:tcMar>
              <w:top w:w="15" w:type="dxa"/>
              <w:left w:w="15" w:type="dxa"/>
              <w:bottom w:w="0" w:type="dxa"/>
              <w:right w:w="15" w:type="dxa"/>
            </w:tcMar>
            <w:vAlign w:val="center"/>
            <w:hideMark/>
          </w:tcPr>
          <w:p w:rsidR="00EA45F9" w:rsidRPr="009B5734" w:rsidRDefault="00EA45F9" w:rsidP="00981615">
            <w:pPr>
              <w:ind w:left="0" w:firstLine="0"/>
              <w:jc w:val="center"/>
              <w:rPr>
                <w:rFonts w:ascii="Bahnschrift SemiLight" w:hAnsi="Bahnschrift SemiLight" w:cs="Calibri"/>
                <w:noProof/>
                <w:color w:val="595959" w:themeColor="text1" w:themeTint="A6"/>
                <w:sz w:val="14"/>
                <w:szCs w:val="18"/>
              </w:rPr>
            </w:pPr>
            <w:r w:rsidRPr="009B5734">
              <w:rPr>
                <w:rFonts w:ascii="Bahnschrift SemiLight" w:hAnsi="Bahnschrift SemiLight" w:cs="Calibri"/>
                <w:noProof/>
                <w:color w:val="595959" w:themeColor="text1" w:themeTint="A6"/>
                <w:sz w:val="14"/>
                <w:szCs w:val="18"/>
              </w:rPr>
              <w:t>Level playing field</w:t>
            </w:r>
          </w:p>
        </w:tc>
        <w:tc>
          <w:tcPr>
            <w:tcW w:w="1355" w:type="dxa"/>
            <w:shd w:val="clear" w:color="auto" w:fill="DAEEF3" w:themeFill="accent5" w:themeFillTint="33"/>
            <w:tcMar>
              <w:top w:w="15" w:type="dxa"/>
              <w:left w:w="15" w:type="dxa"/>
              <w:bottom w:w="0" w:type="dxa"/>
              <w:right w:w="15" w:type="dxa"/>
            </w:tcMar>
            <w:vAlign w:val="center"/>
            <w:hideMark/>
          </w:tcPr>
          <w:p w:rsidR="00EA45F9" w:rsidRPr="009B5734" w:rsidRDefault="00EA45F9" w:rsidP="00981615">
            <w:pPr>
              <w:ind w:left="0" w:firstLine="0"/>
              <w:jc w:val="center"/>
              <w:rPr>
                <w:rFonts w:ascii="Bahnschrift SemiLight" w:hAnsi="Bahnschrift SemiLight" w:cs="Calibri"/>
                <w:noProof/>
                <w:color w:val="595959" w:themeColor="text1" w:themeTint="A6"/>
                <w:sz w:val="14"/>
                <w:szCs w:val="18"/>
              </w:rPr>
            </w:pPr>
            <w:r w:rsidRPr="009B5734">
              <w:rPr>
                <w:rFonts w:ascii="Bahnschrift SemiLight" w:hAnsi="Bahnschrift SemiLight" w:cs="Calibri"/>
                <w:noProof/>
                <w:color w:val="595959" w:themeColor="text1" w:themeTint="A6"/>
                <w:sz w:val="14"/>
                <w:szCs w:val="18"/>
              </w:rPr>
              <w:t>Application of the EU legal consumer framework</w:t>
            </w:r>
          </w:p>
        </w:tc>
        <w:tc>
          <w:tcPr>
            <w:tcW w:w="1261" w:type="dxa"/>
            <w:shd w:val="clear" w:color="auto" w:fill="DBE5F1" w:themeFill="accent1" w:themeFillTint="33"/>
            <w:tcMar>
              <w:top w:w="15" w:type="dxa"/>
              <w:left w:w="15" w:type="dxa"/>
              <w:bottom w:w="0" w:type="dxa"/>
              <w:right w:w="15" w:type="dxa"/>
            </w:tcMar>
            <w:vAlign w:val="center"/>
            <w:hideMark/>
          </w:tcPr>
          <w:p w:rsidR="00EA45F9" w:rsidRPr="009B5734" w:rsidRDefault="00EA45F9" w:rsidP="00981615">
            <w:pPr>
              <w:ind w:left="0" w:firstLine="0"/>
              <w:jc w:val="center"/>
              <w:rPr>
                <w:rFonts w:ascii="Bahnschrift SemiLight" w:hAnsi="Bahnschrift SemiLight" w:cs="Calibri"/>
                <w:noProof/>
                <w:color w:val="595959" w:themeColor="text1" w:themeTint="A6"/>
                <w:sz w:val="14"/>
                <w:szCs w:val="14"/>
              </w:rPr>
            </w:pPr>
            <w:r w:rsidRPr="009B5734">
              <w:rPr>
                <w:rFonts w:ascii="Bahnschrift SemiLight" w:hAnsi="Bahnschrift SemiLight" w:cs="Calibri"/>
                <w:noProof/>
                <w:color w:val="595959" w:themeColor="text1" w:themeTint="A6"/>
                <w:sz w:val="14"/>
                <w:szCs w:val="14"/>
              </w:rPr>
              <w:t>Monetisable consumer welfare</w:t>
            </w:r>
          </w:p>
        </w:tc>
        <w:tc>
          <w:tcPr>
            <w:tcW w:w="860" w:type="dxa"/>
            <w:shd w:val="clear" w:color="auto" w:fill="DBE5F1" w:themeFill="accent1" w:themeFillTint="33"/>
            <w:tcMar>
              <w:top w:w="15" w:type="dxa"/>
              <w:left w:w="15" w:type="dxa"/>
              <w:bottom w:w="0" w:type="dxa"/>
              <w:right w:w="15" w:type="dxa"/>
            </w:tcMar>
            <w:vAlign w:val="center"/>
            <w:hideMark/>
          </w:tcPr>
          <w:p w:rsidR="00EA45F9" w:rsidRPr="009B5734" w:rsidRDefault="00EA45F9" w:rsidP="00981615">
            <w:pPr>
              <w:ind w:left="37" w:hanging="37"/>
              <w:jc w:val="center"/>
              <w:rPr>
                <w:rFonts w:ascii="Bahnschrift SemiLight" w:hAnsi="Bahnschrift SemiLight" w:cs="Calibri"/>
                <w:noProof/>
                <w:color w:val="595959" w:themeColor="text1" w:themeTint="A6"/>
                <w:sz w:val="14"/>
                <w:szCs w:val="18"/>
              </w:rPr>
            </w:pPr>
            <w:r w:rsidRPr="009B5734">
              <w:rPr>
                <w:rFonts w:ascii="Bahnschrift SemiLight" w:hAnsi="Bahnschrift SemiLight" w:cs="Calibri"/>
                <w:noProof/>
                <w:color w:val="595959" w:themeColor="text1" w:themeTint="A6"/>
                <w:sz w:val="14"/>
                <w:szCs w:val="18"/>
              </w:rPr>
              <w:t>Barriers to cross-border trade</w:t>
            </w:r>
          </w:p>
        </w:tc>
        <w:tc>
          <w:tcPr>
            <w:tcW w:w="859" w:type="dxa"/>
            <w:shd w:val="clear" w:color="auto" w:fill="DBE5F1" w:themeFill="accent1" w:themeFillTint="33"/>
            <w:tcMar>
              <w:top w:w="15" w:type="dxa"/>
              <w:left w:w="15" w:type="dxa"/>
              <w:bottom w:w="0" w:type="dxa"/>
              <w:right w:w="15" w:type="dxa"/>
            </w:tcMar>
            <w:vAlign w:val="center"/>
            <w:hideMark/>
          </w:tcPr>
          <w:p w:rsidR="00EA45F9" w:rsidRPr="009B5734" w:rsidRDefault="00EA45F9" w:rsidP="00981615">
            <w:pPr>
              <w:ind w:left="19" w:hanging="19"/>
              <w:jc w:val="center"/>
              <w:rPr>
                <w:rFonts w:ascii="Bahnschrift SemiLight" w:hAnsi="Bahnschrift SemiLight" w:cs="Calibri"/>
                <w:noProof/>
                <w:color w:val="595959" w:themeColor="text1" w:themeTint="A6"/>
                <w:sz w:val="14"/>
                <w:szCs w:val="18"/>
              </w:rPr>
            </w:pPr>
            <w:r w:rsidRPr="009B5734">
              <w:rPr>
                <w:rFonts w:ascii="Bahnschrift SemiLight" w:hAnsi="Bahnschrift SemiLight" w:cs="Calibri"/>
                <w:noProof/>
                <w:color w:val="595959" w:themeColor="text1" w:themeTint="A6"/>
                <w:sz w:val="14"/>
                <w:szCs w:val="18"/>
              </w:rPr>
              <w:t>Climate change</w:t>
            </w:r>
          </w:p>
        </w:tc>
        <w:tc>
          <w:tcPr>
            <w:tcW w:w="861" w:type="dxa"/>
            <w:shd w:val="clear" w:color="auto" w:fill="DBE5F1" w:themeFill="accent1" w:themeFillTint="33"/>
            <w:tcMar>
              <w:top w:w="15" w:type="dxa"/>
              <w:left w:w="15" w:type="dxa"/>
              <w:bottom w:w="0" w:type="dxa"/>
              <w:right w:w="15" w:type="dxa"/>
            </w:tcMar>
            <w:vAlign w:val="center"/>
            <w:hideMark/>
          </w:tcPr>
          <w:p w:rsidR="00EA45F9" w:rsidRPr="009B5734" w:rsidRDefault="00EA45F9" w:rsidP="00981615">
            <w:pPr>
              <w:ind w:left="13" w:hanging="13"/>
              <w:jc w:val="center"/>
              <w:rPr>
                <w:rFonts w:ascii="Bahnschrift SemiLight" w:hAnsi="Bahnschrift SemiLight" w:cs="Calibri"/>
                <w:noProof/>
                <w:color w:val="595959" w:themeColor="text1" w:themeTint="A6"/>
                <w:sz w:val="14"/>
                <w:szCs w:val="18"/>
              </w:rPr>
            </w:pPr>
            <w:r w:rsidRPr="009B5734">
              <w:rPr>
                <w:rFonts w:ascii="Bahnschrift SemiLight" w:hAnsi="Bahnschrift SemiLight" w:cs="Calibri"/>
                <w:noProof/>
                <w:color w:val="595959" w:themeColor="text1" w:themeTint="A6"/>
                <w:sz w:val="14"/>
                <w:szCs w:val="18"/>
              </w:rPr>
              <w:t>Other environmental impacts</w:t>
            </w:r>
          </w:p>
        </w:tc>
        <w:tc>
          <w:tcPr>
            <w:tcW w:w="859" w:type="dxa"/>
            <w:shd w:val="clear" w:color="auto" w:fill="DBE5F1" w:themeFill="accent1" w:themeFillTint="33"/>
            <w:tcMar>
              <w:top w:w="15" w:type="dxa"/>
              <w:left w:w="15" w:type="dxa"/>
              <w:bottom w:w="0" w:type="dxa"/>
              <w:right w:w="15" w:type="dxa"/>
            </w:tcMar>
            <w:vAlign w:val="center"/>
            <w:hideMark/>
          </w:tcPr>
          <w:p w:rsidR="00EA45F9" w:rsidRPr="009B5734" w:rsidRDefault="00EA45F9" w:rsidP="00981615">
            <w:pPr>
              <w:ind w:left="8" w:hanging="8"/>
              <w:jc w:val="center"/>
              <w:rPr>
                <w:rFonts w:ascii="Bahnschrift SemiLight" w:hAnsi="Bahnschrift SemiLight" w:cs="Calibri"/>
                <w:noProof/>
                <w:color w:val="595959" w:themeColor="text1" w:themeTint="A6"/>
                <w:sz w:val="14"/>
                <w:szCs w:val="18"/>
              </w:rPr>
            </w:pPr>
            <w:r w:rsidRPr="009B5734">
              <w:rPr>
                <w:rFonts w:ascii="Bahnschrift SemiLight" w:hAnsi="Bahnschrift SemiLight" w:cs="Calibri"/>
                <w:noProof/>
                <w:color w:val="595959" w:themeColor="text1" w:themeTint="A6"/>
                <w:sz w:val="14"/>
                <w:szCs w:val="18"/>
              </w:rPr>
              <w:t>Administrative burden</w:t>
            </w:r>
          </w:p>
        </w:tc>
        <w:tc>
          <w:tcPr>
            <w:tcW w:w="860" w:type="dxa"/>
            <w:shd w:val="clear" w:color="auto" w:fill="DBE5F1" w:themeFill="accent1" w:themeFillTint="33"/>
            <w:tcMar>
              <w:top w:w="15" w:type="dxa"/>
              <w:left w:w="15" w:type="dxa"/>
              <w:bottom w:w="0" w:type="dxa"/>
              <w:right w:w="15" w:type="dxa"/>
            </w:tcMar>
            <w:vAlign w:val="center"/>
            <w:hideMark/>
          </w:tcPr>
          <w:p w:rsidR="00EA45F9" w:rsidRPr="009B5734" w:rsidRDefault="00EA45F9" w:rsidP="00981615">
            <w:pPr>
              <w:ind w:left="2" w:hanging="2"/>
              <w:jc w:val="center"/>
              <w:rPr>
                <w:rFonts w:ascii="Bahnschrift SemiLight" w:hAnsi="Bahnschrift SemiLight" w:cs="Calibri"/>
                <w:noProof/>
                <w:color w:val="595959" w:themeColor="text1" w:themeTint="A6"/>
                <w:sz w:val="14"/>
                <w:szCs w:val="18"/>
              </w:rPr>
            </w:pPr>
            <w:r w:rsidRPr="009B5734">
              <w:rPr>
                <w:rFonts w:ascii="Bahnschrift SemiLight" w:hAnsi="Bahnschrift SemiLight" w:cs="Calibri"/>
                <w:noProof/>
                <w:color w:val="595959" w:themeColor="text1" w:themeTint="A6"/>
                <w:sz w:val="14"/>
                <w:szCs w:val="18"/>
              </w:rPr>
              <w:t>Substantive compliance costs</w:t>
            </w:r>
          </w:p>
        </w:tc>
        <w:tc>
          <w:tcPr>
            <w:tcW w:w="859" w:type="dxa"/>
            <w:shd w:val="clear" w:color="auto" w:fill="DBE5F1" w:themeFill="accent1" w:themeFillTint="33"/>
            <w:tcMar>
              <w:top w:w="15" w:type="dxa"/>
              <w:left w:w="15" w:type="dxa"/>
              <w:bottom w:w="0" w:type="dxa"/>
              <w:right w:w="15" w:type="dxa"/>
            </w:tcMar>
            <w:vAlign w:val="center"/>
            <w:hideMark/>
          </w:tcPr>
          <w:p w:rsidR="00EA45F9" w:rsidRPr="009B5734" w:rsidRDefault="00EA45F9" w:rsidP="00981615">
            <w:pPr>
              <w:ind w:left="0" w:firstLine="0"/>
              <w:jc w:val="center"/>
              <w:rPr>
                <w:rFonts w:ascii="Bahnschrift SemiLight" w:hAnsi="Bahnschrift SemiLight" w:cs="Calibri"/>
                <w:noProof/>
                <w:color w:val="595959" w:themeColor="text1" w:themeTint="A6"/>
                <w:sz w:val="14"/>
                <w:szCs w:val="18"/>
              </w:rPr>
            </w:pPr>
            <w:r w:rsidRPr="009B5734">
              <w:rPr>
                <w:rFonts w:ascii="Bahnschrift SemiLight" w:hAnsi="Bahnschrift SemiLight" w:cs="Calibri"/>
                <w:noProof/>
                <w:color w:val="595959" w:themeColor="text1" w:themeTint="A6"/>
                <w:sz w:val="14"/>
                <w:szCs w:val="18"/>
              </w:rPr>
              <w:t>Indirect costs</w:t>
            </w:r>
          </w:p>
        </w:tc>
        <w:tc>
          <w:tcPr>
            <w:tcW w:w="860" w:type="dxa"/>
            <w:shd w:val="clear" w:color="auto" w:fill="DBE5F1" w:themeFill="accent1" w:themeFillTint="33"/>
            <w:tcMar>
              <w:top w:w="15" w:type="dxa"/>
              <w:left w:w="15" w:type="dxa"/>
              <w:bottom w:w="0" w:type="dxa"/>
              <w:right w:w="15" w:type="dxa"/>
            </w:tcMar>
            <w:vAlign w:val="center"/>
            <w:hideMark/>
          </w:tcPr>
          <w:p w:rsidR="00EA45F9" w:rsidRPr="009B5734" w:rsidRDefault="00EA45F9" w:rsidP="00981615">
            <w:pPr>
              <w:jc w:val="center"/>
              <w:rPr>
                <w:rFonts w:ascii="Bahnschrift SemiLight" w:hAnsi="Bahnschrift SemiLight" w:cs="Calibri"/>
                <w:noProof/>
                <w:color w:val="595959" w:themeColor="text1" w:themeTint="A6"/>
                <w:sz w:val="14"/>
                <w:szCs w:val="18"/>
              </w:rPr>
            </w:pPr>
            <w:r w:rsidRPr="009B5734">
              <w:rPr>
                <w:rFonts w:ascii="Bahnschrift SemiLight" w:hAnsi="Bahnschrift SemiLight" w:cs="Calibri"/>
                <w:noProof/>
                <w:color w:val="595959" w:themeColor="text1" w:themeTint="A6"/>
                <w:sz w:val="14"/>
                <w:szCs w:val="18"/>
              </w:rPr>
              <w:t>SME growth</w:t>
            </w:r>
          </w:p>
        </w:tc>
        <w:tc>
          <w:tcPr>
            <w:tcW w:w="835" w:type="dxa"/>
            <w:shd w:val="clear" w:color="auto" w:fill="DBE5F1" w:themeFill="accent1" w:themeFillTint="33"/>
            <w:vAlign w:val="center"/>
          </w:tcPr>
          <w:p w:rsidR="00EA45F9" w:rsidRPr="009B5734" w:rsidRDefault="00EA45F9" w:rsidP="00981615">
            <w:pPr>
              <w:ind w:left="0" w:firstLine="0"/>
              <w:jc w:val="center"/>
              <w:rPr>
                <w:rFonts w:ascii="Bahnschrift SemiLight" w:hAnsi="Bahnschrift SemiLight" w:cs="Calibri"/>
                <w:noProof/>
                <w:color w:val="595959" w:themeColor="text1" w:themeTint="A6"/>
                <w:sz w:val="14"/>
                <w:szCs w:val="18"/>
              </w:rPr>
            </w:pPr>
            <w:r w:rsidRPr="009B5734">
              <w:rPr>
                <w:rFonts w:ascii="Bahnschrift SemiLight" w:hAnsi="Bahnschrift SemiLight" w:cs="Calibri"/>
                <w:noProof/>
                <w:color w:val="595959" w:themeColor="text1" w:themeTint="A6"/>
                <w:sz w:val="14"/>
                <w:szCs w:val="18"/>
              </w:rPr>
              <w:t>Costs to public bodies</w:t>
            </w:r>
          </w:p>
        </w:tc>
        <w:tc>
          <w:tcPr>
            <w:tcW w:w="833" w:type="dxa"/>
            <w:vMerge/>
            <w:shd w:val="clear" w:color="auto" w:fill="0F243E" w:themeFill="text2" w:themeFillShade="80"/>
            <w:vAlign w:val="center"/>
            <w:hideMark/>
          </w:tcPr>
          <w:p w:rsidR="00EA45F9" w:rsidRPr="009B5734" w:rsidRDefault="00EA45F9" w:rsidP="00981615">
            <w:pPr>
              <w:rPr>
                <w:rFonts w:ascii="Bahnschrift SemiLight" w:hAnsi="Bahnschrift SemiLight" w:cs="Calibri"/>
                <w:noProof/>
                <w:color w:val="595959" w:themeColor="text1" w:themeTint="A6"/>
                <w:sz w:val="14"/>
                <w:szCs w:val="18"/>
              </w:rPr>
            </w:pPr>
          </w:p>
        </w:tc>
      </w:tr>
      <w:tr w:rsidR="00EA45F9" w:rsidRPr="009B5734" w:rsidTr="00C84A99">
        <w:trPr>
          <w:cantSplit/>
          <w:trHeight w:val="700"/>
        </w:trPr>
        <w:tc>
          <w:tcPr>
            <w:tcW w:w="1038" w:type="dxa"/>
            <w:shd w:val="clear" w:color="auto" w:fill="A6A6A6" w:themeFill="background1" w:themeFillShade="A6"/>
            <w:tcMar>
              <w:top w:w="15" w:type="dxa"/>
              <w:left w:w="15" w:type="dxa"/>
              <w:bottom w:w="0" w:type="dxa"/>
              <w:right w:w="15" w:type="dxa"/>
            </w:tcMar>
            <w:vAlign w:val="center"/>
            <w:hideMark/>
          </w:tcPr>
          <w:p w:rsidR="00EA45F9" w:rsidRPr="009B5734" w:rsidRDefault="00EA45F9" w:rsidP="00981615">
            <w:pPr>
              <w:ind w:left="0" w:firstLine="0"/>
              <w:jc w:val="center"/>
              <w:rPr>
                <w:rFonts w:cstheme="minorHAnsi"/>
                <w:b/>
                <w:bCs/>
                <w:noProof/>
                <w:color w:val="FFFFFF"/>
                <w:sz w:val="14"/>
                <w:szCs w:val="18"/>
              </w:rPr>
            </w:pPr>
            <w:r w:rsidRPr="005D24D2">
              <w:rPr>
                <w:b/>
                <w:bCs/>
                <w:noProof/>
                <w:color w:val="FFFFFF"/>
                <w:sz w:val="14"/>
                <w:szCs w:val="14"/>
              </w:rPr>
              <w:t>STAKEHOLDER DIRECTLY AFFECTED</w:t>
            </w:r>
          </w:p>
        </w:tc>
        <w:tc>
          <w:tcPr>
            <w:tcW w:w="1024" w:type="dxa"/>
            <w:shd w:val="clear" w:color="auto" w:fill="auto"/>
            <w:tcMar>
              <w:top w:w="15" w:type="dxa"/>
              <w:left w:w="15" w:type="dxa"/>
              <w:bottom w:w="0" w:type="dxa"/>
              <w:right w:w="15" w:type="dxa"/>
            </w:tcMar>
            <w:vAlign w:val="center"/>
            <w:hideMark/>
          </w:tcPr>
          <w:p w:rsidR="00EA45F9" w:rsidRPr="009B5734" w:rsidRDefault="00EA45F9" w:rsidP="00981615">
            <w:pPr>
              <w:jc w:val="center"/>
              <w:rPr>
                <w:rFonts w:ascii="Bahnschrift SemiLight" w:hAnsi="Bahnschrift SemiLight" w:cs="Calibri"/>
                <w:noProof/>
                <w:color w:val="595959" w:themeColor="text1" w:themeTint="A6"/>
                <w:sz w:val="14"/>
                <w:szCs w:val="16"/>
              </w:rPr>
            </w:pPr>
            <w:r w:rsidRPr="009B5734">
              <w:rPr>
                <w:rFonts w:ascii="Bahnschrift SemiLight" w:hAnsi="Bahnschrift SemiLight" w:cs="Calibri"/>
                <w:noProof/>
                <w:color w:val="595959" w:themeColor="text1" w:themeTint="A6"/>
                <w:sz w:val="14"/>
                <w:szCs w:val="16"/>
              </w:rPr>
              <w:t>Consumers</w:t>
            </w:r>
          </w:p>
        </w:tc>
        <w:tc>
          <w:tcPr>
            <w:tcW w:w="930" w:type="dxa"/>
            <w:gridSpan w:val="2"/>
            <w:shd w:val="clear" w:color="auto" w:fill="auto"/>
            <w:noWrap/>
            <w:tcMar>
              <w:top w:w="15" w:type="dxa"/>
              <w:left w:w="15" w:type="dxa"/>
              <w:bottom w:w="0" w:type="dxa"/>
              <w:right w:w="15" w:type="dxa"/>
            </w:tcMar>
            <w:vAlign w:val="center"/>
            <w:hideMark/>
          </w:tcPr>
          <w:p w:rsidR="00EA45F9" w:rsidRPr="009B5734" w:rsidRDefault="00EA45F9" w:rsidP="00981615">
            <w:pPr>
              <w:jc w:val="center"/>
              <w:rPr>
                <w:rFonts w:ascii="Bahnschrift SemiLight" w:hAnsi="Bahnschrift SemiLight" w:cs="Calibri"/>
                <w:noProof/>
                <w:color w:val="595959" w:themeColor="text1" w:themeTint="A6"/>
                <w:sz w:val="14"/>
                <w:szCs w:val="16"/>
              </w:rPr>
            </w:pPr>
            <w:r w:rsidRPr="009B5734">
              <w:rPr>
                <w:rFonts w:ascii="Bahnschrift SemiLight" w:hAnsi="Bahnschrift SemiLight" w:cs="Calibri"/>
                <w:noProof/>
                <w:color w:val="595959" w:themeColor="text1" w:themeTint="A6"/>
                <w:sz w:val="14"/>
                <w:szCs w:val="16"/>
              </w:rPr>
              <w:t>Society</w:t>
            </w:r>
          </w:p>
        </w:tc>
        <w:tc>
          <w:tcPr>
            <w:tcW w:w="769" w:type="dxa"/>
            <w:shd w:val="clear" w:color="auto" w:fill="auto"/>
            <w:tcMar>
              <w:top w:w="15" w:type="dxa"/>
              <w:left w:w="15" w:type="dxa"/>
              <w:bottom w:w="0" w:type="dxa"/>
              <w:right w:w="15" w:type="dxa"/>
            </w:tcMar>
            <w:vAlign w:val="center"/>
            <w:hideMark/>
          </w:tcPr>
          <w:p w:rsidR="00EA45F9" w:rsidRPr="009B5734" w:rsidRDefault="00EA45F9" w:rsidP="00981615">
            <w:pPr>
              <w:jc w:val="center"/>
              <w:rPr>
                <w:rFonts w:ascii="Bahnschrift SemiLight" w:hAnsi="Bahnschrift SemiLight" w:cs="Calibri"/>
                <w:noProof/>
                <w:color w:val="595959" w:themeColor="text1" w:themeTint="A6"/>
                <w:sz w:val="14"/>
                <w:szCs w:val="16"/>
              </w:rPr>
            </w:pPr>
            <w:r w:rsidRPr="009B5734">
              <w:rPr>
                <w:rFonts w:ascii="Bahnschrift SemiLight" w:hAnsi="Bahnschrift SemiLight" w:cs="Calibri"/>
                <w:noProof/>
                <w:color w:val="595959" w:themeColor="text1" w:themeTint="A6"/>
                <w:sz w:val="14"/>
                <w:szCs w:val="16"/>
              </w:rPr>
              <w:t>Consumers</w:t>
            </w:r>
          </w:p>
        </w:tc>
        <w:tc>
          <w:tcPr>
            <w:tcW w:w="833" w:type="dxa"/>
            <w:shd w:val="clear" w:color="auto" w:fill="auto"/>
            <w:tcMar>
              <w:top w:w="15" w:type="dxa"/>
              <w:left w:w="15" w:type="dxa"/>
              <w:bottom w:w="0" w:type="dxa"/>
              <w:right w:w="15" w:type="dxa"/>
            </w:tcMar>
            <w:vAlign w:val="center"/>
            <w:hideMark/>
          </w:tcPr>
          <w:p w:rsidR="00EA45F9" w:rsidRPr="009B5734" w:rsidRDefault="00EA45F9" w:rsidP="00981615">
            <w:pPr>
              <w:jc w:val="center"/>
              <w:rPr>
                <w:rFonts w:ascii="Bahnschrift SemiLight" w:hAnsi="Bahnschrift SemiLight" w:cs="Calibri"/>
                <w:noProof/>
                <w:color w:val="595959" w:themeColor="text1" w:themeTint="A6"/>
                <w:sz w:val="14"/>
                <w:szCs w:val="16"/>
              </w:rPr>
            </w:pPr>
            <w:r w:rsidRPr="009B5734">
              <w:rPr>
                <w:rFonts w:ascii="Bahnschrift SemiLight" w:hAnsi="Bahnschrift SemiLight" w:cs="Calibri"/>
                <w:noProof/>
                <w:color w:val="595959" w:themeColor="text1" w:themeTint="A6"/>
                <w:sz w:val="14"/>
                <w:szCs w:val="16"/>
              </w:rPr>
              <w:t>Consumers</w:t>
            </w:r>
          </w:p>
        </w:tc>
        <w:tc>
          <w:tcPr>
            <w:tcW w:w="835" w:type="dxa"/>
            <w:shd w:val="clear" w:color="auto" w:fill="auto"/>
            <w:tcMar>
              <w:top w:w="15" w:type="dxa"/>
              <w:left w:w="15" w:type="dxa"/>
              <w:bottom w:w="0" w:type="dxa"/>
              <w:right w:w="15" w:type="dxa"/>
            </w:tcMar>
            <w:vAlign w:val="center"/>
            <w:hideMark/>
          </w:tcPr>
          <w:p w:rsidR="00EA45F9" w:rsidRPr="009B5734" w:rsidRDefault="00EA45F9" w:rsidP="00981615">
            <w:pPr>
              <w:jc w:val="center"/>
              <w:rPr>
                <w:rFonts w:ascii="Bahnschrift SemiLight" w:hAnsi="Bahnschrift SemiLight" w:cs="Calibri"/>
                <w:noProof/>
                <w:color w:val="595959" w:themeColor="text1" w:themeTint="A6"/>
                <w:sz w:val="14"/>
                <w:szCs w:val="16"/>
              </w:rPr>
            </w:pPr>
            <w:r w:rsidRPr="009B5734">
              <w:rPr>
                <w:rFonts w:ascii="Bahnschrift SemiLight" w:hAnsi="Bahnschrift SemiLight" w:cs="Calibri"/>
                <w:noProof/>
                <w:color w:val="595959" w:themeColor="text1" w:themeTint="A6"/>
                <w:sz w:val="14"/>
                <w:szCs w:val="16"/>
              </w:rPr>
              <w:t>Businesses</w:t>
            </w:r>
          </w:p>
        </w:tc>
        <w:tc>
          <w:tcPr>
            <w:tcW w:w="1355" w:type="dxa"/>
            <w:shd w:val="clear" w:color="auto" w:fill="auto"/>
            <w:tcMar>
              <w:top w:w="15" w:type="dxa"/>
              <w:left w:w="15" w:type="dxa"/>
              <w:bottom w:w="0" w:type="dxa"/>
              <w:right w:w="15" w:type="dxa"/>
            </w:tcMar>
            <w:vAlign w:val="center"/>
            <w:hideMark/>
          </w:tcPr>
          <w:p w:rsidR="00EA45F9" w:rsidRPr="009B5734" w:rsidRDefault="00EA45F9" w:rsidP="00981615">
            <w:pPr>
              <w:jc w:val="center"/>
              <w:rPr>
                <w:rFonts w:ascii="Bahnschrift SemiLight" w:hAnsi="Bahnschrift SemiLight" w:cs="Calibri"/>
                <w:noProof/>
                <w:color w:val="595959" w:themeColor="text1" w:themeTint="A6"/>
                <w:sz w:val="14"/>
                <w:szCs w:val="16"/>
              </w:rPr>
            </w:pPr>
            <w:r w:rsidRPr="009B5734">
              <w:rPr>
                <w:rFonts w:ascii="Bahnschrift SemiLight" w:hAnsi="Bahnschrift SemiLight" w:cs="Calibri"/>
                <w:noProof/>
                <w:color w:val="595959" w:themeColor="text1" w:themeTint="A6"/>
                <w:sz w:val="14"/>
                <w:szCs w:val="16"/>
              </w:rPr>
              <w:t>Society</w:t>
            </w:r>
          </w:p>
        </w:tc>
        <w:tc>
          <w:tcPr>
            <w:tcW w:w="1261" w:type="dxa"/>
            <w:shd w:val="clear" w:color="auto" w:fill="auto"/>
            <w:noWrap/>
            <w:tcMar>
              <w:top w:w="15" w:type="dxa"/>
              <w:left w:w="15" w:type="dxa"/>
              <w:bottom w:w="0" w:type="dxa"/>
              <w:right w:w="15" w:type="dxa"/>
            </w:tcMar>
            <w:vAlign w:val="center"/>
            <w:hideMark/>
          </w:tcPr>
          <w:p w:rsidR="00EA45F9" w:rsidRPr="009B5734" w:rsidRDefault="00EA45F9" w:rsidP="00981615">
            <w:pPr>
              <w:jc w:val="center"/>
              <w:rPr>
                <w:rFonts w:ascii="Bahnschrift SemiLight" w:hAnsi="Bahnschrift SemiLight" w:cs="Calibri"/>
                <w:noProof/>
                <w:color w:val="595959" w:themeColor="text1" w:themeTint="A6"/>
                <w:sz w:val="14"/>
                <w:szCs w:val="16"/>
              </w:rPr>
            </w:pPr>
            <w:r w:rsidRPr="009B5734">
              <w:rPr>
                <w:rFonts w:ascii="Bahnschrift SemiLight" w:hAnsi="Bahnschrift SemiLight" w:cs="Calibri"/>
                <w:noProof/>
                <w:color w:val="595959" w:themeColor="text1" w:themeTint="A6"/>
                <w:sz w:val="14"/>
                <w:szCs w:val="16"/>
              </w:rPr>
              <w:t>Consumers</w:t>
            </w:r>
          </w:p>
        </w:tc>
        <w:tc>
          <w:tcPr>
            <w:tcW w:w="860" w:type="dxa"/>
            <w:shd w:val="clear" w:color="auto" w:fill="auto"/>
            <w:noWrap/>
            <w:tcMar>
              <w:top w:w="15" w:type="dxa"/>
              <w:left w:w="15" w:type="dxa"/>
              <w:bottom w:w="0" w:type="dxa"/>
              <w:right w:w="15" w:type="dxa"/>
            </w:tcMar>
            <w:vAlign w:val="center"/>
            <w:hideMark/>
          </w:tcPr>
          <w:p w:rsidR="00EA45F9" w:rsidRPr="009B5734" w:rsidRDefault="00EA45F9" w:rsidP="00981615">
            <w:pPr>
              <w:jc w:val="center"/>
              <w:rPr>
                <w:rFonts w:ascii="Bahnschrift SemiLight" w:hAnsi="Bahnschrift SemiLight" w:cs="Calibri"/>
                <w:noProof/>
                <w:color w:val="595959" w:themeColor="text1" w:themeTint="A6"/>
                <w:sz w:val="14"/>
                <w:szCs w:val="16"/>
              </w:rPr>
            </w:pPr>
            <w:r w:rsidRPr="009B5734">
              <w:rPr>
                <w:rFonts w:ascii="Bahnschrift SemiLight" w:hAnsi="Bahnschrift SemiLight" w:cs="Calibri"/>
                <w:noProof/>
                <w:color w:val="595959" w:themeColor="text1" w:themeTint="A6"/>
                <w:sz w:val="14"/>
                <w:szCs w:val="16"/>
              </w:rPr>
              <w:t>Businesses</w:t>
            </w:r>
          </w:p>
        </w:tc>
        <w:tc>
          <w:tcPr>
            <w:tcW w:w="859" w:type="dxa"/>
            <w:shd w:val="clear" w:color="auto" w:fill="auto"/>
            <w:noWrap/>
            <w:tcMar>
              <w:top w:w="15" w:type="dxa"/>
              <w:left w:w="15" w:type="dxa"/>
              <w:bottom w:w="0" w:type="dxa"/>
              <w:right w:w="15" w:type="dxa"/>
            </w:tcMar>
            <w:vAlign w:val="center"/>
            <w:hideMark/>
          </w:tcPr>
          <w:p w:rsidR="00EA45F9" w:rsidRPr="009B5734" w:rsidRDefault="00EA45F9" w:rsidP="00981615">
            <w:pPr>
              <w:jc w:val="center"/>
              <w:rPr>
                <w:rFonts w:ascii="Bahnschrift SemiLight" w:hAnsi="Bahnschrift SemiLight" w:cs="Calibri"/>
                <w:noProof/>
                <w:color w:val="595959" w:themeColor="text1" w:themeTint="A6"/>
                <w:sz w:val="14"/>
                <w:szCs w:val="16"/>
              </w:rPr>
            </w:pPr>
            <w:r w:rsidRPr="009B5734">
              <w:rPr>
                <w:rFonts w:ascii="Bahnschrift SemiLight" w:hAnsi="Bahnschrift SemiLight" w:cs="Calibri"/>
                <w:noProof/>
                <w:color w:val="595959" w:themeColor="text1" w:themeTint="A6"/>
                <w:sz w:val="14"/>
                <w:szCs w:val="16"/>
              </w:rPr>
              <w:t>Society</w:t>
            </w:r>
          </w:p>
        </w:tc>
        <w:tc>
          <w:tcPr>
            <w:tcW w:w="861" w:type="dxa"/>
            <w:shd w:val="clear" w:color="auto" w:fill="auto"/>
            <w:noWrap/>
            <w:tcMar>
              <w:top w:w="15" w:type="dxa"/>
              <w:left w:w="15" w:type="dxa"/>
              <w:bottom w:w="0" w:type="dxa"/>
              <w:right w:w="15" w:type="dxa"/>
            </w:tcMar>
            <w:vAlign w:val="center"/>
            <w:hideMark/>
          </w:tcPr>
          <w:p w:rsidR="00EA45F9" w:rsidRPr="009B5734" w:rsidRDefault="00EA45F9" w:rsidP="00981615">
            <w:pPr>
              <w:jc w:val="center"/>
              <w:rPr>
                <w:rFonts w:ascii="Bahnschrift SemiLight" w:hAnsi="Bahnschrift SemiLight" w:cs="Calibri"/>
                <w:noProof/>
                <w:color w:val="595959" w:themeColor="text1" w:themeTint="A6"/>
                <w:sz w:val="14"/>
                <w:szCs w:val="16"/>
              </w:rPr>
            </w:pPr>
            <w:r w:rsidRPr="009B5734">
              <w:rPr>
                <w:rFonts w:ascii="Bahnschrift SemiLight" w:hAnsi="Bahnschrift SemiLight" w:cs="Calibri"/>
                <w:noProof/>
                <w:color w:val="595959" w:themeColor="text1" w:themeTint="A6"/>
                <w:sz w:val="14"/>
                <w:szCs w:val="16"/>
              </w:rPr>
              <w:t>Society</w:t>
            </w:r>
          </w:p>
        </w:tc>
        <w:tc>
          <w:tcPr>
            <w:tcW w:w="859" w:type="dxa"/>
            <w:shd w:val="clear" w:color="auto" w:fill="auto"/>
            <w:noWrap/>
            <w:tcMar>
              <w:top w:w="15" w:type="dxa"/>
              <w:left w:w="15" w:type="dxa"/>
              <w:bottom w:w="0" w:type="dxa"/>
              <w:right w:w="15" w:type="dxa"/>
            </w:tcMar>
            <w:vAlign w:val="center"/>
            <w:hideMark/>
          </w:tcPr>
          <w:p w:rsidR="00EA45F9" w:rsidRPr="009B5734" w:rsidRDefault="00EA45F9" w:rsidP="00981615">
            <w:pPr>
              <w:jc w:val="center"/>
              <w:rPr>
                <w:rFonts w:ascii="Bahnschrift SemiLight" w:hAnsi="Bahnschrift SemiLight" w:cs="Calibri"/>
                <w:noProof/>
                <w:color w:val="595959" w:themeColor="text1" w:themeTint="A6"/>
                <w:sz w:val="14"/>
                <w:szCs w:val="16"/>
              </w:rPr>
            </w:pPr>
            <w:r w:rsidRPr="009B5734">
              <w:rPr>
                <w:rFonts w:ascii="Bahnschrift SemiLight" w:hAnsi="Bahnschrift SemiLight" w:cs="Calibri"/>
                <w:noProof/>
                <w:color w:val="595959" w:themeColor="text1" w:themeTint="A6"/>
                <w:sz w:val="14"/>
                <w:szCs w:val="16"/>
              </w:rPr>
              <w:t>Businesses</w:t>
            </w:r>
          </w:p>
        </w:tc>
        <w:tc>
          <w:tcPr>
            <w:tcW w:w="860" w:type="dxa"/>
            <w:shd w:val="clear" w:color="auto" w:fill="auto"/>
            <w:noWrap/>
            <w:tcMar>
              <w:top w:w="15" w:type="dxa"/>
              <w:left w:w="15" w:type="dxa"/>
              <w:bottom w:w="0" w:type="dxa"/>
              <w:right w:w="15" w:type="dxa"/>
            </w:tcMar>
            <w:vAlign w:val="center"/>
            <w:hideMark/>
          </w:tcPr>
          <w:p w:rsidR="00EA45F9" w:rsidRPr="009B5734" w:rsidRDefault="00EA45F9" w:rsidP="00981615">
            <w:pPr>
              <w:jc w:val="center"/>
              <w:rPr>
                <w:rFonts w:ascii="Bahnschrift SemiLight" w:hAnsi="Bahnschrift SemiLight" w:cs="Calibri"/>
                <w:noProof/>
                <w:color w:val="595959" w:themeColor="text1" w:themeTint="A6"/>
                <w:sz w:val="14"/>
                <w:szCs w:val="16"/>
              </w:rPr>
            </w:pPr>
            <w:r w:rsidRPr="009B5734">
              <w:rPr>
                <w:rFonts w:ascii="Bahnschrift SemiLight" w:hAnsi="Bahnschrift SemiLight" w:cs="Calibri"/>
                <w:noProof/>
                <w:color w:val="595959" w:themeColor="text1" w:themeTint="A6"/>
                <w:sz w:val="14"/>
                <w:szCs w:val="16"/>
              </w:rPr>
              <w:t>Businesses</w:t>
            </w:r>
          </w:p>
        </w:tc>
        <w:tc>
          <w:tcPr>
            <w:tcW w:w="859" w:type="dxa"/>
            <w:shd w:val="clear" w:color="auto" w:fill="auto"/>
            <w:noWrap/>
            <w:tcMar>
              <w:top w:w="15" w:type="dxa"/>
              <w:left w:w="15" w:type="dxa"/>
              <w:bottom w:w="0" w:type="dxa"/>
              <w:right w:w="15" w:type="dxa"/>
            </w:tcMar>
            <w:vAlign w:val="center"/>
            <w:hideMark/>
          </w:tcPr>
          <w:p w:rsidR="00EA45F9" w:rsidRPr="009B5734" w:rsidRDefault="00EA45F9" w:rsidP="00981615">
            <w:pPr>
              <w:jc w:val="center"/>
              <w:rPr>
                <w:rFonts w:ascii="Bahnschrift SemiLight" w:hAnsi="Bahnschrift SemiLight" w:cs="Calibri"/>
                <w:noProof/>
                <w:color w:val="595959" w:themeColor="text1" w:themeTint="A6"/>
                <w:sz w:val="14"/>
                <w:szCs w:val="16"/>
              </w:rPr>
            </w:pPr>
            <w:r w:rsidRPr="009B5734">
              <w:rPr>
                <w:rFonts w:ascii="Bahnschrift SemiLight" w:hAnsi="Bahnschrift SemiLight" w:cs="Calibri"/>
                <w:noProof/>
                <w:color w:val="595959" w:themeColor="text1" w:themeTint="A6"/>
                <w:sz w:val="14"/>
                <w:szCs w:val="16"/>
              </w:rPr>
              <w:t>Businesses</w:t>
            </w:r>
          </w:p>
        </w:tc>
        <w:tc>
          <w:tcPr>
            <w:tcW w:w="860" w:type="dxa"/>
            <w:shd w:val="clear" w:color="auto" w:fill="auto"/>
            <w:noWrap/>
            <w:tcMar>
              <w:top w:w="15" w:type="dxa"/>
              <w:left w:w="15" w:type="dxa"/>
              <w:bottom w:w="0" w:type="dxa"/>
              <w:right w:w="15" w:type="dxa"/>
            </w:tcMar>
            <w:vAlign w:val="center"/>
            <w:hideMark/>
          </w:tcPr>
          <w:p w:rsidR="00EA45F9" w:rsidRPr="009B5734" w:rsidRDefault="00EA45F9" w:rsidP="00981615">
            <w:pPr>
              <w:jc w:val="center"/>
              <w:rPr>
                <w:rFonts w:ascii="Bahnschrift SemiLight" w:hAnsi="Bahnschrift SemiLight" w:cs="Calibri"/>
                <w:noProof/>
                <w:color w:val="595959" w:themeColor="text1" w:themeTint="A6"/>
                <w:sz w:val="14"/>
                <w:szCs w:val="16"/>
              </w:rPr>
            </w:pPr>
            <w:r w:rsidRPr="009B5734">
              <w:rPr>
                <w:rFonts w:ascii="Bahnschrift SemiLight" w:hAnsi="Bahnschrift SemiLight" w:cs="Calibri"/>
                <w:noProof/>
                <w:color w:val="595959" w:themeColor="text1" w:themeTint="A6"/>
                <w:sz w:val="14"/>
                <w:szCs w:val="16"/>
              </w:rPr>
              <w:t>Businesses</w:t>
            </w:r>
          </w:p>
        </w:tc>
        <w:tc>
          <w:tcPr>
            <w:tcW w:w="835" w:type="dxa"/>
            <w:vAlign w:val="center"/>
          </w:tcPr>
          <w:p w:rsidR="00EA45F9" w:rsidRPr="009B5734" w:rsidRDefault="00EA45F9" w:rsidP="00981615">
            <w:pPr>
              <w:ind w:left="0" w:firstLine="0"/>
              <w:jc w:val="center"/>
              <w:rPr>
                <w:rFonts w:ascii="Bahnschrift SemiLight" w:hAnsi="Bahnschrift SemiLight" w:cs="Calibri"/>
                <w:noProof/>
                <w:color w:val="595959" w:themeColor="text1" w:themeTint="A6"/>
                <w:sz w:val="14"/>
                <w:szCs w:val="16"/>
              </w:rPr>
            </w:pPr>
            <w:r w:rsidRPr="009B5734">
              <w:rPr>
                <w:rFonts w:ascii="Bahnschrift SemiLight" w:hAnsi="Bahnschrift SemiLight" w:cs="Calibri"/>
                <w:noProof/>
                <w:color w:val="595959" w:themeColor="text1" w:themeTint="A6"/>
                <w:sz w:val="14"/>
                <w:szCs w:val="16"/>
              </w:rPr>
              <w:t>Public bodies</w:t>
            </w:r>
          </w:p>
        </w:tc>
        <w:tc>
          <w:tcPr>
            <w:tcW w:w="833" w:type="dxa"/>
            <w:vMerge/>
            <w:shd w:val="clear" w:color="auto" w:fill="0F243E" w:themeFill="text2" w:themeFillShade="80"/>
            <w:vAlign w:val="center"/>
            <w:hideMark/>
          </w:tcPr>
          <w:p w:rsidR="00EA45F9" w:rsidRPr="009B5734" w:rsidRDefault="00EA45F9" w:rsidP="00981615">
            <w:pPr>
              <w:rPr>
                <w:rFonts w:ascii="Bahnschrift SemiLight" w:hAnsi="Bahnschrift SemiLight" w:cs="Calibri"/>
                <w:noProof/>
                <w:color w:val="595959" w:themeColor="text1" w:themeTint="A6"/>
                <w:sz w:val="14"/>
                <w:szCs w:val="16"/>
              </w:rPr>
            </w:pPr>
          </w:p>
        </w:tc>
      </w:tr>
      <w:tr w:rsidR="00EA45F9" w:rsidRPr="009B5734" w:rsidTr="00C84A99">
        <w:trPr>
          <w:cantSplit/>
          <w:trHeight w:val="333"/>
        </w:trPr>
        <w:tc>
          <w:tcPr>
            <w:tcW w:w="1038" w:type="dxa"/>
            <w:shd w:val="clear" w:color="auto" w:fill="D9D9D9" w:themeFill="background1" w:themeFillShade="D9"/>
            <w:noWrap/>
            <w:tcMar>
              <w:top w:w="15" w:type="dxa"/>
              <w:left w:w="15" w:type="dxa"/>
              <w:bottom w:w="0" w:type="dxa"/>
              <w:right w:w="15" w:type="dxa"/>
            </w:tcMar>
            <w:vAlign w:val="center"/>
            <w:hideMark/>
          </w:tcPr>
          <w:p w:rsidR="00EA45F9" w:rsidRPr="009B5734" w:rsidRDefault="00EA45F9" w:rsidP="00981615">
            <w:pPr>
              <w:jc w:val="center"/>
              <w:rPr>
                <w:rFonts w:cstheme="minorHAnsi"/>
                <w:b/>
                <w:bCs/>
                <w:noProof/>
                <w:color w:val="FFFFFF"/>
                <w:sz w:val="14"/>
                <w:szCs w:val="18"/>
              </w:rPr>
            </w:pPr>
            <w:r w:rsidRPr="44122D72">
              <w:rPr>
                <w:b/>
                <w:bCs/>
                <w:noProof/>
                <w:color w:val="808080" w:themeColor="background1" w:themeShade="80"/>
                <w:sz w:val="14"/>
                <w:szCs w:val="14"/>
              </w:rPr>
              <w:t>Unit</w:t>
            </w:r>
          </w:p>
        </w:tc>
        <w:tc>
          <w:tcPr>
            <w:tcW w:w="1024" w:type="dxa"/>
            <w:shd w:val="clear" w:color="auto" w:fill="auto"/>
            <w:noWrap/>
            <w:tcMar>
              <w:top w:w="15" w:type="dxa"/>
              <w:left w:w="15" w:type="dxa"/>
              <w:bottom w:w="0" w:type="dxa"/>
              <w:right w:w="15" w:type="dxa"/>
            </w:tcMar>
            <w:vAlign w:val="center"/>
            <w:hideMark/>
          </w:tcPr>
          <w:p w:rsidR="00EA45F9" w:rsidRPr="009B5734" w:rsidRDefault="00EA45F9" w:rsidP="00981615">
            <w:pPr>
              <w:jc w:val="center"/>
              <w:rPr>
                <w:rFonts w:ascii="Bahnschrift SemiLight" w:hAnsi="Bahnschrift SemiLight" w:cs="Calibri"/>
                <w:noProof/>
                <w:color w:val="595959" w:themeColor="text1" w:themeTint="A6"/>
                <w:sz w:val="14"/>
                <w:szCs w:val="16"/>
              </w:rPr>
            </w:pPr>
            <w:r w:rsidRPr="009B5734">
              <w:rPr>
                <w:rFonts w:ascii="Bahnschrift SemiLight" w:hAnsi="Bahnschrift SemiLight" w:cs="Calibri"/>
                <w:noProof/>
                <w:color w:val="595959" w:themeColor="text1" w:themeTint="A6"/>
                <w:sz w:val="14"/>
                <w:szCs w:val="16"/>
              </w:rPr>
              <w:t xml:space="preserve">0 </w:t>
            </w:r>
            <w:r w:rsidRPr="009B5734">
              <w:rPr>
                <w:rFonts w:ascii="Bahnschrift SemiLight" w:hAnsi="Bahnschrift SemiLight" w:cs="Calibri"/>
                <w:noProof/>
                <w:color w:val="595959" w:themeColor="text1" w:themeTint="A6"/>
                <w:sz w:val="14"/>
                <w:szCs w:val="16"/>
              </w:rPr>
              <w:sym w:font="Wingdings" w:char="F0E0"/>
            </w:r>
            <w:r w:rsidRPr="009B5734">
              <w:rPr>
                <w:rFonts w:ascii="Bahnschrift SemiLight" w:hAnsi="Bahnschrift SemiLight" w:cs="Calibri"/>
                <w:noProof/>
                <w:color w:val="595959" w:themeColor="text1" w:themeTint="A6"/>
                <w:sz w:val="14"/>
                <w:szCs w:val="16"/>
              </w:rPr>
              <w:t xml:space="preserve"> 10</w:t>
            </w:r>
          </w:p>
        </w:tc>
        <w:tc>
          <w:tcPr>
            <w:tcW w:w="930" w:type="dxa"/>
            <w:gridSpan w:val="2"/>
            <w:shd w:val="clear" w:color="auto" w:fill="auto"/>
            <w:noWrap/>
            <w:tcMar>
              <w:top w:w="15" w:type="dxa"/>
              <w:left w:w="15" w:type="dxa"/>
              <w:bottom w:w="0" w:type="dxa"/>
              <w:right w:w="15" w:type="dxa"/>
            </w:tcMar>
            <w:vAlign w:val="center"/>
            <w:hideMark/>
          </w:tcPr>
          <w:p w:rsidR="00EA45F9" w:rsidRPr="009B5734" w:rsidRDefault="00EA45F9" w:rsidP="00981615">
            <w:pPr>
              <w:jc w:val="center"/>
              <w:rPr>
                <w:rFonts w:ascii="Bahnschrift SemiLight" w:hAnsi="Bahnschrift SemiLight" w:cs="Calibri"/>
                <w:noProof/>
                <w:color w:val="595959" w:themeColor="text1" w:themeTint="A6"/>
                <w:sz w:val="14"/>
                <w:szCs w:val="16"/>
              </w:rPr>
            </w:pPr>
            <w:r w:rsidRPr="009B5734">
              <w:rPr>
                <w:rFonts w:ascii="Bahnschrift SemiLight" w:hAnsi="Bahnschrift SemiLight" w:cs="Calibri"/>
                <w:noProof/>
                <w:color w:val="595959" w:themeColor="text1" w:themeTint="A6"/>
                <w:sz w:val="14"/>
                <w:szCs w:val="16"/>
              </w:rPr>
              <w:t xml:space="preserve">0 </w:t>
            </w:r>
            <w:r w:rsidRPr="009B5734">
              <w:rPr>
                <w:rFonts w:ascii="Bahnschrift SemiLight" w:hAnsi="Bahnschrift SemiLight" w:cs="Calibri"/>
                <w:noProof/>
                <w:color w:val="595959" w:themeColor="text1" w:themeTint="A6"/>
                <w:sz w:val="14"/>
                <w:szCs w:val="16"/>
              </w:rPr>
              <w:sym w:font="Wingdings" w:char="F0E0"/>
            </w:r>
            <w:r w:rsidRPr="009B5734">
              <w:rPr>
                <w:rFonts w:ascii="Bahnschrift SemiLight" w:hAnsi="Bahnschrift SemiLight" w:cs="Calibri"/>
                <w:noProof/>
                <w:color w:val="595959" w:themeColor="text1" w:themeTint="A6"/>
                <w:sz w:val="14"/>
                <w:szCs w:val="16"/>
              </w:rPr>
              <w:t xml:space="preserve"> 10</w:t>
            </w:r>
          </w:p>
        </w:tc>
        <w:tc>
          <w:tcPr>
            <w:tcW w:w="769" w:type="dxa"/>
            <w:shd w:val="clear" w:color="auto" w:fill="auto"/>
            <w:noWrap/>
            <w:tcMar>
              <w:top w:w="15" w:type="dxa"/>
              <w:left w:w="15" w:type="dxa"/>
              <w:bottom w:w="0" w:type="dxa"/>
              <w:right w:w="15" w:type="dxa"/>
            </w:tcMar>
            <w:hideMark/>
          </w:tcPr>
          <w:p w:rsidR="00EA45F9" w:rsidRPr="009B5734" w:rsidRDefault="00EA45F9" w:rsidP="00981615">
            <w:pPr>
              <w:jc w:val="center"/>
              <w:rPr>
                <w:rFonts w:ascii="Bahnschrift SemiLight" w:hAnsi="Bahnschrift SemiLight" w:cs="Calibri"/>
                <w:noProof/>
                <w:color w:val="595959" w:themeColor="text1" w:themeTint="A6"/>
                <w:sz w:val="14"/>
                <w:szCs w:val="16"/>
              </w:rPr>
            </w:pPr>
            <w:r w:rsidRPr="009B5734">
              <w:rPr>
                <w:rFonts w:ascii="Bahnschrift SemiLight" w:hAnsi="Bahnschrift SemiLight" w:cs="Calibri"/>
                <w:noProof/>
                <w:color w:val="595959" w:themeColor="text1" w:themeTint="A6"/>
                <w:sz w:val="14"/>
                <w:szCs w:val="16"/>
              </w:rPr>
              <w:t xml:space="preserve">0 </w:t>
            </w:r>
            <w:r w:rsidRPr="009B5734">
              <w:rPr>
                <w:rFonts w:ascii="Bahnschrift SemiLight" w:hAnsi="Bahnschrift SemiLight" w:cs="Calibri"/>
                <w:noProof/>
                <w:color w:val="595959" w:themeColor="text1" w:themeTint="A6"/>
                <w:sz w:val="14"/>
                <w:szCs w:val="16"/>
              </w:rPr>
              <w:sym w:font="Wingdings" w:char="F0E0"/>
            </w:r>
            <w:r w:rsidRPr="009B5734">
              <w:rPr>
                <w:rFonts w:ascii="Bahnschrift SemiLight" w:hAnsi="Bahnschrift SemiLight" w:cs="Calibri"/>
                <w:noProof/>
                <w:color w:val="595959" w:themeColor="text1" w:themeTint="A6"/>
                <w:sz w:val="14"/>
                <w:szCs w:val="16"/>
              </w:rPr>
              <w:t xml:space="preserve"> 10</w:t>
            </w:r>
          </w:p>
        </w:tc>
        <w:tc>
          <w:tcPr>
            <w:tcW w:w="833" w:type="dxa"/>
            <w:shd w:val="clear" w:color="auto" w:fill="auto"/>
            <w:noWrap/>
            <w:tcMar>
              <w:top w:w="15" w:type="dxa"/>
              <w:left w:w="15" w:type="dxa"/>
              <w:bottom w:w="0" w:type="dxa"/>
              <w:right w:w="15" w:type="dxa"/>
            </w:tcMar>
            <w:hideMark/>
          </w:tcPr>
          <w:p w:rsidR="00EA45F9" w:rsidRPr="009B5734" w:rsidRDefault="00EA45F9" w:rsidP="00981615">
            <w:pPr>
              <w:jc w:val="center"/>
              <w:rPr>
                <w:rFonts w:ascii="Bahnschrift SemiLight" w:hAnsi="Bahnschrift SemiLight" w:cs="Calibri"/>
                <w:noProof/>
                <w:color w:val="595959" w:themeColor="text1" w:themeTint="A6"/>
                <w:sz w:val="14"/>
                <w:szCs w:val="16"/>
              </w:rPr>
            </w:pPr>
            <w:r w:rsidRPr="009B5734">
              <w:rPr>
                <w:rFonts w:ascii="Bahnschrift SemiLight" w:hAnsi="Bahnschrift SemiLight" w:cs="Calibri"/>
                <w:noProof/>
                <w:color w:val="595959" w:themeColor="text1" w:themeTint="A6"/>
                <w:sz w:val="14"/>
                <w:szCs w:val="16"/>
              </w:rPr>
              <w:t xml:space="preserve">0 </w:t>
            </w:r>
            <w:r w:rsidRPr="009B5734">
              <w:rPr>
                <w:rFonts w:ascii="Bahnschrift SemiLight" w:hAnsi="Bahnschrift SemiLight" w:cs="Calibri"/>
                <w:noProof/>
                <w:color w:val="595959" w:themeColor="text1" w:themeTint="A6"/>
                <w:sz w:val="14"/>
                <w:szCs w:val="16"/>
              </w:rPr>
              <w:sym w:font="Wingdings" w:char="F0E0"/>
            </w:r>
            <w:r w:rsidRPr="009B5734">
              <w:rPr>
                <w:rFonts w:ascii="Bahnschrift SemiLight" w:hAnsi="Bahnschrift SemiLight" w:cs="Calibri"/>
                <w:noProof/>
                <w:color w:val="595959" w:themeColor="text1" w:themeTint="A6"/>
                <w:sz w:val="14"/>
                <w:szCs w:val="16"/>
              </w:rPr>
              <w:t xml:space="preserve"> 10</w:t>
            </w:r>
          </w:p>
        </w:tc>
        <w:tc>
          <w:tcPr>
            <w:tcW w:w="835" w:type="dxa"/>
            <w:shd w:val="clear" w:color="auto" w:fill="auto"/>
            <w:noWrap/>
            <w:tcMar>
              <w:top w:w="15" w:type="dxa"/>
              <w:left w:w="15" w:type="dxa"/>
              <w:bottom w:w="0" w:type="dxa"/>
              <w:right w:w="15" w:type="dxa"/>
            </w:tcMar>
            <w:hideMark/>
          </w:tcPr>
          <w:p w:rsidR="00EA45F9" w:rsidRPr="009B5734" w:rsidRDefault="00EA45F9" w:rsidP="00981615">
            <w:pPr>
              <w:jc w:val="center"/>
              <w:rPr>
                <w:rFonts w:ascii="Bahnschrift SemiLight" w:hAnsi="Bahnschrift SemiLight" w:cs="Calibri"/>
                <w:noProof/>
                <w:color w:val="595959" w:themeColor="text1" w:themeTint="A6"/>
                <w:sz w:val="14"/>
                <w:szCs w:val="16"/>
              </w:rPr>
            </w:pPr>
            <w:r w:rsidRPr="009B5734">
              <w:rPr>
                <w:rFonts w:ascii="Bahnschrift SemiLight" w:hAnsi="Bahnschrift SemiLight" w:cs="Calibri"/>
                <w:noProof/>
                <w:color w:val="595959" w:themeColor="text1" w:themeTint="A6"/>
                <w:sz w:val="14"/>
                <w:szCs w:val="16"/>
              </w:rPr>
              <w:t xml:space="preserve">0 </w:t>
            </w:r>
            <w:r w:rsidRPr="009B5734">
              <w:rPr>
                <w:rFonts w:ascii="Bahnschrift SemiLight" w:hAnsi="Bahnschrift SemiLight" w:cs="Calibri"/>
                <w:noProof/>
                <w:color w:val="595959" w:themeColor="text1" w:themeTint="A6"/>
                <w:sz w:val="14"/>
                <w:szCs w:val="16"/>
              </w:rPr>
              <w:sym w:font="Wingdings" w:char="F0E0"/>
            </w:r>
            <w:r w:rsidRPr="009B5734">
              <w:rPr>
                <w:rFonts w:ascii="Bahnschrift SemiLight" w:hAnsi="Bahnschrift SemiLight" w:cs="Calibri"/>
                <w:noProof/>
                <w:color w:val="595959" w:themeColor="text1" w:themeTint="A6"/>
                <w:sz w:val="14"/>
                <w:szCs w:val="16"/>
              </w:rPr>
              <w:t xml:space="preserve"> 10</w:t>
            </w:r>
          </w:p>
        </w:tc>
        <w:tc>
          <w:tcPr>
            <w:tcW w:w="1355" w:type="dxa"/>
            <w:shd w:val="clear" w:color="auto" w:fill="auto"/>
            <w:noWrap/>
            <w:tcMar>
              <w:top w:w="15" w:type="dxa"/>
              <w:left w:w="15" w:type="dxa"/>
              <w:bottom w:w="0" w:type="dxa"/>
              <w:right w:w="15" w:type="dxa"/>
            </w:tcMar>
            <w:hideMark/>
          </w:tcPr>
          <w:p w:rsidR="00EA45F9" w:rsidRPr="009B5734" w:rsidRDefault="00EA45F9" w:rsidP="00981615">
            <w:pPr>
              <w:jc w:val="center"/>
              <w:rPr>
                <w:rFonts w:ascii="Bahnschrift SemiLight" w:hAnsi="Bahnschrift SemiLight" w:cs="Calibri"/>
                <w:noProof/>
                <w:color w:val="595959" w:themeColor="text1" w:themeTint="A6"/>
                <w:sz w:val="14"/>
                <w:szCs w:val="16"/>
              </w:rPr>
            </w:pPr>
            <w:r w:rsidRPr="009B5734">
              <w:rPr>
                <w:rFonts w:ascii="Bahnschrift SemiLight" w:hAnsi="Bahnschrift SemiLight" w:cs="Calibri"/>
                <w:noProof/>
                <w:color w:val="595959" w:themeColor="text1" w:themeTint="A6"/>
                <w:sz w:val="14"/>
                <w:szCs w:val="16"/>
              </w:rPr>
              <w:t xml:space="preserve">0 </w:t>
            </w:r>
            <w:r w:rsidRPr="009B5734">
              <w:rPr>
                <w:rFonts w:ascii="Bahnschrift SemiLight" w:hAnsi="Bahnschrift SemiLight" w:cs="Calibri"/>
                <w:noProof/>
                <w:color w:val="595959" w:themeColor="text1" w:themeTint="A6"/>
                <w:sz w:val="14"/>
                <w:szCs w:val="16"/>
              </w:rPr>
              <w:sym w:font="Wingdings" w:char="F0E0"/>
            </w:r>
            <w:r w:rsidRPr="009B5734">
              <w:rPr>
                <w:rFonts w:ascii="Bahnschrift SemiLight" w:hAnsi="Bahnschrift SemiLight" w:cs="Calibri"/>
                <w:noProof/>
                <w:color w:val="595959" w:themeColor="text1" w:themeTint="A6"/>
                <w:sz w:val="14"/>
                <w:szCs w:val="16"/>
              </w:rPr>
              <w:t xml:space="preserve"> 10</w:t>
            </w:r>
          </w:p>
        </w:tc>
        <w:tc>
          <w:tcPr>
            <w:tcW w:w="1261" w:type="dxa"/>
            <w:shd w:val="clear" w:color="auto" w:fill="auto"/>
            <w:tcMar>
              <w:top w:w="15" w:type="dxa"/>
              <w:left w:w="15" w:type="dxa"/>
              <w:bottom w:w="0" w:type="dxa"/>
              <w:right w:w="15" w:type="dxa"/>
            </w:tcMar>
            <w:vAlign w:val="center"/>
            <w:hideMark/>
          </w:tcPr>
          <w:p w:rsidR="00EA45F9" w:rsidRPr="009B5734" w:rsidRDefault="00EA45F9" w:rsidP="00981615">
            <w:pPr>
              <w:jc w:val="center"/>
              <w:rPr>
                <w:rFonts w:ascii="Bahnschrift SemiLight" w:hAnsi="Bahnschrift SemiLight" w:cs="Arial"/>
                <w:noProof/>
                <w:color w:val="595959" w:themeColor="text1" w:themeTint="A6"/>
                <w:sz w:val="14"/>
                <w:szCs w:val="16"/>
              </w:rPr>
            </w:pPr>
            <w:r w:rsidRPr="009B5734">
              <w:rPr>
                <w:rFonts w:ascii="Bahnschrift SemiLight" w:hAnsi="Bahnschrift SemiLight" w:cs="Calibri"/>
                <w:noProof/>
                <w:color w:val="595959" w:themeColor="text1" w:themeTint="A6"/>
                <w:sz w:val="14"/>
                <w:szCs w:val="16"/>
              </w:rPr>
              <w:t xml:space="preserve">0 </w:t>
            </w:r>
            <w:r w:rsidRPr="009B5734">
              <w:rPr>
                <w:rFonts w:ascii="Bahnschrift SemiLight" w:hAnsi="Bahnschrift SemiLight" w:cs="Calibri"/>
                <w:noProof/>
                <w:color w:val="595959" w:themeColor="text1" w:themeTint="A6"/>
                <w:sz w:val="14"/>
                <w:szCs w:val="16"/>
              </w:rPr>
              <w:sym w:font="Wingdings" w:char="F0E0"/>
            </w:r>
            <w:r w:rsidRPr="009B5734">
              <w:rPr>
                <w:rFonts w:ascii="Bahnschrift SemiLight" w:hAnsi="Bahnschrift SemiLight" w:cs="Calibri"/>
                <w:noProof/>
                <w:color w:val="595959" w:themeColor="text1" w:themeTint="A6"/>
                <w:sz w:val="14"/>
                <w:szCs w:val="16"/>
              </w:rPr>
              <w:t xml:space="preserve"> 10</w:t>
            </w:r>
          </w:p>
        </w:tc>
        <w:tc>
          <w:tcPr>
            <w:tcW w:w="860" w:type="dxa"/>
            <w:shd w:val="clear" w:color="auto" w:fill="auto"/>
            <w:noWrap/>
            <w:tcMar>
              <w:top w:w="15" w:type="dxa"/>
              <w:left w:w="15" w:type="dxa"/>
              <w:bottom w:w="0" w:type="dxa"/>
              <w:right w:w="15" w:type="dxa"/>
            </w:tcMar>
            <w:vAlign w:val="center"/>
            <w:hideMark/>
          </w:tcPr>
          <w:p w:rsidR="00EA45F9" w:rsidRPr="009B5734" w:rsidRDefault="00EA45F9" w:rsidP="00981615">
            <w:pPr>
              <w:jc w:val="center"/>
              <w:rPr>
                <w:rFonts w:ascii="Bahnschrift SemiLight" w:hAnsi="Bahnschrift SemiLight" w:cs="Calibri"/>
                <w:noProof/>
                <w:color w:val="595959" w:themeColor="text1" w:themeTint="A6"/>
                <w:sz w:val="14"/>
                <w:szCs w:val="16"/>
              </w:rPr>
            </w:pPr>
            <w:r w:rsidRPr="009B5734">
              <w:rPr>
                <w:rFonts w:ascii="Bahnschrift SemiLight" w:hAnsi="Bahnschrift SemiLight" w:cs="Calibri"/>
                <w:noProof/>
                <w:color w:val="595959" w:themeColor="text1" w:themeTint="A6"/>
                <w:sz w:val="14"/>
                <w:szCs w:val="16"/>
              </w:rPr>
              <w:t xml:space="preserve">0 </w:t>
            </w:r>
            <w:r w:rsidRPr="009B5734">
              <w:rPr>
                <w:rFonts w:ascii="Bahnschrift SemiLight" w:hAnsi="Bahnschrift SemiLight" w:cs="Calibri"/>
                <w:noProof/>
                <w:color w:val="595959" w:themeColor="text1" w:themeTint="A6"/>
                <w:sz w:val="14"/>
                <w:szCs w:val="16"/>
              </w:rPr>
              <w:sym w:font="Wingdings" w:char="F0E0"/>
            </w:r>
            <w:r w:rsidRPr="009B5734">
              <w:rPr>
                <w:rFonts w:ascii="Bahnschrift SemiLight" w:hAnsi="Bahnschrift SemiLight" w:cs="Calibri"/>
                <w:noProof/>
                <w:color w:val="595959" w:themeColor="text1" w:themeTint="A6"/>
                <w:sz w:val="14"/>
                <w:szCs w:val="16"/>
              </w:rPr>
              <w:t xml:space="preserve"> 10</w:t>
            </w:r>
          </w:p>
        </w:tc>
        <w:tc>
          <w:tcPr>
            <w:tcW w:w="859" w:type="dxa"/>
            <w:shd w:val="clear" w:color="auto" w:fill="auto"/>
            <w:tcMar>
              <w:top w:w="15" w:type="dxa"/>
              <w:left w:w="15" w:type="dxa"/>
              <w:bottom w:w="0" w:type="dxa"/>
              <w:right w:w="15" w:type="dxa"/>
            </w:tcMar>
            <w:vAlign w:val="center"/>
            <w:hideMark/>
          </w:tcPr>
          <w:p w:rsidR="00EA45F9" w:rsidRPr="009B5734" w:rsidRDefault="00EA45F9" w:rsidP="00981615">
            <w:pPr>
              <w:jc w:val="center"/>
              <w:rPr>
                <w:rFonts w:ascii="Bahnschrift SemiLight" w:hAnsi="Bahnschrift SemiLight" w:cs="Arial"/>
                <w:noProof/>
                <w:color w:val="595959" w:themeColor="text1" w:themeTint="A6"/>
                <w:sz w:val="14"/>
                <w:szCs w:val="16"/>
              </w:rPr>
            </w:pPr>
            <w:r w:rsidRPr="009B5734">
              <w:rPr>
                <w:rFonts w:ascii="Bahnschrift SemiLight" w:hAnsi="Bahnschrift SemiLight" w:cs="Arial"/>
                <w:noProof/>
                <w:color w:val="595959" w:themeColor="text1" w:themeTint="A6"/>
                <w:sz w:val="14"/>
                <w:szCs w:val="16"/>
              </w:rPr>
              <w:t>Euros</w:t>
            </w:r>
          </w:p>
        </w:tc>
        <w:tc>
          <w:tcPr>
            <w:tcW w:w="861" w:type="dxa"/>
            <w:shd w:val="clear" w:color="auto" w:fill="auto"/>
            <w:tcMar>
              <w:top w:w="15" w:type="dxa"/>
              <w:left w:w="15" w:type="dxa"/>
              <w:bottom w:w="0" w:type="dxa"/>
              <w:right w:w="15" w:type="dxa"/>
            </w:tcMar>
            <w:vAlign w:val="center"/>
            <w:hideMark/>
          </w:tcPr>
          <w:p w:rsidR="00EA45F9" w:rsidRPr="009B5734" w:rsidRDefault="00EA45F9" w:rsidP="00981615">
            <w:pPr>
              <w:jc w:val="center"/>
              <w:rPr>
                <w:rFonts w:ascii="Bahnschrift SemiLight" w:hAnsi="Bahnschrift SemiLight" w:cs="Arial"/>
                <w:noProof/>
                <w:color w:val="595959" w:themeColor="text1" w:themeTint="A6"/>
                <w:sz w:val="14"/>
                <w:szCs w:val="16"/>
              </w:rPr>
            </w:pPr>
            <w:r w:rsidRPr="009B5734">
              <w:rPr>
                <w:rFonts w:ascii="Bahnschrift SemiLight" w:hAnsi="Bahnschrift SemiLight" w:cs="Calibri"/>
                <w:noProof/>
                <w:color w:val="595959" w:themeColor="text1" w:themeTint="A6"/>
                <w:sz w:val="14"/>
                <w:szCs w:val="16"/>
              </w:rPr>
              <w:t xml:space="preserve">0 </w:t>
            </w:r>
            <w:r w:rsidRPr="009B5734">
              <w:rPr>
                <w:rFonts w:ascii="Bahnschrift SemiLight" w:hAnsi="Bahnschrift SemiLight" w:cs="Calibri"/>
                <w:noProof/>
                <w:color w:val="595959" w:themeColor="text1" w:themeTint="A6"/>
                <w:sz w:val="14"/>
                <w:szCs w:val="16"/>
              </w:rPr>
              <w:sym w:font="Wingdings" w:char="F0E0"/>
            </w:r>
            <w:r w:rsidRPr="009B5734">
              <w:rPr>
                <w:rFonts w:ascii="Bahnschrift SemiLight" w:hAnsi="Bahnschrift SemiLight" w:cs="Calibri"/>
                <w:noProof/>
                <w:color w:val="595959" w:themeColor="text1" w:themeTint="A6"/>
                <w:sz w:val="14"/>
                <w:szCs w:val="16"/>
              </w:rPr>
              <w:t xml:space="preserve"> 10</w:t>
            </w:r>
          </w:p>
        </w:tc>
        <w:tc>
          <w:tcPr>
            <w:tcW w:w="859" w:type="dxa"/>
            <w:shd w:val="clear" w:color="auto" w:fill="auto"/>
            <w:tcMar>
              <w:top w:w="15" w:type="dxa"/>
              <w:left w:w="15" w:type="dxa"/>
              <w:bottom w:w="0" w:type="dxa"/>
              <w:right w:w="15" w:type="dxa"/>
            </w:tcMar>
            <w:vAlign w:val="center"/>
            <w:hideMark/>
          </w:tcPr>
          <w:p w:rsidR="00EA45F9" w:rsidRPr="009B5734" w:rsidRDefault="00EA45F9" w:rsidP="00981615">
            <w:pPr>
              <w:jc w:val="center"/>
              <w:rPr>
                <w:rFonts w:ascii="Bahnschrift SemiLight" w:hAnsi="Bahnschrift SemiLight" w:cs="Arial"/>
                <w:noProof/>
                <w:color w:val="595959" w:themeColor="text1" w:themeTint="A6"/>
                <w:sz w:val="14"/>
                <w:szCs w:val="16"/>
              </w:rPr>
            </w:pPr>
            <w:r w:rsidRPr="009B5734">
              <w:rPr>
                <w:rFonts w:ascii="Bahnschrift SemiLight" w:hAnsi="Bahnschrift SemiLight" w:cs="Arial"/>
                <w:noProof/>
                <w:color w:val="595959" w:themeColor="text1" w:themeTint="A6"/>
                <w:sz w:val="14"/>
                <w:szCs w:val="16"/>
              </w:rPr>
              <w:t>Euros</w:t>
            </w:r>
          </w:p>
        </w:tc>
        <w:tc>
          <w:tcPr>
            <w:tcW w:w="860" w:type="dxa"/>
            <w:shd w:val="clear" w:color="auto" w:fill="auto"/>
            <w:tcMar>
              <w:top w:w="15" w:type="dxa"/>
              <w:left w:w="15" w:type="dxa"/>
              <w:bottom w:w="0" w:type="dxa"/>
              <w:right w:w="15" w:type="dxa"/>
            </w:tcMar>
            <w:vAlign w:val="center"/>
            <w:hideMark/>
          </w:tcPr>
          <w:p w:rsidR="00EA45F9" w:rsidRPr="009B5734" w:rsidRDefault="00EA45F9" w:rsidP="00981615">
            <w:pPr>
              <w:jc w:val="center"/>
              <w:rPr>
                <w:rFonts w:ascii="Bahnschrift SemiLight" w:hAnsi="Bahnschrift SemiLight" w:cs="Arial"/>
                <w:noProof/>
                <w:color w:val="595959" w:themeColor="text1" w:themeTint="A6"/>
                <w:sz w:val="14"/>
                <w:szCs w:val="16"/>
              </w:rPr>
            </w:pPr>
            <w:r w:rsidRPr="009B5734">
              <w:rPr>
                <w:rFonts w:ascii="Bahnschrift SemiLight" w:hAnsi="Bahnschrift SemiLight" w:cs="Arial"/>
                <w:noProof/>
                <w:color w:val="595959" w:themeColor="text1" w:themeTint="A6"/>
                <w:sz w:val="14"/>
                <w:szCs w:val="16"/>
              </w:rPr>
              <w:t>Euros</w:t>
            </w:r>
          </w:p>
        </w:tc>
        <w:tc>
          <w:tcPr>
            <w:tcW w:w="859" w:type="dxa"/>
            <w:shd w:val="clear" w:color="auto" w:fill="auto"/>
            <w:tcMar>
              <w:top w:w="15" w:type="dxa"/>
              <w:left w:w="15" w:type="dxa"/>
              <w:bottom w:w="0" w:type="dxa"/>
              <w:right w:w="15" w:type="dxa"/>
            </w:tcMar>
            <w:vAlign w:val="center"/>
            <w:hideMark/>
          </w:tcPr>
          <w:p w:rsidR="00EA45F9" w:rsidRPr="009B5734" w:rsidRDefault="00EA45F9" w:rsidP="00981615">
            <w:pPr>
              <w:jc w:val="center"/>
              <w:rPr>
                <w:rFonts w:ascii="Bahnschrift SemiLight" w:hAnsi="Bahnschrift SemiLight" w:cs="Arial"/>
                <w:noProof/>
                <w:color w:val="595959" w:themeColor="text1" w:themeTint="A6"/>
                <w:sz w:val="14"/>
                <w:szCs w:val="16"/>
              </w:rPr>
            </w:pPr>
            <w:r w:rsidRPr="009B5734">
              <w:rPr>
                <w:rFonts w:ascii="Bahnschrift SemiLight" w:hAnsi="Bahnschrift SemiLight" w:cs="Calibri"/>
                <w:noProof/>
                <w:color w:val="595959" w:themeColor="text1" w:themeTint="A6"/>
                <w:sz w:val="14"/>
                <w:szCs w:val="16"/>
              </w:rPr>
              <w:t xml:space="preserve">0 </w:t>
            </w:r>
            <w:r w:rsidRPr="009B5734">
              <w:rPr>
                <w:rFonts w:ascii="Bahnschrift SemiLight" w:hAnsi="Bahnschrift SemiLight" w:cs="Calibri"/>
                <w:noProof/>
                <w:color w:val="595959" w:themeColor="text1" w:themeTint="A6"/>
                <w:sz w:val="14"/>
                <w:szCs w:val="16"/>
              </w:rPr>
              <w:sym w:font="Wingdings" w:char="F0E0"/>
            </w:r>
            <w:r w:rsidRPr="009B5734">
              <w:rPr>
                <w:rFonts w:ascii="Bahnschrift SemiLight" w:hAnsi="Bahnschrift SemiLight" w:cs="Calibri"/>
                <w:noProof/>
                <w:color w:val="595959" w:themeColor="text1" w:themeTint="A6"/>
                <w:sz w:val="14"/>
                <w:szCs w:val="16"/>
              </w:rPr>
              <w:t xml:space="preserve"> 10</w:t>
            </w:r>
          </w:p>
        </w:tc>
        <w:tc>
          <w:tcPr>
            <w:tcW w:w="860" w:type="dxa"/>
            <w:shd w:val="clear" w:color="auto" w:fill="auto"/>
            <w:tcMar>
              <w:top w:w="15" w:type="dxa"/>
              <w:left w:w="15" w:type="dxa"/>
              <w:bottom w:w="0" w:type="dxa"/>
              <w:right w:w="15" w:type="dxa"/>
            </w:tcMar>
            <w:vAlign w:val="center"/>
            <w:hideMark/>
          </w:tcPr>
          <w:p w:rsidR="00EA45F9" w:rsidRPr="009B5734" w:rsidRDefault="00EA45F9" w:rsidP="00981615">
            <w:pPr>
              <w:jc w:val="center"/>
              <w:rPr>
                <w:rFonts w:ascii="Bahnschrift SemiLight" w:hAnsi="Bahnschrift SemiLight" w:cs="Arial"/>
                <w:noProof/>
                <w:color w:val="595959" w:themeColor="text1" w:themeTint="A6"/>
                <w:sz w:val="14"/>
                <w:szCs w:val="16"/>
              </w:rPr>
            </w:pPr>
            <w:r w:rsidRPr="009B5734">
              <w:rPr>
                <w:rFonts w:ascii="Bahnschrift SemiLight" w:hAnsi="Bahnschrift SemiLight" w:cs="Calibri"/>
                <w:noProof/>
                <w:color w:val="595959" w:themeColor="text1" w:themeTint="A6"/>
                <w:sz w:val="14"/>
                <w:szCs w:val="16"/>
              </w:rPr>
              <w:t xml:space="preserve">0 </w:t>
            </w:r>
            <w:r w:rsidRPr="009B5734">
              <w:rPr>
                <w:rFonts w:ascii="Bahnschrift SemiLight" w:hAnsi="Bahnschrift SemiLight" w:cs="Calibri"/>
                <w:noProof/>
                <w:color w:val="595959" w:themeColor="text1" w:themeTint="A6"/>
                <w:sz w:val="14"/>
                <w:szCs w:val="16"/>
              </w:rPr>
              <w:sym w:font="Wingdings" w:char="F0E0"/>
            </w:r>
            <w:r w:rsidRPr="009B5734">
              <w:rPr>
                <w:rFonts w:ascii="Bahnschrift SemiLight" w:hAnsi="Bahnschrift SemiLight" w:cs="Calibri"/>
                <w:noProof/>
                <w:color w:val="595959" w:themeColor="text1" w:themeTint="A6"/>
                <w:sz w:val="14"/>
                <w:szCs w:val="16"/>
              </w:rPr>
              <w:t xml:space="preserve"> 10</w:t>
            </w:r>
          </w:p>
        </w:tc>
        <w:tc>
          <w:tcPr>
            <w:tcW w:w="835" w:type="dxa"/>
            <w:vAlign w:val="center"/>
          </w:tcPr>
          <w:p w:rsidR="00EA45F9" w:rsidRPr="009B5734" w:rsidRDefault="00EA45F9" w:rsidP="00981615">
            <w:pPr>
              <w:jc w:val="center"/>
              <w:rPr>
                <w:rFonts w:ascii="Bahnschrift SemiLight" w:hAnsi="Bahnschrift SemiLight" w:cs="Calibri"/>
                <w:noProof/>
                <w:color w:val="595959" w:themeColor="text1" w:themeTint="A6"/>
                <w:sz w:val="14"/>
                <w:szCs w:val="16"/>
              </w:rPr>
            </w:pPr>
            <w:r w:rsidRPr="009B5734">
              <w:rPr>
                <w:rFonts w:ascii="Bahnschrift SemiLight" w:hAnsi="Bahnschrift SemiLight" w:cs="Arial"/>
                <w:noProof/>
                <w:color w:val="595959" w:themeColor="text1" w:themeTint="A6"/>
                <w:sz w:val="14"/>
                <w:szCs w:val="16"/>
              </w:rPr>
              <w:t>Euros</w:t>
            </w:r>
          </w:p>
        </w:tc>
        <w:tc>
          <w:tcPr>
            <w:tcW w:w="833" w:type="dxa"/>
            <w:shd w:val="clear" w:color="auto" w:fill="auto"/>
            <w:noWrap/>
            <w:tcMar>
              <w:top w:w="15" w:type="dxa"/>
              <w:left w:w="15" w:type="dxa"/>
              <w:bottom w:w="0" w:type="dxa"/>
              <w:right w:w="15" w:type="dxa"/>
            </w:tcMar>
            <w:vAlign w:val="center"/>
            <w:hideMark/>
          </w:tcPr>
          <w:p w:rsidR="00EA45F9" w:rsidRPr="009B5734" w:rsidRDefault="00EA45F9" w:rsidP="00981615">
            <w:pPr>
              <w:jc w:val="center"/>
              <w:rPr>
                <w:rFonts w:ascii="Bahnschrift SemiLight" w:hAnsi="Bahnschrift SemiLight" w:cs="Calibri"/>
                <w:noProof/>
                <w:color w:val="595959" w:themeColor="text1" w:themeTint="A6"/>
                <w:sz w:val="14"/>
                <w:szCs w:val="16"/>
              </w:rPr>
            </w:pPr>
            <w:r w:rsidRPr="009B5734">
              <w:rPr>
                <w:rFonts w:ascii="Bahnschrift SemiLight" w:hAnsi="Bahnschrift SemiLight" w:cs="Calibri"/>
                <w:noProof/>
                <w:color w:val="595959" w:themeColor="text1" w:themeTint="A6"/>
                <w:sz w:val="14"/>
                <w:szCs w:val="16"/>
              </w:rPr>
              <w:t xml:space="preserve">0 </w:t>
            </w:r>
            <w:r w:rsidRPr="009B5734">
              <w:rPr>
                <w:rFonts w:ascii="Bahnschrift SemiLight" w:hAnsi="Bahnschrift SemiLight" w:cs="Calibri"/>
                <w:noProof/>
                <w:color w:val="595959" w:themeColor="text1" w:themeTint="A6"/>
                <w:sz w:val="14"/>
                <w:szCs w:val="16"/>
              </w:rPr>
              <w:sym w:font="Wingdings" w:char="F0E0"/>
            </w:r>
            <w:r w:rsidRPr="009B5734">
              <w:rPr>
                <w:rFonts w:ascii="Bahnschrift SemiLight" w:hAnsi="Bahnschrift SemiLight" w:cs="Calibri"/>
                <w:noProof/>
                <w:color w:val="595959" w:themeColor="text1" w:themeTint="A6"/>
                <w:sz w:val="14"/>
                <w:szCs w:val="16"/>
              </w:rPr>
              <w:t xml:space="preserve"> 10</w:t>
            </w:r>
          </w:p>
        </w:tc>
      </w:tr>
    </w:tbl>
    <w:p w:rsidR="00EA45F9" w:rsidRDefault="00EA45F9" w:rsidP="00EA45F9">
      <w:pPr>
        <w:rPr>
          <w:noProof/>
        </w:rPr>
      </w:pPr>
      <w:r w:rsidRPr="009B5734">
        <w:rPr>
          <w:noProof/>
        </w:rPr>
        <w:t xml:space="preserve"> </w:t>
      </w:r>
    </w:p>
    <w:p w:rsidR="00AB20B1" w:rsidRDefault="00AB20B1" w:rsidP="00EA45F9">
      <w:pPr>
        <w:rPr>
          <w:noProof/>
        </w:rPr>
      </w:pPr>
    </w:p>
    <w:p w:rsidR="00AB20B1" w:rsidRDefault="00AB20B1" w:rsidP="00EA45F9">
      <w:pPr>
        <w:rPr>
          <w:noProof/>
        </w:rPr>
      </w:pPr>
    </w:p>
    <w:p w:rsidR="00AB20B1" w:rsidRDefault="00AB20B1" w:rsidP="00EA45F9">
      <w:pPr>
        <w:rPr>
          <w:noProof/>
        </w:rPr>
      </w:pPr>
    </w:p>
    <w:p w:rsidR="00AB20B1" w:rsidRDefault="00AB20B1" w:rsidP="00EA45F9">
      <w:pPr>
        <w:rPr>
          <w:noProof/>
        </w:rPr>
      </w:pPr>
    </w:p>
    <w:p w:rsidR="00AB20B1" w:rsidRDefault="00AB20B1" w:rsidP="00EA45F9">
      <w:pPr>
        <w:rPr>
          <w:noProof/>
        </w:rPr>
      </w:pPr>
    </w:p>
    <w:p w:rsidR="00AB20B1" w:rsidRPr="009B5734" w:rsidRDefault="00AB20B1" w:rsidP="00EA45F9">
      <w:pPr>
        <w:rPr>
          <w:noProof/>
        </w:rPr>
      </w:pPr>
    </w:p>
    <w:p w:rsidR="00EA45F9" w:rsidRPr="009B5734" w:rsidRDefault="00A00208" w:rsidP="00A00208">
      <w:pPr>
        <w:pStyle w:val="Heading2"/>
        <w:rPr>
          <w:noProof/>
          <w:color w:val="000000" w:themeColor="text1"/>
          <w:lang w:eastAsia="fr-BE"/>
        </w:rPr>
      </w:pPr>
      <w:bookmarkStart w:id="759" w:name="_Toc75441020"/>
      <w:bookmarkStart w:id="760" w:name="_Toc75447019"/>
      <w:bookmarkStart w:id="761" w:name="_Toc75448892"/>
      <w:bookmarkStart w:id="762" w:name="_Toc77844271"/>
      <w:bookmarkStart w:id="763" w:name="_Toc86391774"/>
      <w:r w:rsidRPr="00A00208">
        <w:t>2.</w:t>
      </w:r>
      <w:r w:rsidRPr="00A00208">
        <w:tab/>
      </w:r>
      <w:r w:rsidR="00EA45F9" w:rsidRPr="009B5734">
        <w:rPr>
          <w:noProof/>
        </w:rPr>
        <w:t>Presentation of the results per sub-problems</w:t>
      </w:r>
      <w:bookmarkEnd w:id="759"/>
      <w:bookmarkEnd w:id="760"/>
      <w:bookmarkEnd w:id="761"/>
      <w:bookmarkEnd w:id="762"/>
      <w:bookmarkEnd w:id="763"/>
    </w:p>
    <w:p w:rsidR="00EA45F9" w:rsidRPr="009B5734" w:rsidRDefault="00EA45F9" w:rsidP="00EA45F9">
      <w:pPr>
        <w:ind w:left="0" w:firstLine="0"/>
        <w:rPr>
          <w:rFonts w:ascii="Times New Roman" w:hAnsi="Times New Roman" w:cs="Times New Roman"/>
          <w:noProof/>
          <w:sz w:val="24"/>
          <w:szCs w:val="24"/>
          <w:lang w:eastAsia="fr-BE"/>
        </w:rPr>
      </w:pPr>
    </w:p>
    <w:p w:rsidR="00EA45F9" w:rsidRPr="009B5734" w:rsidRDefault="00A00208" w:rsidP="00A00208">
      <w:pPr>
        <w:pStyle w:val="Heading4"/>
        <w:rPr>
          <w:noProof/>
          <w:u w:val="single"/>
        </w:rPr>
      </w:pPr>
      <w:bookmarkStart w:id="764" w:name="_Sub-problem_1.2:_Lack"/>
      <w:bookmarkStart w:id="765" w:name="_Ref60649458"/>
      <w:bookmarkStart w:id="766" w:name="_Toc75441454"/>
      <w:bookmarkStart w:id="767" w:name="_Toc75447020"/>
      <w:bookmarkStart w:id="768" w:name="_Toc75448893"/>
      <w:bookmarkEnd w:id="764"/>
      <w:r w:rsidRPr="00A00208">
        <w:t>2.1.</w:t>
      </w:r>
      <w:r w:rsidRPr="00A00208">
        <w:tab/>
      </w:r>
      <w:r w:rsidR="00EA45F9" w:rsidRPr="009B5734">
        <w:rPr>
          <w:noProof/>
        </w:rPr>
        <w:t xml:space="preserve">Sub-problem 1.2: </w:t>
      </w:r>
      <w:r w:rsidR="00D60C0B" w:rsidRPr="009B5734">
        <w:rPr>
          <w:noProof/>
        </w:rPr>
        <w:t>Lack of reliable information</w:t>
      </w:r>
      <w:r w:rsidR="00EA45F9" w:rsidRPr="009B5734">
        <w:rPr>
          <w:noProof/>
        </w:rPr>
        <w:t xml:space="preserve"> about product’s lifespan</w:t>
      </w:r>
      <w:bookmarkEnd w:id="765"/>
      <w:bookmarkEnd w:id="766"/>
      <w:bookmarkEnd w:id="767"/>
      <w:bookmarkEnd w:id="768"/>
    </w:p>
    <w:p w:rsidR="00EA45F9" w:rsidRPr="009B5734" w:rsidRDefault="00EA45F9" w:rsidP="00EA45F9">
      <w:pPr>
        <w:ind w:left="0" w:firstLine="0"/>
        <w:rPr>
          <w:rFonts w:ascii="Times New Roman" w:hAnsi="Times New Roman" w:cs="Times New Roman"/>
          <w:noProof/>
          <w:sz w:val="24"/>
          <w:szCs w:val="24"/>
        </w:rPr>
      </w:pP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Three options were selected for analysis:</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Option 1.2.A: Obligation to inform consumers about the expected lifespan of goods</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Option 1.2.B: Obligation to inform consumers of the existence (or absence) of a producer’s commercial guarantee for durability</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Option 1.2.C: Option 1.2.B + Obligation to inform consumers on the period of time during which free software updates will be provided</w:t>
      </w:r>
    </w:p>
    <w:p w:rsidR="00EA45F9" w:rsidRPr="009B5734" w:rsidRDefault="00EA45F9" w:rsidP="00611D38">
      <w:pPr>
        <w:ind w:left="0" w:firstLine="0"/>
        <w:rPr>
          <w:noProof/>
        </w:rPr>
      </w:pP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The table below summarises the assessment of the baseline and of each option against each assessment criterion (the assessment of their impacts is described in detail in </w:t>
      </w:r>
      <w:hyperlink w:anchor="_Annex_8:_Impacts" w:history="1">
        <w:r w:rsidRPr="009B5734">
          <w:rPr>
            <w:rStyle w:val="Hyperlink"/>
            <w:rFonts w:ascii="Times New Roman" w:hAnsi="Times New Roman" w:cs="Times New Roman"/>
            <w:noProof/>
            <w:sz w:val="24"/>
            <w:szCs w:val="24"/>
          </w:rPr>
          <w:t>Annex 8</w:t>
        </w:r>
      </w:hyperlink>
      <w:r w:rsidRPr="009B5734">
        <w:rPr>
          <w:rFonts w:ascii="Times New Roman" w:hAnsi="Times New Roman" w:cs="Times New Roman"/>
          <w:noProof/>
          <w:sz w:val="24"/>
          <w:szCs w:val="24"/>
        </w:rPr>
        <w:t>).</w:t>
      </w:r>
    </w:p>
    <w:p w:rsidR="00EA45F9" w:rsidRPr="009B5734" w:rsidRDefault="00EA45F9" w:rsidP="00EA45F9">
      <w:pPr>
        <w:ind w:left="0" w:firstLine="0"/>
        <w:rPr>
          <w:rFonts w:ascii="Times New Roman" w:hAnsi="Times New Roman" w:cs="Times New Roman"/>
          <w:noProof/>
          <w:sz w:val="24"/>
          <w:szCs w:val="24"/>
        </w:rPr>
      </w:pP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overall comparison of the options using a multi-criteria analysis shows that in the default scenario where Effectiveness has a weight of 30 points, Efficiency 60 points and Coherence 10 points, the ranking of options with the highest score is the following: first Option C (Option 1.2.C), followed by Option B (Option 1.2.B), followed by Baseline and then by Option A (Option 1.2.A).</w:t>
      </w:r>
    </w:p>
    <w:p w:rsidR="00EA45F9" w:rsidRPr="009B5734" w:rsidRDefault="00EA45F9" w:rsidP="00EA45F9">
      <w:pPr>
        <w:ind w:left="0" w:firstLine="0"/>
        <w:rPr>
          <w:rFonts w:ascii="Times New Roman" w:hAnsi="Times New Roman" w:cs="Times New Roman"/>
          <w:noProof/>
          <w:sz w:val="24"/>
          <w:szCs w:val="24"/>
        </w:rPr>
      </w:pP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results of the sensitivity analysis show that the ranking of options with the highest score remains unchanged in all 8 scenarios of weights tested. The final scores for each scenario and for all possible option rankings are presented below.</w:t>
      </w:r>
    </w:p>
    <w:p w:rsidR="00EA45F9" w:rsidRPr="009B5734" w:rsidRDefault="00EA45F9" w:rsidP="00EA45F9">
      <w:pPr>
        <w:ind w:left="0" w:firstLine="0"/>
        <w:rPr>
          <w:rFonts w:ascii="Times New Roman" w:hAnsi="Times New Roman" w:cs="Times New Roman"/>
          <w:b/>
          <w:noProof/>
          <w:sz w:val="24"/>
          <w:szCs w:val="24"/>
        </w:rPr>
      </w:pPr>
    </w:p>
    <w:p w:rsidR="00EA45F9" w:rsidRPr="009B5734" w:rsidRDefault="00EA45F9" w:rsidP="00EA45F9">
      <w:pPr>
        <w:ind w:left="0" w:firstLine="0"/>
        <w:rPr>
          <w:rFonts w:ascii="Times New Roman" w:hAnsi="Times New Roman" w:cs="Times New Roman"/>
          <w:b/>
          <w:noProof/>
          <w:sz w:val="24"/>
          <w:szCs w:val="24"/>
        </w:rPr>
      </w:pPr>
      <w:r w:rsidRPr="009B5734">
        <w:rPr>
          <w:rFonts w:ascii="Times New Roman" w:hAnsi="Times New Roman" w:cs="Times New Roman"/>
          <w:b/>
          <w:noProof/>
          <w:sz w:val="24"/>
          <w:szCs w:val="24"/>
        </w:rPr>
        <w:t>Results of the sensitivity analysis for the options for Sub-Problem 1.2</w:t>
      </w:r>
    </w:p>
    <w:p w:rsidR="00EA45F9" w:rsidRPr="009B5734" w:rsidRDefault="00EA45F9" w:rsidP="00EA45F9">
      <w:pPr>
        <w:ind w:left="0" w:firstLine="0"/>
        <w:rPr>
          <w:rFonts w:ascii="Times New Roman" w:hAnsi="Times New Roman" w:cs="Times New Roman"/>
          <w:b/>
          <w:noProof/>
          <w:sz w:val="24"/>
          <w:szCs w:val="24"/>
        </w:rPr>
      </w:pPr>
    </w:p>
    <w:tbl>
      <w:tblPr>
        <w:tblW w:w="4409"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685"/>
        <w:gridCol w:w="1546"/>
        <w:gridCol w:w="1546"/>
        <w:gridCol w:w="1544"/>
        <w:gridCol w:w="1544"/>
        <w:gridCol w:w="1544"/>
        <w:gridCol w:w="1544"/>
        <w:gridCol w:w="1544"/>
        <w:gridCol w:w="1541"/>
      </w:tblGrid>
      <w:tr w:rsidR="00EA45F9" w:rsidRPr="009B5734" w:rsidTr="00C84A99">
        <w:trPr>
          <w:trHeight w:val="353"/>
          <w:jc w:val="center"/>
        </w:trPr>
        <w:tc>
          <w:tcPr>
            <w:tcW w:w="26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1F497D" w:themeFill="text2"/>
            <w:noWrap/>
            <w:hideMark/>
          </w:tcPr>
          <w:p w:rsidR="00EA45F9" w:rsidRPr="009B5734" w:rsidRDefault="00EA45F9" w:rsidP="00981615">
            <w:pPr>
              <w:ind w:left="0" w:firstLine="0"/>
              <w:jc w:val="center"/>
              <w:rPr>
                <w:rFonts w:ascii="Arial" w:hAnsi="Arial" w:cs="Arial"/>
                <w:noProof/>
                <w:color w:val="FFFFFF" w:themeColor="background1"/>
                <w:sz w:val="16"/>
                <w:szCs w:val="16"/>
              </w:rPr>
            </w:pPr>
            <w:r w:rsidRPr="009B5734">
              <w:rPr>
                <w:rFonts w:ascii="Arial" w:hAnsi="Arial" w:cs="Arial"/>
                <w:b/>
                <w:bCs/>
                <w:noProof/>
                <w:color w:val="FFFFFF"/>
                <w:sz w:val="16"/>
                <w:szCs w:val="16"/>
              </w:rPr>
              <w:t>Ranking of options</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1F497D" w:themeFill="text2"/>
            <w:noWrap/>
            <w:hideMark/>
          </w:tcPr>
          <w:p w:rsidR="00EA45F9" w:rsidRPr="009B5734" w:rsidRDefault="00EA45F9" w:rsidP="00981615">
            <w:pPr>
              <w:ind w:left="0" w:firstLine="0"/>
              <w:jc w:val="center"/>
              <w:rPr>
                <w:rFonts w:ascii="Arial" w:hAnsi="Arial" w:cs="Arial"/>
                <w:noProof/>
                <w:color w:val="FFFFFF" w:themeColor="background1"/>
                <w:sz w:val="16"/>
                <w:szCs w:val="16"/>
              </w:rPr>
            </w:pPr>
            <w:r w:rsidRPr="009B5734">
              <w:rPr>
                <w:rFonts w:ascii="Arial" w:hAnsi="Arial" w:cs="Arial"/>
                <w:b/>
                <w:bCs/>
                <w:noProof/>
                <w:color w:val="FFFFFF"/>
                <w:sz w:val="16"/>
                <w:szCs w:val="16"/>
              </w:rPr>
              <w:t>Default: Effectiveness 30%, Efficiency 60% and Coherence 10%</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1F497D" w:themeFill="text2"/>
            <w:noWrap/>
            <w:hideMark/>
          </w:tcPr>
          <w:p w:rsidR="00EA45F9" w:rsidRPr="009B5734" w:rsidRDefault="00EA45F9" w:rsidP="00981615">
            <w:pPr>
              <w:ind w:left="0" w:firstLine="0"/>
              <w:jc w:val="center"/>
              <w:rPr>
                <w:rFonts w:ascii="Arial" w:hAnsi="Arial" w:cs="Arial"/>
                <w:noProof/>
                <w:color w:val="FFFFFF" w:themeColor="background1"/>
                <w:sz w:val="16"/>
                <w:szCs w:val="16"/>
              </w:rPr>
            </w:pPr>
            <w:r w:rsidRPr="009B5734">
              <w:rPr>
                <w:rFonts w:ascii="Arial" w:hAnsi="Arial" w:cs="Arial"/>
                <w:b/>
                <w:bCs/>
                <w:noProof/>
                <w:color w:val="FFFFFF"/>
                <w:sz w:val="16"/>
                <w:szCs w:val="16"/>
              </w:rPr>
              <w:t>Effectiveness 1/3, Efficiency 1/3 and Coherence 1/3</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1F497D" w:themeFill="text2"/>
            <w:noWrap/>
            <w:hideMark/>
          </w:tcPr>
          <w:p w:rsidR="00EA45F9" w:rsidRPr="009B5734" w:rsidRDefault="00EA45F9" w:rsidP="00981615">
            <w:pPr>
              <w:ind w:left="0" w:firstLine="0"/>
              <w:jc w:val="center"/>
              <w:rPr>
                <w:rFonts w:ascii="Arial" w:hAnsi="Arial" w:cs="Arial"/>
                <w:noProof/>
                <w:color w:val="FFFFFF" w:themeColor="background1"/>
                <w:sz w:val="16"/>
                <w:szCs w:val="16"/>
              </w:rPr>
            </w:pPr>
            <w:r w:rsidRPr="009B5734">
              <w:rPr>
                <w:rFonts w:ascii="Arial" w:hAnsi="Arial" w:cs="Arial"/>
                <w:b/>
                <w:bCs/>
                <w:noProof/>
                <w:color w:val="FFFFFF"/>
                <w:sz w:val="16"/>
                <w:szCs w:val="16"/>
              </w:rPr>
              <w:t>Effectiveness 45%, Efficiency 45% and Coherence 10%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1F497D" w:themeFill="text2"/>
            <w:noWrap/>
            <w:hideMark/>
          </w:tcPr>
          <w:p w:rsidR="00EA45F9" w:rsidRPr="009B5734" w:rsidRDefault="00EA45F9" w:rsidP="00981615">
            <w:pPr>
              <w:ind w:left="0" w:firstLine="0"/>
              <w:jc w:val="center"/>
              <w:rPr>
                <w:rFonts w:ascii="Arial" w:hAnsi="Arial" w:cs="Arial"/>
                <w:noProof/>
                <w:color w:val="FFFFFF" w:themeColor="background1"/>
                <w:sz w:val="16"/>
                <w:szCs w:val="16"/>
              </w:rPr>
            </w:pPr>
            <w:r w:rsidRPr="009B5734">
              <w:rPr>
                <w:rFonts w:ascii="Arial" w:hAnsi="Arial" w:cs="Arial"/>
                <w:b/>
                <w:bCs/>
                <w:noProof/>
                <w:color w:val="FFFFFF"/>
                <w:sz w:val="16"/>
                <w:szCs w:val="16"/>
              </w:rPr>
              <w:t>Effectiveness 20%, Efficiency 70% and Coherence 10%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1F497D" w:themeFill="text2"/>
            <w:noWrap/>
            <w:hideMark/>
          </w:tcPr>
          <w:p w:rsidR="00EA45F9" w:rsidRPr="009B5734" w:rsidRDefault="00EA45F9" w:rsidP="00981615">
            <w:pPr>
              <w:ind w:left="0" w:firstLine="0"/>
              <w:jc w:val="center"/>
              <w:rPr>
                <w:rFonts w:ascii="Arial" w:hAnsi="Arial" w:cs="Arial"/>
                <w:noProof/>
                <w:color w:val="FFFFFF" w:themeColor="background1"/>
                <w:sz w:val="16"/>
                <w:szCs w:val="16"/>
              </w:rPr>
            </w:pPr>
            <w:r w:rsidRPr="009B5734">
              <w:rPr>
                <w:rFonts w:ascii="Arial" w:hAnsi="Arial" w:cs="Arial"/>
                <w:b/>
                <w:bCs/>
                <w:noProof/>
                <w:color w:val="FFFFFF"/>
                <w:sz w:val="16"/>
                <w:szCs w:val="16"/>
              </w:rPr>
              <w:t>Effectiveness 10%, Efficiency 80% and Coherence 10%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1F497D" w:themeFill="text2"/>
            <w:noWrap/>
            <w:hideMark/>
          </w:tcPr>
          <w:p w:rsidR="00EA45F9" w:rsidRPr="009B5734" w:rsidRDefault="00EA45F9" w:rsidP="00981615">
            <w:pPr>
              <w:ind w:left="0" w:firstLine="0"/>
              <w:jc w:val="center"/>
              <w:rPr>
                <w:rFonts w:ascii="Arial" w:hAnsi="Arial" w:cs="Arial"/>
                <w:noProof/>
                <w:color w:val="FFFFFF" w:themeColor="background1"/>
                <w:sz w:val="16"/>
                <w:szCs w:val="16"/>
              </w:rPr>
            </w:pPr>
            <w:r w:rsidRPr="009B5734">
              <w:rPr>
                <w:rFonts w:ascii="Arial" w:hAnsi="Arial" w:cs="Arial"/>
                <w:b/>
                <w:bCs/>
                <w:noProof/>
                <w:color w:val="FFFFFF"/>
                <w:sz w:val="16"/>
                <w:szCs w:val="16"/>
              </w:rPr>
              <w:t>Effectiveness 0%, Efficiency 90% and Coherence 10%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1F497D" w:themeFill="text2"/>
            <w:noWrap/>
            <w:hideMark/>
          </w:tcPr>
          <w:p w:rsidR="00EA45F9" w:rsidRPr="009B5734" w:rsidRDefault="00EA45F9" w:rsidP="00981615">
            <w:pPr>
              <w:ind w:left="0" w:firstLine="0"/>
              <w:jc w:val="center"/>
              <w:rPr>
                <w:rFonts w:ascii="Arial" w:hAnsi="Arial" w:cs="Arial"/>
                <w:noProof/>
                <w:color w:val="FFFFFF" w:themeColor="background1"/>
                <w:sz w:val="16"/>
                <w:szCs w:val="16"/>
              </w:rPr>
            </w:pPr>
            <w:r w:rsidRPr="009B5734">
              <w:rPr>
                <w:rFonts w:ascii="Arial" w:hAnsi="Arial" w:cs="Arial"/>
                <w:b/>
                <w:bCs/>
                <w:noProof/>
                <w:color w:val="FFFFFF"/>
                <w:sz w:val="16"/>
                <w:szCs w:val="16"/>
              </w:rPr>
              <w:t>Experts</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1F497D" w:themeFill="text2"/>
            <w:noWrap/>
            <w:hideMark/>
          </w:tcPr>
          <w:p w:rsidR="00EA45F9" w:rsidRPr="009B5734" w:rsidRDefault="00EA45F9" w:rsidP="00981615">
            <w:pPr>
              <w:ind w:left="0" w:firstLine="0"/>
              <w:jc w:val="center"/>
              <w:rPr>
                <w:rFonts w:ascii="Arial" w:hAnsi="Arial" w:cs="Arial"/>
                <w:noProof/>
                <w:color w:val="FFFFFF" w:themeColor="background1"/>
                <w:sz w:val="16"/>
                <w:szCs w:val="16"/>
              </w:rPr>
            </w:pPr>
            <w:r w:rsidRPr="009B5734">
              <w:rPr>
                <w:rFonts w:ascii="Arial" w:hAnsi="Arial" w:cs="Arial"/>
                <w:b/>
                <w:bCs/>
                <w:noProof/>
                <w:color w:val="FFFFFF"/>
                <w:sz w:val="16"/>
                <w:szCs w:val="16"/>
              </w:rPr>
              <w:t>Worst-case scenario: Efficiency 100% (of which 60% allocated to costs and 40% to benefits)</w:t>
            </w:r>
          </w:p>
        </w:tc>
      </w:tr>
      <w:tr w:rsidR="00EA45F9" w:rsidRPr="009B5734" w:rsidTr="00C84A99">
        <w:trPr>
          <w:trHeight w:val="353"/>
          <w:jc w:val="center"/>
        </w:trPr>
        <w:tc>
          <w:tcPr>
            <w:tcW w:w="26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auto"/>
            <w:noWrap/>
            <w:vAlign w:val="bottom"/>
            <w:hideMark/>
          </w:tcPr>
          <w:p w:rsidR="00EA45F9" w:rsidRPr="009B5734" w:rsidRDefault="00EA45F9" w:rsidP="00981615">
            <w:pPr>
              <w:ind w:left="0" w:firstLine="0"/>
              <w:jc w:val="center"/>
              <w:rPr>
                <w:rFonts w:ascii="Arial" w:hAnsi="Arial" w:cs="Arial"/>
                <w:noProof/>
                <w:color w:val="000000"/>
                <w:sz w:val="16"/>
                <w:szCs w:val="16"/>
              </w:rPr>
            </w:pPr>
            <w:r w:rsidRPr="009B5734">
              <w:rPr>
                <w:rFonts w:ascii="Arial" w:hAnsi="Arial" w:cs="Arial"/>
                <w:noProof/>
                <w:color w:val="000000"/>
                <w:sz w:val="16"/>
                <w:szCs w:val="16"/>
              </w:rPr>
              <w:t>0ABC</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92</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143</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88</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94</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97</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100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102</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84</w:t>
            </w:r>
          </w:p>
        </w:tc>
      </w:tr>
      <w:tr w:rsidR="00EA45F9" w:rsidRPr="009B5734" w:rsidTr="00C84A99">
        <w:trPr>
          <w:trHeight w:val="353"/>
          <w:jc w:val="center"/>
        </w:trPr>
        <w:tc>
          <w:tcPr>
            <w:tcW w:w="26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auto"/>
            <w:noWrap/>
            <w:vAlign w:val="bottom"/>
            <w:hideMark/>
          </w:tcPr>
          <w:p w:rsidR="00EA45F9" w:rsidRPr="009B5734" w:rsidRDefault="00EA45F9" w:rsidP="00981615">
            <w:pPr>
              <w:ind w:left="0" w:firstLine="0"/>
              <w:jc w:val="center"/>
              <w:rPr>
                <w:rFonts w:ascii="Arial" w:hAnsi="Arial" w:cs="Arial"/>
                <w:noProof/>
                <w:color w:val="000000"/>
                <w:sz w:val="16"/>
                <w:szCs w:val="16"/>
              </w:rPr>
            </w:pPr>
            <w:r w:rsidRPr="009B5734">
              <w:rPr>
                <w:rFonts w:ascii="Arial" w:hAnsi="Arial" w:cs="Arial"/>
                <w:noProof/>
                <w:color w:val="000000"/>
                <w:sz w:val="16"/>
                <w:szCs w:val="16"/>
              </w:rPr>
              <w:t>A0BC</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67</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93</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55</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74</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82</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90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70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80</w:t>
            </w:r>
          </w:p>
        </w:tc>
      </w:tr>
      <w:tr w:rsidR="00EA45F9" w:rsidRPr="009B5734" w:rsidTr="00C84A99">
        <w:trPr>
          <w:trHeight w:val="353"/>
          <w:jc w:val="center"/>
        </w:trPr>
        <w:tc>
          <w:tcPr>
            <w:tcW w:w="26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auto"/>
            <w:noWrap/>
            <w:vAlign w:val="bottom"/>
            <w:hideMark/>
          </w:tcPr>
          <w:p w:rsidR="00EA45F9" w:rsidRPr="009B5734" w:rsidRDefault="00EA45F9" w:rsidP="00981615">
            <w:pPr>
              <w:ind w:left="0" w:firstLine="0"/>
              <w:jc w:val="center"/>
              <w:rPr>
                <w:rFonts w:ascii="Arial" w:hAnsi="Arial" w:cs="Arial"/>
                <w:noProof/>
                <w:color w:val="000000"/>
                <w:sz w:val="16"/>
                <w:szCs w:val="16"/>
              </w:rPr>
            </w:pPr>
            <w:r w:rsidRPr="009B5734">
              <w:rPr>
                <w:rFonts w:ascii="Arial" w:hAnsi="Arial" w:cs="Arial"/>
                <w:noProof/>
                <w:color w:val="000000"/>
                <w:sz w:val="16"/>
                <w:szCs w:val="16"/>
              </w:rPr>
              <w:t>B0AC</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205</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239</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218</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197</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188</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180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232</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164</w:t>
            </w:r>
          </w:p>
        </w:tc>
      </w:tr>
      <w:tr w:rsidR="00EA45F9" w:rsidRPr="009B5734" w:rsidTr="00C84A99">
        <w:trPr>
          <w:trHeight w:val="353"/>
          <w:jc w:val="center"/>
        </w:trPr>
        <w:tc>
          <w:tcPr>
            <w:tcW w:w="26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auto"/>
            <w:noWrap/>
            <w:vAlign w:val="bottom"/>
            <w:hideMark/>
          </w:tcPr>
          <w:p w:rsidR="00EA45F9" w:rsidRPr="009B5734" w:rsidRDefault="00EA45F9" w:rsidP="00981615">
            <w:pPr>
              <w:ind w:left="0" w:firstLine="0"/>
              <w:jc w:val="center"/>
              <w:rPr>
                <w:rFonts w:ascii="Arial" w:hAnsi="Arial" w:cs="Arial"/>
                <w:noProof/>
                <w:color w:val="000000"/>
                <w:sz w:val="16"/>
                <w:szCs w:val="16"/>
              </w:rPr>
            </w:pPr>
            <w:r w:rsidRPr="009B5734">
              <w:rPr>
                <w:rFonts w:ascii="Arial" w:hAnsi="Arial" w:cs="Arial"/>
                <w:noProof/>
                <w:color w:val="000000"/>
                <w:sz w:val="16"/>
                <w:szCs w:val="16"/>
              </w:rPr>
              <w:t>0BAC</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172</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231</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173</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171</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171</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170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195</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148</w:t>
            </w:r>
          </w:p>
        </w:tc>
      </w:tr>
      <w:tr w:rsidR="00EA45F9" w:rsidRPr="009B5734" w:rsidTr="00C84A99">
        <w:trPr>
          <w:trHeight w:val="353"/>
          <w:jc w:val="center"/>
        </w:trPr>
        <w:tc>
          <w:tcPr>
            <w:tcW w:w="26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auto"/>
            <w:noWrap/>
            <w:vAlign w:val="bottom"/>
            <w:hideMark/>
          </w:tcPr>
          <w:p w:rsidR="00EA45F9" w:rsidRPr="009B5734" w:rsidRDefault="00EA45F9" w:rsidP="00981615">
            <w:pPr>
              <w:ind w:left="0" w:firstLine="0"/>
              <w:jc w:val="center"/>
              <w:rPr>
                <w:rFonts w:ascii="Arial" w:hAnsi="Arial" w:cs="Arial"/>
                <w:noProof/>
                <w:color w:val="000000"/>
                <w:sz w:val="16"/>
                <w:szCs w:val="16"/>
              </w:rPr>
            </w:pPr>
            <w:r w:rsidRPr="009B5734">
              <w:rPr>
                <w:rFonts w:ascii="Arial" w:hAnsi="Arial" w:cs="Arial"/>
                <w:noProof/>
                <w:color w:val="000000"/>
                <w:sz w:val="16"/>
                <w:szCs w:val="16"/>
              </w:rPr>
              <w:t>AB0C</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100</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100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100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100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100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100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108</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96</w:t>
            </w:r>
          </w:p>
        </w:tc>
      </w:tr>
      <w:tr w:rsidR="00EA45F9" w:rsidRPr="009B5734" w:rsidTr="00C84A99">
        <w:trPr>
          <w:trHeight w:val="353"/>
          <w:jc w:val="center"/>
        </w:trPr>
        <w:tc>
          <w:tcPr>
            <w:tcW w:w="26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auto"/>
            <w:noWrap/>
            <w:vAlign w:val="bottom"/>
            <w:hideMark/>
          </w:tcPr>
          <w:p w:rsidR="00EA45F9" w:rsidRPr="009B5734" w:rsidRDefault="00EA45F9" w:rsidP="00981615">
            <w:pPr>
              <w:ind w:left="0" w:firstLine="0"/>
              <w:jc w:val="center"/>
              <w:rPr>
                <w:rFonts w:ascii="Arial" w:hAnsi="Arial" w:cs="Arial"/>
                <w:noProof/>
                <w:color w:val="000000"/>
                <w:sz w:val="16"/>
                <w:szCs w:val="16"/>
              </w:rPr>
            </w:pPr>
            <w:r w:rsidRPr="009B5734">
              <w:rPr>
                <w:rFonts w:ascii="Arial" w:hAnsi="Arial" w:cs="Arial"/>
                <w:noProof/>
                <w:color w:val="000000"/>
                <w:sz w:val="16"/>
                <w:szCs w:val="16"/>
              </w:rPr>
              <w:t>BA0C</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180</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189</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185</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177</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173</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170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200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160</w:t>
            </w:r>
          </w:p>
        </w:tc>
      </w:tr>
      <w:tr w:rsidR="00EA45F9" w:rsidRPr="009B5734" w:rsidTr="00C84A99">
        <w:trPr>
          <w:trHeight w:val="353"/>
          <w:jc w:val="center"/>
        </w:trPr>
        <w:tc>
          <w:tcPr>
            <w:tcW w:w="26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auto"/>
            <w:noWrap/>
            <w:vAlign w:val="bottom"/>
            <w:hideMark/>
          </w:tcPr>
          <w:p w:rsidR="00EA45F9" w:rsidRPr="009B5734" w:rsidRDefault="00EA45F9" w:rsidP="00981615">
            <w:pPr>
              <w:ind w:left="0" w:firstLine="0"/>
              <w:jc w:val="center"/>
              <w:rPr>
                <w:rFonts w:ascii="Arial" w:hAnsi="Arial" w:cs="Arial"/>
                <w:noProof/>
                <w:color w:val="000000"/>
                <w:sz w:val="16"/>
                <w:szCs w:val="16"/>
              </w:rPr>
            </w:pPr>
            <w:r w:rsidRPr="009B5734">
              <w:rPr>
                <w:rFonts w:ascii="Arial" w:hAnsi="Arial" w:cs="Arial"/>
                <w:noProof/>
                <w:color w:val="000000"/>
                <w:sz w:val="16"/>
                <w:szCs w:val="16"/>
              </w:rPr>
              <w:t>CA0B</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207</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215</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220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198</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189</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180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227</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168</w:t>
            </w:r>
          </w:p>
        </w:tc>
      </w:tr>
      <w:tr w:rsidR="00EA45F9" w:rsidRPr="009B5734" w:rsidTr="00C84A99">
        <w:trPr>
          <w:trHeight w:val="353"/>
          <w:jc w:val="center"/>
        </w:trPr>
        <w:tc>
          <w:tcPr>
            <w:tcW w:w="26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auto"/>
            <w:noWrap/>
            <w:vAlign w:val="bottom"/>
            <w:hideMark/>
          </w:tcPr>
          <w:p w:rsidR="00EA45F9" w:rsidRPr="009B5734" w:rsidRDefault="00EA45F9" w:rsidP="00981615">
            <w:pPr>
              <w:ind w:left="0" w:firstLine="0"/>
              <w:jc w:val="center"/>
              <w:rPr>
                <w:rFonts w:ascii="Arial" w:hAnsi="Arial" w:cs="Arial"/>
                <w:noProof/>
                <w:color w:val="000000"/>
                <w:sz w:val="16"/>
                <w:szCs w:val="16"/>
              </w:rPr>
            </w:pPr>
            <w:r w:rsidRPr="009B5734">
              <w:rPr>
                <w:rFonts w:ascii="Arial" w:hAnsi="Arial" w:cs="Arial"/>
                <w:noProof/>
                <w:color w:val="000000"/>
                <w:sz w:val="16"/>
                <w:szCs w:val="16"/>
              </w:rPr>
              <w:t>AC0B</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127</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126</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135</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121</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116</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110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135</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104</w:t>
            </w:r>
          </w:p>
        </w:tc>
      </w:tr>
      <w:tr w:rsidR="00EA45F9" w:rsidRPr="009B5734" w:rsidTr="00C84A99">
        <w:trPr>
          <w:trHeight w:val="353"/>
          <w:jc w:val="center"/>
        </w:trPr>
        <w:tc>
          <w:tcPr>
            <w:tcW w:w="26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auto"/>
            <w:noWrap/>
            <w:vAlign w:val="bottom"/>
            <w:hideMark/>
          </w:tcPr>
          <w:p w:rsidR="00EA45F9" w:rsidRPr="009B5734" w:rsidRDefault="00EA45F9" w:rsidP="00981615">
            <w:pPr>
              <w:ind w:left="0" w:firstLine="0"/>
              <w:jc w:val="center"/>
              <w:rPr>
                <w:rFonts w:ascii="Arial" w:hAnsi="Arial" w:cs="Arial"/>
                <w:noProof/>
                <w:color w:val="000000"/>
                <w:sz w:val="16"/>
                <w:szCs w:val="16"/>
              </w:rPr>
            </w:pPr>
            <w:r w:rsidRPr="009B5734">
              <w:rPr>
                <w:rFonts w:ascii="Arial" w:hAnsi="Arial" w:cs="Arial"/>
                <w:noProof/>
                <w:color w:val="000000"/>
                <w:sz w:val="16"/>
                <w:szCs w:val="16"/>
              </w:rPr>
              <w:t>0CAB</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198</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257</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208</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192</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186</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180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222</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156</w:t>
            </w:r>
          </w:p>
        </w:tc>
      </w:tr>
      <w:tr w:rsidR="00EA45F9" w:rsidRPr="009B5734" w:rsidTr="00C84A99">
        <w:trPr>
          <w:trHeight w:val="353"/>
          <w:jc w:val="center"/>
        </w:trPr>
        <w:tc>
          <w:tcPr>
            <w:tcW w:w="26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auto"/>
            <w:noWrap/>
            <w:vAlign w:val="bottom"/>
            <w:hideMark/>
          </w:tcPr>
          <w:p w:rsidR="00EA45F9" w:rsidRPr="009B5734" w:rsidRDefault="00EA45F9" w:rsidP="00981615">
            <w:pPr>
              <w:ind w:left="0" w:firstLine="0"/>
              <w:jc w:val="center"/>
              <w:rPr>
                <w:rFonts w:ascii="Arial" w:hAnsi="Arial" w:cs="Arial"/>
                <w:noProof/>
                <w:color w:val="000000"/>
                <w:sz w:val="16"/>
                <w:szCs w:val="16"/>
              </w:rPr>
            </w:pPr>
            <w:r w:rsidRPr="009B5734">
              <w:rPr>
                <w:rFonts w:ascii="Arial" w:hAnsi="Arial" w:cs="Arial"/>
                <w:noProof/>
                <w:color w:val="000000"/>
                <w:sz w:val="16"/>
                <w:szCs w:val="16"/>
              </w:rPr>
              <w:t>C0AB</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232</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265</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253</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218</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204</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190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260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172</w:t>
            </w:r>
          </w:p>
        </w:tc>
      </w:tr>
      <w:tr w:rsidR="00EA45F9" w:rsidRPr="009B5734" w:rsidTr="00C84A99">
        <w:trPr>
          <w:trHeight w:val="353"/>
          <w:jc w:val="center"/>
        </w:trPr>
        <w:tc>
          <w:tcPr>
            <w:tcW w:w="26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auto"/>
            <w:noWrap/>
            <w:vAlign w:val="bottom"/>
            <w:hideMark/>
          </w:tcPr>
          <w:p w:rsidR="00EA45F9" w:rsidRPr="009B5734" w:rsidRDefault="00EA45F9" w:rsidP="00981615">
            <w:pPr>
              <w:ind w:left="0" w:firstLine="0"/>
              <w:jc w:val="center"/>
              <w:rPr>
                <w:rFonts w:ascii="Arial" w:hAnsi="Arial" w:cs="Arial"/>
                <w:noProof/>
                <w:color w:val="000000"/>
                <w:sz w:val="16"/>
                <w:szCs w:val="16"/>
              </w:rPr>
            </w:pPr>
            <w:r w:rsidRPr="009B5734">
              <w:rPr>
                <w:rFonts w:ascii="Arial" w:hAnsi="Arial" w:cs="Arial"/>
                <w:noProof/>
                <w:color w:val="000000"/>
                <w:sz w:val="16"/>
                <w:szCs w:val="16"/>
              </w:rPr>
              <w:t>A0CB</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93</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119</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90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96</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98</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100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97</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88</w:t>
            </w:r>
          </w:p>
        </w:tc>
      </w:tr>
      <w:tr w:rsidR="00EA45F9" w:rsidRPr="009B5734" w:rsidTr="00C84A99">
        <w:trPr>
          <w:trHeight w:val="353"/>
          <w:jc w:val="center"/>
        </w:trPr>
        <w:tc>
          <w:tcPr>
            <w:tcW w:w="26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auto"/>
            <w:noWrap/>
            <w:vAlign w:val="bottom"/>
            <w:hideMark/>
          </w:tcPr>
          <w:p w:rsidR="00EA45F9" w:rsidRPr="009B5734" w:rsidRDefault="00EA45F9" w:rsidP="00981615">
            <w:pPr>
              <w:ind w:left="0" w:firstLine="0"/>
              <w:jc w:val="center"/>
              <w:rPr>
                <w:rFonts w:ascii="Arial" w:hAnsi="Arial" w:cs="Arial"/>
                <w:noProof/>
                <w:color w:val="000000"/>
                <w:sz w:val="16"/>
                <w:szCs w:val="16"/>
              </w:rPr>
            </w:pPr>
            <w:r w:rsidRPr="009B5734">
              <w:rPr>
                <w:rFonts w:ascii="Arial" w:hAnsi="Arial" w:cs="Arial"/>
                <w:noProof/>
                <w:color w:val="000000"/>
                <w:sz w:val="16"/>
                <w:szCs w:val="16"/>
              </w:rPr>
              <w:t>0ACB</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118</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169</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123</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116</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113</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110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130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92</w:t>
            </w:r>
          </w:p>
        </w:tc>
      </w:tr>
      <w:tr w:rsidR="00EA45F9" w:rsidRPr="009B5734" w:rsidTr="00C84A99">
        <w:trPr>
          <w:trHeight w:val="353"/>
          <w:jc w:val="center"/>
        </w:trPr>
        <w:tc>
          <w:tcPr>
            <w:tcW w:w="26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auto"/>
            <w:noWrap/>
            <w:vAlign w:val="bottom"/>
            <w:hideMark/>
          </w:tcPr>
          <w:p w:rsidR="00EA45F9" w:rsidRPr="009B5734" w:rsidRDefault="00EA45F9" w:rsidP="00981615">
            <w:pPr>
              <w:ind w:left="0" w:firstLine="0"/>
              <w:jc w:val="center"/>
              <w:rPr>
                <w:rFonts w:ascii="Arial" w:hAnsi="Arial" w:cs="Arial"/>
                <w:noProof/>
                <w:color w:val="000000"/>
                <w:sz w:val="16"/>
                <w:szCs w:val="16"/>
              </w:rPr>
            </w:pPr>
            <w:r w:rsidRPr="009B5734">
              <w:rPr>
                <w:rFonts w:ascii="Arial" w:hAnsi="Arial" w:cs="Arial"/>
                <w:noProof/>
                <w:color w:val="000000"/>
                <w:sz w:val="16"/>
                <w:szCs w:val="16"/>
              </w:rPr>
              <w:t>0BCA</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252</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320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258</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248</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244</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240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287</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212</w:t>
            </w:r>
          </w:p>
        </w:tc>
      </w:tr>
      <w:tr w:rsidR="00EA45F9" w:rsidRPr="009B5734" w:rsidTr="00C84A99">
        <w:trPr>
          <w:trHeight w:val="353"/>
          <w:jc w:val="center"/>
        </w:trPr>
        <w:tc>
          <w:tcPr>
            <w:tcW w:w="26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auto"/>
            <w:noWrap/>
            <w:vAlign w:val="bottom"/>
            <w:hideMark/>
          </w:tcPr>
          <w:p w:rsidR="00EA45F9" w:rsidRPr="009B5734" w:rsidRDefault="00EA45F9" w:rsidP="00981615">
            <w:pPr>
              <w:ind w:left="0" w:firstLine="0"/>
              <w:jc w:val="center"/>
              <w:rPr>
                <w:rFonts w:ascii="Arial" w:hAnsi="Arial" w:cs="Arial"/>
                <w:noProof/>
                <w:color w:val="000000"/>
                <w:sz w:val="16"/>
                <w:szCs w:val="16"/>
              </w:rPr>
            </w:pPr>
            <w:r w:rsidRPr="009B5734">
              <w:rPr>
                <w:rFonts w:ascii="Arial" w:hAnsi="Arial" w:cs="Arial"/>
                <w:noProof/>
                <w:color w:val="000000"/>
                <w:sz w:val="16"/>
                <w:szCs w:val="16"/>
              </w:rPr>
              <w:t>B0CA</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285</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328</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303</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273</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262</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250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325</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228</w:t>
            </w:r>
          </w:p>
        </w:tc>
      </w:tr>
      <w:tr w:rsidR="00EA45F9" w:rsidRPr="009B5734" w:rsidTr="00C84A99">
        <w:trPr>
          <w:trHeight w:val="353"/>
          <w:jc w:val="center"/>
        </w:trPr>
        <w:tc>
          <w:tcPr>
            <w:tcW w:w="26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auto"/>
            <w:noWrap/>
            <w:vAlign w:val="bottom"/>
            <w:hideMark/>
          </w:tcPr>
          <w:p w:rsidR="00EA45F9" w:rsidRPr="009B5734" w:rsidRDefault="00EA45F9" w:rsidP="00981615">
            <w:pPr>
              <w:ind w:left="0" w:firstLine="0"/>
              <w:jc w:val="center"/>
              <w:rPr>
                <w:rFonts w:ascii="Arial" w:hAnsi="Arial" w:cs="Arial"/>
                <w:noProof/>
                <w:color w:val="000000"/>
                <w:sz w:val="16"/>
                <w:szCs w:val="16"/>
              </w:rPr>
            </w:pPr>
            <w:r w:rsidRPr="009B5734">
              <w:rPr>
                <w:rFonts w:ascii="Arial" w:hAnsi="Arial" w:cs="Arial"/>
                <w:noProof/>
                <w:color w:val="000000"/>
                <w:sz w:val="16"/>
                <w:szCs w:val="16"/>
              </w:rPr>
              <w:t>C0BA</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312</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354</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338</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294</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277</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auto"/>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260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352</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236</w:t>
            </w:r>
          </w:p>
        </w:tc>
      </w:tr>
      <w:tr w:rsidR="00EA45F9" w:rsidRPr="009B5734" w:rsidTr="00C84A99">
        <w:trPr>
          <w:trHeight w:val="353"/>
          <w:jc w:val="center"/>
        </w:trPr>
        <w:tc>
          <w:tcPr>
            <w:tcW w:w="26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auto"/>
            <w:noWrap/>
            <w:vAlign w:val="bottom"/>
            <w:hideMark/>
          </w:tcPr>
          <w:p w:rsidR="00EA45F9" w:rsidRPr="009B5734" w:rsidRDefault="00EA45F9" w:rsidP="00981615">
            <w:pPr>
              <w:ind w:left="0" w:firstLine="0"/>
              <w:jc w:val="center"/>
              <w:rPr>
                <w:rFonts w:ascii="Arial" w:hAnsi="Arial" w:cs="Arial"/>
                <w:noProof/>
                <w:color w:val="000000"/>
                <w:sz w:val="16"/>
                <w:szCs w:val="16"/>
              </w:rPr>
            </w:pPr>
            <w:r w:rsidRPr="009B5734">
              <w:rPr>
                <w:rFonts w:ascii="Arial" w:hAnsi="Arial" w:cs="Arial"/>
                <w:noProof/>
                <w:color w:val="000000"/>
                <w:sz w:val="16"/>
                <w:szCs w:val="16"/>
              </w:rPr>
              <w:t>0CBA</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278</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346</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293</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269</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259</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auto"/>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250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314</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220</w:t>
            </w:r>
          </w:p>
        </w:tc>
      </w:tr>
      <w:tr w:rsidR="00EA45F9" w:rsidRPr="009B5734" w:rsidTr="00C84A99">
        <w:trPr>
          <w:trHeight w:val="353"/>
          <w:jc w:val="center"/>
        </w:trPr>
        <w:tc>
          <w:tcPr>
            <w:tcW w:w="26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auto"/>
            <w:noWrap/>
            <w:vAlign w:val="bottom"/>
            <w:hideMark/>
          </w:tcPr>
          <w:p w:rsidR="00EA45F9" w:rsidRPr="009B5734" w:rsidRDefault="00EA45F9" w:rsidP="00981615">
            <w:pPr>
              <w:ind w:left="0" w:firstLine="0"/>
              <w:jc w:val="center"/>
              <w:rPr>
                <w:rFonts w:ascii="Arial" w:hAnsi="Arial" w:cs="Arial"/>
                <w:noProof/>
                <w:color w:val="000000"/>
                <w:sz w:val="16"/>
                <w:szCs w:val="16"/>
              </w:rPr>
            </w:pPr>
            <w:r w:rsidRPr="009B5734">
              <w:rPr>
                <w:rFonts w:ascii="Arial" w:hAnsi="Arial" w:cs="Arial"/>
                <w:noProof/>
                <w:color w:val="000000"/>
                <w:sz w:val="16"/>
                <w:szCs w:val="16"/>
              </w:rPr>
              <w:t>BC0A</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318</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335</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348</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299</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279</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260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362</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244</w:t>
            </w:r>
          </w:p>
        </w:tc>
      </w:tr>
      <w:tr w:rsidR="00EA45F9" w:rsidRPr="009B5734" w:rsidTr="00C84A99">
        <w:trPr>
          <w:trHeight w:val="353"/>
          <w:jc w:val="center"/>
        </w:trPr>
        <w:tc>
          <w:tcPr>
            <w:tcW w:w="26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auto"/>
            <w:noWrap/>
            <w:vAlign w:val="bottom"/>
            <w:hideMark/>
          </w:tcPr>
          <w:p w:rsidR="00EA45F9" w:rsidRPr="009B5734" w:rsidRDefault="00EA45F9" w:rsidP="00981615">
            <w:pPr>
              <w:ind w:left="0" w:firstLine="0"/>
              <w:jc w:val="center"/>
              <w:rPr>
                <w:rFonts w:ascii="Arial" w:hAnsi="Arial" w:cs="Arial"/>
                <w:noProof/>
                <w:color w:val="000000"/>
                <w:sz w:val="16"/>
                <w:szCs w:val="16"/>
              </w:rPr>
            </w:pPr>
            <w:r w:rsidRPr="009B5734">
              <w:rPr>
                <w:rFonts w:ascii="Arial" w:hAnsi="Arial" w:cs="Arial"/>
                <w:noProof/>
                <w:color w:val="000000"/>
                <w:sz w:val="16"/>
                <w:szCs w:val="16"/>
              </w:rPr>
              <w:t>CB0A</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C6EFCE"/>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6100"/>
              </w:rPr>
              <w:t>345</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C6EFCE"/>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6100"/>
              </w:rPr>
              <w:t>361</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C6EFCE"/>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6100"/>
              </w:rPr>
              <w:t>383</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C6EFCE"/>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6100"/>
              </w:rPr>
              <w:t>320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C6EFCE"/>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6100"/>
              </w:rPr>
              <w:t>295</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C6EFCE"/>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6100"/>
              </w:rPr>
              <w:t>270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C6EFCE"/>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6100"/>
              </w:rPr>
              <w:t>390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C6EFCE"/>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6100"/>
              </w:rPr>
              <w:t>252</w:t>
            </w:r>
          </w:p>
        </w:tc>
      </w:tr>
      <w:tr w:rsidR="00EA45F9" w:rsidRPr="009B5734" w:rsidTr="00C84A99">
        <w:trPr>
          <w:trHeight w:val="353"/>
          <w:jc w:val="center"/>
        </w:trPr>
        <w:tc>
          <w:tcPr>
            <w:tcW w:w="26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auto"/>
            <w:noWrap/>
            <w:vAlign w:val="bottom"/>
            <w:hideMark/>
          </w:tcPr>
          <w:p w:rsidR="00EA45F9" w:rsidRPr="009B5734" w:rsidRDefault="00EA45F9" w:rsidP="00981615">
            <w:pPr>
              <w:ind w:left="0" w:firstLine="0"/>
              <w:jc w:val="center"/>
              <w:rPr>
                <w:rFonts w:ascii="Arial" w:hAnsi="Arial" w:cs="Arial"/>
                <w:noProof/>
                <w:color w:val="000000"/>
                <w:sz w:val="16"/>
                <w:szCs w:val="16"/>
              </w:rPr>
            </w:pPr>
            <w:r w:rsidRPr="009B5734">
              <w:rPr>
                <w:rFonts w:ascii="Arial" w:hAnsi="Arial" w:cs="Arial"/>
                <w:noProof/>
                <w:color w:val="000000"/>
                <w:sz w:val="16"/>
                <w:szCs w:val="16"/>
              </w:rPr>
              <w:t>CBA0</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320</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311</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350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300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280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260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357</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248</w:t>
            </w:r>
          </w:p>
        </w:tc>
      </w:tr>
      <w:tr w:rsidR="00EA45F9" w:rsidRPr="009B5734" w:rsidTr="00C84A99">
        <w:trPr>
          <w:trHeight w:val="353"/>
          <w:jc w:val="center"/>
        </w:trPr>
        <w:tc>
          <w:tcPr>
            <w:tcW w:w="26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auto"/>
            <w:noWrap/>
            <w:vAlign w:val="bottom"/>
            <w:hideMark/>
          </w:tcPr>
          <w:p w:rsidR="00EA45F9" w:rsidRPr="009B5734" w:rsidRDefault="00EA45F9" w:rsidP="00981615">
            <w:pPr>
              <w:ind w:left="0" w:firstLine="0"/>
              <w:jc w:val="center"/>
              <w:rPr>
                <w:rFonts w:ascii="Arial" w:hAnsi="Arial" w:cs="Arial"/>
                <w:noProof/>
                <w:color w:val="000000"/>
                <w:sz w:val="16"/>
                <w:szCs w:val="16"/>
              </w:rPr>
            </w:pPr>
            <w:r w:rsidRPr="009B5734">
              <w:rPr>
                <w:rFonts w:ascii="Arial" w:hAnsi="Arial" w:cs="Arial"/>
                <w:noProof/>
                <w:color w:val="000000"/>
                <w:sz w:val="16"/>
                <w:szCs w:val="16"/>
              </w:rPr>
              <w:t>BCA0</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293</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285</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315</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279</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264</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250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330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240</w:t>
            </w:r>
          </w:p>
        </w:tc>
      </w:tr>
      <w:tr w:rsidR="00EA45F9" w:rsidRPr="009B5734" w:rsidTr="00C84A99">
        <w:trPr>
          <w:trHeight w:val="353"/>
          <w:jc w:val="center"/>
        </w:trPr>
        <w:tc>
          <w:tcPr>
            <w:tcW w:w="26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auto"/>
            <w:noWrap/>
            <w:vAlign w:val="bottom"/>
            <w:hideMark/>
          </w:tcPr>
          <w:p w:rsidR="00EA45F9" w:rsidRPr="009B5734" w:rsidRDefault="00EA45F9" w:rsidP="00981615">
            <w:pPr>
              <w:ind w:left="0" w:firstLine="0"/>
              <w:jc w:val="center"/>
              <w:rPr>
                <w:rFonts w:ascii="Arial" w:hAnsi="Arial" w:cs="Arial"/>
                <w:noProof/>
                <w:color w:val="000000"/>
                <w:sz w:val="16"/>
                <w:szCs w:val="16"/>
              </w:rPr>
            </w:pPr>
            <w:r w:rsidRPr="009B5734">
              <w:rPr>
                <w:rFonts w:ascii="Arial" w:hAnsi="Arial" w:cs="Arial"/>
                <w:noProof/>
                <w:color w:val="000000"/>
                <w:sz w:val="16"/>
                <w:szCs w:val="16"/>
              </w:rPr>
              <w:t>ACB0</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160</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133</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180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147</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133</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120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173</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120</w:t>
            </w:r>
          </w:p>
        </w:tc>
      </w:tr>
      <w:tr w:rsidR="00EA45F9" w:rsidRPr="009B5734" w:rsidTr="00C84A99">
        <w:trPr>
          <w:trHeight w:val="353"/>
          <w:jc w:val="center"/>
        </w:trPr>
        <w:tc>
          <w:tcPr>
            <w:tcW w:w="26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auto"/>
            <w:noWrap/>
            <w:vAlign w:val="bottom"/>
            <w:hideMark/>
          </w:tcPr>
          <w:p w:rsidR="00EA45F9" w:rsidRPr="009B5734" w:rsidRDefault="00EA45F9" w:rsidP="00981615">
            <w:pPr>
              <w:ind w:left="0" w:firstLine="0"/>
              <w:jc w:val="center"/>
              <w:rPr>
                <w:rFonts w:ascii="Arial" w:hAnsi="Arial" w:cs="Arial"/>
                <w:noProof/>
                <w:color w:val="000000"/>
                <w:sz w:val="16"/>
                <w:szCs w:val="16"/>
              </w:rPr>
            </w:pPr>
            <w:r w:rsidRPr="009B5734">
              <w:rPr>
                <w:rFonts w:ascii="Arial" w:hAnsi="Arial" w:cs="Arial"/>
                <w:noProof/>
                <w:color w:val="000000"/>
                <w:sz w:val="16"/>
                <w:szCs w:val="16"/>
              </w:rPr>
              <w:t>CAB0</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240</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222</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265</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223</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207</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190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265</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184</w:t>
            </w:r>
          </w:p>
        </w:tc>
      </w:tr>
      <w:tr w:rsidR="00EA45F9" w:rsidRPr="009B5734" w:rsidTr="00C84A99">
        <w:trPr>
          <w:trHeight w:val="353"/>
          <w:jc w:val="center"/>
        </w:trPr>
        <w:tc>
          <w:tcPr>
            <w:tcW w:w="26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auto"/>
            <w:noWrap/>
            <w:vAlign w:val="bottom"/>
            <w:hideMark/>
          </w:tcPr>
          <w:p w:rsidR="00EA45F9" w:rsidRPr="009B5734" w:rsidRDefault="00EA45F9" w:rsidP="00981615">
            <w:pPr>
              <w:ind w:left="0" w:firstLine="0"/>
              <w:jc w:val="center"/>
              <w:rPr>
                <w:rFonts w:ascii="Arial" w:hAnsi="Arial" w:cs="Arial"/>
                <w:noProof/>
                <w:color w:val="000000"/>
                <w:sz w:val="16"/>
                <w:szCs w:val="16"/>
              </w:rPr>
            </w:pPr>
            <w:r w:rsidRPr="009B5734">
              <w:rPr>
                <w:rFonts w:ascii="Arial" w:hAnsi="Arial" w:cs="Arial"/>
                <w:noProof/>
                <w:color w:val="000000"/>
                <w:sz w:val="16"/>
                <w:szCs w:val="16"/>
              </w:rPr>
              <w:t>BAC0</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213</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196</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230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202</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191</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180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238</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176</w:t>
            </w:r>
          </w:p>
        </w:tc>
      </w:tr>
      <w:tr w:rsidR="00EA45F9" w:rsidRPr="009B5734" w:rsidTr="00C84A99">
        <w:trPr>
          <w:trHeight w:val="353"/>
          <w:jc w:val="center"/>
        </w:trPr>
        <w:tc>
          <w:tcPr>
            <w:tcW w:w="26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auto"/>
            <w:noWrap/>
            <w:vAlign w:val="bottom"/>
            <w:hideMark/>
          </w:tcPr>
          <w:p w:rsidR="00EA45F9" w:rsidRPr="009B5734" w:rsidRDefault="00EA45F9" w:rsidP="00981615">
            <w:pPr>
              <w:ind w:left="0" w:firstLine="0"/>
              <w:jc w:val="center"/>
              <w:rPr>
                <w:rFonts w:ascii="Arial" w:hAnsi="Arial" w:cs="Arial"/>
                <w:noProof/>
                <w:color w:val="000000"/>
                <w:sz w:val="16"/>
                <w:szCs w:val="16"/>
              </w:rPr>
            </w:pPr>
            <w:r w:rsidRPr="009B5734">
              <w:rPr>
                <w:rFonts w:ascii="Arial" w:hAnsi="Arial" w:cs="Arial"/>
                <w:noProof/>
                <w:color w:val="000000"/>
                <w:sz w:val="16"/>
                <w:szCs w:val="16"/>
              </w:rPr>
              <w:t>ABC0</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133</w:t>
            </w:r>
          </w:p>
        </w:tc>
        <w:tc>
          <w:tcPr>
            <w:tcW w:w="593"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107</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145</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126</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118</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110</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146</w:t>
            </w:r>
          </w:p>
        </w:tc>
        <w:tc>
          <w:tcPr>
            <w:tcW w:w="592" w:type="pct"/>
            <w:tc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tcBorders>
            <w:shd w:val="clear" w:color="auto" w:fill="FFFFFF" w:themeFill="background1"/>
            <w:noWrap/>
            <w:vAlign w:val="bottom"/>
            <w:hideMark/>
          </w:tcPr>
          <w:p w:rsidR="00EA45F9" w:rsidRPr="009B5734" w:rsidRDefault="00EA45F9" w:rsidP="00981615">
            <w:pPr>
              <w:ind w:left="0" w:firstLine="0"/>
              <w:jc w:val="center"/>
              <w:rPr>
                <w:rFonts w:ascii="Arial" w:hAnsi="Arial" w:cs="Arial"/>
                <w:noProof/>
                <w:sz w:val="16"/>
                <w:szCs w:val="16"/>
              </w:rPr>
            </w:pPr>
            <w:r w:rsidRPr="009B5734">
              <w:rPr>
                <w:rFonts w:ascii="Calibri" w:hAnsi="Calibri" w:cs="Calibri"/>
                <w:noProof/>
                <w:color w:val="000000"/>
              </w:rPr>
              <w:t>112</w:t>
            </w:r>
          </w:p>
        </w:tc>
      </w:tr>
    </w:tbl>
    <w:p w:rsidR="00EA45F9" w:rsidRPr="009B5734" w:rsidRDefault="00EA45F9" w:rsidP="00EA45F9">
      <w:pPr>
        <w:ind w:left="0" w:firstLine="0"/>
        <w:rPr>
          <w:rFonts w:ascii="Times New Roman" w:hAnsi="Times New Roman" w:cs="Times New Roman"/>
          <w:b/>
          <w:noProof/>
          <w:sz w:val="24"/>
          <w:szCs w:val="24"/>
        </w:rPr>
      </w:pPr>
    </w:p>
    <w:p w:rsidR="00FE7CEC" w:rsidRPr="009B5734" w:rsidRDefault="00FE7CEC" w:rsidP="00FE7CEC">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When comparing monetisable costs and benefits using the Cost-Benefit analysis approach described in </w:t>
      </w:r>
      <w:hyperlink w:anchor="_General_approach_to" w:history="1">
        <w:r w:rsidRPr="009B5734">
          <w:rPr>
            <w:rStyle w:val="Hyperlink"/>
            <w:rFonts w:ascii="Times New Roman" w:hAnsi="Times New Roman" w:cs="Times New Roman"/>
            <w:noProof/>
            <w:sz w:val="24"/>
            <w:szCs w:val="24"/>
          </w:rPr>
          <w:t>Annex 9.1</w:t>
        </w:r>
      </w:hyperlink>
      <w:r w:rsidRPr="009B5734">
        <w:rPr>
          <w:rFonts w:ascii="Times New Roman" w:hAnsi="Times New Roman" w:cs="Times New Roman"/>
          <w:noProof/>
          <w:sz w:val="24"/>
          <w:szCs w:val="24"/>
        </w:rPr>
        <w:t xml:space="preserve"> above, option 1.2.C is the option that brings the highest net benefits for the society as a whole. </w:t>
      </w:r>
    </w:p>
    <w:p w:rsidR="00FE7CEC" w:rsidRPr="009B5734" w:rsidRDefault="00FE7CEC" w:rsidP="00FE7CEC">
      <w:pPr>
        <w:ind w:left="0" w:firstLine="0"/>
        <w:rPr>
          <w:rFonts w:ascii="Times New Roman" w:hAnsi="Times New Roman" w:cs="Times New Roman"/>
          <w:noProof/>
          <w:sz w:val="24"/>
          <w:szCs w:val="24"/>
        </w:rPr>
      </w:pPr>
    </w:p>
    <w:p w:rsidR="00FE7CEC" w:rsidRPr="00F67503" w:rsidRDefault="00FE7CEC">
      <w:pPr>
        <w:rPr>
          <w:rFonts w:ascii="Times New Roman" w:hAnsi="Times New Roman"/>
          <w:i/>
          <w:noProof/>
          <w:sz w:val="24"/>
          <w:szCs w:val="24"/>
        </w:rPr>
      </w:pPr>
      <w:r w:rsidRPr="005D24D2">
        <w:rPr>
          <w:rFonts w:ascii="Times New Roman" w:hAnsi="Times New Roman" w:cs="Times New Roman"/>
          <w:i/>
          <w:iCs/>
          <w:noProof/>
          <w:sz w:val="24"/>
          <w:szCs w:val="24"/>
        </w:rPr>
        <w:t xml:space="preserve">Problem 1.2.: CBA of the various options (present value (@4%) at prices of 2019, millions of euros)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79"/>
        <w:gridCol w:w="1706"/>
        <w:gridCol w:w="1707"/>
        <w:gridCol w:w="1707"/>
      </w:tblGrid>
      <w:tr w:rsidR="00FE7CEC" w:rsidRPr="009B5734" w:rsidTr="70D97C89">
        <w:trPr>
          <w:trHeight w:val="288"/>
          <w:jc w:val="center"/>
        </w:trPr>
        <w:tc>
          <w:tcPr>
            <w:tcW w:w="3479" w:type="dxa"/>
            <w:shd w:val="clear" w:color="auto" w:fill="5B9BD5"/>
            <w:tcMar>
              <w:top w:w="0" w:type="dxa"/>
              <w:left w:w="108" w:type="dxa"/>
              <w:bottom w:w="0" w:type="dxa"/>
              <w:right w:w="108" w:type="dxa"/>
            </w:tcMar>
          </w:tcPr>
          <w:p w:rsidR="00FE7CEC" w:rsidRPr="009B5734" w:rsidRDefault="00FE7CEC" w:rsidP="003665DD">
            <w:pPr>
              <w:spacing w:before="120" w:after="120"/>
              <w:jc w:val="center"/>
              <w:rPr>
                <w:rFonts w:ascii="Times New Roman" w:hAnsi="Times New Roman" w:cs="Times New Roman"/>
                <w:b/>
                <w:bCs/>
                <w:noProof/>
                <w:color w:val="FFFFFF"/>
                <w:sz w:val="20"/>
                <w:szCs w:val="20"/>
              </w:rPr>
            </w:pPr>
          </w:p>
        </w:tc>
        <w:tc>
          <w:tcPr>
            <w:tcW w:w="5120" w:type="dxa"/>
            <w:gridSpan w:val="3"/>
            <w:shd w:val="clear" w:color="auto" w:fill="5B9BD5"/>
            <w:noWrap/>
            <w:tcMar>
              <w:top w:w="0" w:type="dxa"/>
              <w:left w:w="108" w:type="dxa"/>
              <w:bottom w:w="0" w:type="dxa"/>
              <w:right w:w="108" w:type="dxa"/>
            </w:tcMar>
            <w:vAlign w:val="center"/>
          </w:tcPr>
          <w:p w:rsidR="00FE7CEC" w:rsidRPr="009B5734" w:rsidRDefault="00FE7CEC" w:rsidP="003665DD">
            <w:pPr>
              <w:spacing w:before="120" w:after="120"/>
              <w:jc w:val="center"/>
              <w:rPr>
                <w:rFonts w:ascii="Times New Roman" w:hAnsi="Times New Roman" w:cs="Times New Roman"/>
                <w:b/>
                <w:bCs/>
                <w:noProof/>
                <w:color w:val="FFFFFF"/>
                <w:sz w:val="20"/>
                <w:szCs w:val="20"/>
              </w:rPr>
            </w:pPr>
            <w:r w:rsidRPr="009B5734">
              <w:rPr>
                <w:rFonts w:ascii="Times New Roman" w:hAnsi="Times New Roman" w:cs="Times New Roman"/>
                <w:b/>
                <w:bCs/>
                <w:noProof/>
                <w:color w:val="FFFFFF"/>
                <w:sz w:val="20"/>
                <w:szCs w:val="20"/>
              </w:rPr>
              <w:t>Average  ± One Standard deviation</w:t>
            </w:r>
          </w:p>
        </w:tc>
      </w:tr>
      <w:tr w:rsidR="00FE7CEC" w:rsidRPr="009B5734" w:rsidTr="70D97C89">
        <w:trPr>
          <w:trHeight w:val="288"/>
          <w:jc w:val="center"/>
        </w:trPr>
        <w:tc>
          <w:tcPr>
            <w:tcW w:w="3479" w:type="dxa"/>
            <w:shd w:val="clear" w:color="auto" w:fill="5B9BD5"/>
            <w:tcMar>
              <w:top w:w="0" w:type="dxa"/>
              <w:left w:w="108" w:type="dxa"/>
              <w:bottom w:w="0" w:type="dxa"/>
              <w:right w:w="108" w:type="dxa"/>
            </w:tcMar>
            <w:hideMark/>
          </w:tcPr>
          <w:p w:rsidR="00FE7CEC" w:rsidRPr="009B5734" w:rsidRDefault="00FE7CEC" w:rsidP="003665DD">
            <w:pPr>
              <w:spacing w:before="120" w:after="120"/>
              <w:jc w:val="center"/>
              <w:rPr>
                <w:rFonts w:ascii="Times New Roman" w:hAnsi="Times New Roman" w:cs="Times New Roman"/>
                <w:b/>
                <w:bCs/>
                <w:noProof/>
                <w:color w:val="FFFFFF"/>
                <w:sz w:val="20"/>
                <w:szCs w:val="20"/>
              </w:rPr>
            </w:pPr>
          </w:p>
        </w:tc>
        <w:tc>
          <w:tcPr>
            <w:tcW w:w="1706" w:type="dxa"/>
            <w:shd w:val="clear" w:color="auto" w:fill="5B9BD5"/>
            <w:noWrap/>
            <w:tcMar>
              <w:top w:w="0" w:type="dxa"/>
              <w:left w:w="108" w:type="dxa"/>
              <w:bottom w:w="0" w:type="dxa"/>
              <w:right w:w="108" w:type="dxa"/>
            </w:tcMar>
            <w:vAlign w:val="center"/>
            <w:hideMark/>
          </w:tcPr>
          <w:p w:rsidR="00FE7CEC" w:rsidRPr="009B5734" w:rsidRDefault="00FE7CEC" w:rsidP="003665DD">
            <w:pPr>
              <w:spacing w:before="120" w:after="120"/>
              <w:jc w:val="center"/>
              <w:rPr>
                <w:rFonts w:ascii="Times New Roman" w:hAnsi="Times New Roman" w:cs="Times New Roman"/>
                <w:b/>
                <w:bCs/>
                <w:noProof/>
                <w:color w:val="FFFFFF"/>
                <w:sz w:val="20"/>
                <w:szCs w:val="20"/>
              </w:rPr>
            </w:pPr>
            <w:r w:rsidRPr="009B5734">
              <w:rPr>
                <w:rFonts w:ascii="Times New Roman" w:hAnsi="Times New Roman" w:cs="Times New Roman"/>
                <w:b/>
                <w:bCs/>
                <w:noProof/>
                <w:color w:val="FFFFFF"/>
                <w:sz w:val="20"/>
                <w:szCs w:val="20"/>
              </w:rPr>
              <w:t>Option 1.2.A</w:t>
            </w:r>
          </w:p>
        </w:tc>
        <w:tc>
          <w:tcPr>
            <w:tcW w:w="1707" w:type="dxa"/>
            <w:shd w:val="clear" w:color="auto" w:fill="5B9BD5"/>
            <w:noWrap/>
            <w:tcMar>
              <w:top w:w="0" w:type="dxa"/>
              <w:left w:w="108" w:type="dxa"/>
              <w:bottom w:w="0" w:type="dxa"/>
              <w:right w:w="108" w:type="dxa"/>
            </w:tcMar>
            <w:vAlign w:val="center"/>
            <w:hideMark/>
          </w:tcPr>
          <w:p w:rsidR="00FE7CEC" w:rsidRPr="009B5734" w:rsidRDefault="00FE7CEC" w:rsidP="003665DD">
            <w:pPr>
              <w:spacing w:before="120" w:after="120"/>
              <w:jc w:val="center"/>
              <w:rPr>
                <w:rFonts w:ascii="Times New Roman" w:hAnsi="Times New Roman" w:cs="Times New Roman"/>
                <w:b/>
                <w:bCs/>
                <w:noProof/>
                <w:color w:val="FFFFFF"/>
                <w:sz w:val="20"/>
                <w:szCs w:val="20"/>
              </w:rPr>
            </w:pPr>
            <w:r w:rsidRPr="009B5734">
              <w:rPr>
                <w:rFonts w:ascii="Times New Roman" w:hAnsi="Times New Roman" w:cs="Times New Roman"/>
                <w:b/>
                <w:bCs/>
                <w:noProof/>
                <w:color w:val="FFFFFF"/>
                <w:sz w:val="20"/>
                <w:szCs w:val="20"/>
              </w:rPr>
              <w:t>Option 1.2.B</w:t>
            </w:r>
          </w:p>
        </w:tc>
        <w:tc>
          <w:tcPr>
            <w:tcW w:w="1707" w:type="dxa"/>
            <w:shd w:val="clear" w:color="auto" w:fill="5B9BD5"/>
          </w:tcPr>
          <w:p w:rsidR="00FE7CEC" w:rsidRPr="009B5734" w:rsidRDefault="00FE7CEC" w:rsidP="003665DD">
            <w:pPr>
              <w:spacing w:before="120" w:after="120"/>
              <w:jc w:val="center"/>
              <w:rPr>
                <w:rFonts w:ascii="Times New Roman" w:hAnsi="Times New Roman" w:cs="Times New Roman"/>
                <w:b/>
                <w:bCs/>
                <w:noProof/>
                <w:color w:val="FFFFFF"/>
                <w:sz w:val="20"/>
                <w:szCs w:val="20"/>
              </w:rPr>
            </w:pPr>
            <w:r w:rsidRPr="009B5734">
              <w:rPr>
                <w:rFonts w:ascii="Times New Roman" w:hAnsi="Times New Roman" w:cs="Times New Roman"/>
                <w:b/>
                <w:bCs/>
                <w:noProof/>
                <w:color w:val="FFFFFF"/>
                <w:sz w:val="20"/>
                <w:szCs w:val="20"/>
              </w:rPr>
              <w:t>Option 1.2.C</w:t>
            </w:r>
          </w:p>
        </w:tc>
      </w:tr>
      <w:tr w:rsidR="00FE7CEC" w:rsidRPr="009B5734" w:rsidTr="70D97C89">
        <w:trPr>
          <w:trHeight w:val="288"/>
          <w:jc w:val="center"/>
        </w:trPr>
        <w:tc>
          <w:tcPr>
            <w:tcW w:w="3479" w:type="dxa"/>
            <w:shd w:val="clear" w:color="auto" w:fill="5B9BD5"/>
            <w:tcMar>
              <w:top w:w="0" w:type="dxa"/>
              <w:left w:w="108" w:type="dxa"/>
              <w:bottom w:w="0" w:type="dxa"/>
              <w:right w:w="108" w:type="dxa"/>
            </w:tcMar>
            <w:hideMark/>
          </w:tcPr>
          <w:p w:rsidR="00FE7CEC" w:rsidRPr="009B5734" w:rsidRDefault="00FE7CEC" w:rsidP="003665DD">
            <w:pPr>
              <w:spacing w:before="120" w:after="120"/>
              <w:jc w:val="center"/>
              <w:rPr>
                <w:rFonts w:ascii="Times New Roman" w:hAnsi="Times New Roman" w:cs="Times New Roman"/>
                <w:b/>
                <w:bCs/>
                <w:noProof/>
                <w:color w:val="FFFFFF"/>
                <w:sz w:val="20"/>
                <w:szCs w:val="20"/>
              </w:rPr>
            </w:pPr>
            <w:r w:rsidRPr="009B5734">
              <w:rPr>
                <w:rFonts w:ascii="Times New Roman" w:hAnsi="Times New Roman" w:cs="Times New Roman"/>
                <w:b/>
                <w:bCs/>
                <w:noProof/>
                <w:color w:val="FFFFFF"/>
                <w:sz w:val="20"/>
                <w:szCs w:val="20"/>
              </w:rPr>
              <w:t>2025 - 2040</w:t>
            </w:r>
          </w:p>
        </w:tc>
        <w:tc>
          <w:tcPr>
            <w:tcW w:w="1706" w:type="dxa"/>
            <w:shd w:val="clear" w:color="auto" w:fill="BDD6EE"/>
            <w:noWrap/>
            <w:tcMar>
              <w:top w:w="0" w:type="dxa"/>
              <w:left w:w="108" w:type="dxa"/>
              <w:bottom w:w="0" w:type="dxa"/>
              <w:right w:w="108" w:type="dxa"/>
            </w:tcMar>
            <w:vAlign w:val="center"/>
          </w:tcPr>
          <w:p w:rsidR="00FE7CEC" w:rsidRPr="009B5734" w:rsidRDefault="00FE7CEC" w:rsidP="003665DD">
            <w:pPr>
              <w:spacing w:before="120" w:after="120"/>
              <w:rPr>
                <w:rFonts w:ascii="Times New Roman" w:hAnsi="Times New Roman" w:cs="Times New Roman"/>
                <w:noProof/>
                <w:color w:val="000000"/>
                <w:sz w:val="20"/>
                <w:szCs w:val="20"/>
              </w:rPr>
            </w:pPr>
            <w:r w:rsidRPr="009B5734">
              <w:rPr>
                <w:rFonts w:ascii="Times New Roman" w:hAnsi="Times New Roman" w:cs="Times New Roman"/>
                <w:noProof/>
                <w:color w:val="000000"/>
                <w:sz w:val="20"/>
                <w:szCs w:val="20"/>
              </w:rPr>
              <w:t>-2 273 ± 213</w:t>
            </w:r>
          </w:p>
        </w:tc>
        <w:tc>
          <w:tcPr>
            <w:tcW w:w="1707" w:type="dxa"/>
            <w:shd w:val="clear" w:color="auto" w:fill="BDD6EE"/>
            <w:noWrap/>
            <w:tcMar>
              <w:top w:w="0" w:type="dxa"/>
              <w:left w:w="108" w:type="dxa"/>
              <w:bottom w:w="0" w:type="dxa"/>
              <w:right w:w="108" w:type="dxa"/>
            </w:tcMar>
            <w:vAlign w:val="center"/>
          </w:tcPr>
          <w:p w:rsidR="00FE7CEC" w:rsidRPr="009B5734" w:rsidRDefault="00FE7CEC" w:rsidP="003665DD">
            <w:pPr>
              <w:spacing w:before="120" w:after="120"/>
              <w:jc w:val="center"/>
              <w:rPr>
                <w:rFonts w:ascii="Times New Roman" w:hAnsi="Times New Roman" w:cs="Times New Roman"/>
                <w:noProof/>
                <w:color w:val="000000"/>
                <w:sz w:val="20"/>
                <w:szCs w:val="20"/>
              </w:rPr>
            </w:pPr>
            <w:r w:rsidRPr="009B5734">
              <w:rPr>
                <w:rFonts w:ascii="Times New Roman" w:hAnsi="Times New Roman" w:cs="Times New Roman"/>
                <w:noProof/>
                <w:color w:val="000000"/>
                <w:sz w:val="20"/>
                <w:szCs w:val="20"/>
              </w:rPr>
              <w:t>1 129 ± 447</w:t>
            </w:r>
          </w:p>
        </w:tc>
        <w:tc>
          <w:tcPr>
            <w:tcW w:w="1707" w:type="dxa"/>
            <w:shd w:val="clear" w:color="auto" w:fill="BDD6EE"/>
          </w:tcPr>
          <w:p w:rsidR="00FE7CEC" w:rsidRPr="009B5734" w:rsidRDefault="00FE7CEC" w:rsidP="003665DD">
            <w:pPr>
              <w:spacing w:before="120" w:after="120"/>
              <w:jc w:val="center"/>
              <w:rPr>
                <w:rFonts w:ascii="Times New Roman" w:hAnsi="Times New Roman" w:cs="Times New Roman"/>
                <w:noProof/>
                <w:color w:val="000000"/>
                <w:sz w:val="20"/>
                <w:szCs w:val="20"/>
              </w:rPr>
            </w:pPr>
            <w:r w:rsidRPr="009B5734">
              <w:rPr>
                <w:rFonts w:ascii="Times New Roman" w:hAnsi="Times New Roman" w:cs="Times New Roman"/>
                <w:noProof/>
                <w:color w:val="000000"/>
                <w:sz w:val="20"/>
                <w:szCs w:val="20"/>
              </w:rPr>
              <w:t>1 865 ± 745</w:t>
            </w:r>
          </w:p>
        </w:tc>
      </w:tr>
      <w:tr w:rsidR="00FE7CEC" w:rsidRPr="009B5734" w:rsidTr="70D97C89">
        <w:trPr>
          <w:trHeight w:val="288"/>
          <w:jc w:val="center"/>
        </w:trPr>
        <w:tc>
          <w:tcPr>
            <w:tcW w:w="3479" w:type="dxa"/>
            <w:shd w:val="clear" w:color="auto" w:fill="5B9BD5"/>
            <w:tcMar>
              <w:top w:w="0" w:type="dxa"/>
              <w:left w:w="108" w:type="dxa"/>
              <w:bottom w:w="0" w:type="dxa"/>
              <w:right w:w="108" w:type="dxa"/>
            </w:tcMar>
          </w:tcPr>
          <w:p w:rsidR="00FE7CEC" w:rsidRPr="009B5734" w:rsidRDefault="00FE7CEC" w:rsidP="003665DD">
            <w:pPr>
              <w:spacing w:before="120" w:after="120"/>
              <w:jc w:val="center"/>
              <w:rPr>
                <w:rFonts w:ascii="Times New Roman" w:hAnsi="Times New Roman" w:cs="Times New Roman"/>
                <w:b/>
                <w:bCs/>
                <w:noProof/>
                <w:color w:val="FFFFFF"/>
                <w:sz w:val="20"/>
                <w:szCs w:val="20"/>
              </w:rPr>
            </w:pPr>
            <w:r w:rsidRPr="009B5734">
              <w:rPr>
                <w:rFonts w:ascii="Times New Roman" w:hAnsi="Times New Roman" w:cs="Times New Roman"/>
                <w:b/>
                <w:bCs/>
                <w:noProof/>
                <w:color w:val="FFFFFF"/>
                <w:sz w:val="20"/>
                <w:szCs w:val="20"/>
              </w:rPr>
              <w:t>2025 - 2050</w:t>
            </w:r>
          </w:p>
        </w:tc>
        <w:tc>
          <w:tcPr>
            <w:tcW w:w="1706" w:type="dxa"/>
            <w:shd w:val="clear" w:color="auto" w:fill="BDD6EE"/>
            <w:noWrap/>
            <w:tcMar>
              <w:top w:w="0" w:type="dxa"/>
              <w:left w:w="108" w:type="dxa"/>
              <w:bottom w:w="0" w:type="dxa"/>
              <w:right w:w="108" w:type="dxa"/>
            </w:tcMar>
            <w:vAlign w:val="center"/>
          </w:tcPr>
          <w:p w:rsidR="00FE7CEC" w:rsidRPr="009B5734" w:rsidRDefault="00FE7CEC" w:rsidP="003665DD">
            <w:pPr>
              <w:spacing w:before="120" w:after="120"/>
              <w:rPr>
                <w:rFonts w:ascii="Times New Roman" w:hAnsi="Times New Roman" w:cs="Times New Roman"/>
                <w:noProof/>
                <w:color w:val="000000"/>
                <w:sz w:val="20"/>
                <w:szCs w:val="20"/>
              </w:rPr>
            </w:pPr>
            <w:r w:rsidRPr="009B5734">
              <w:rPr>
                <w:rFonts w:ascii="Times New Roman" w:hAnsi="Times New Roman" w:cs="Times New Roman"/>
                <w:noProof/>
                <w:color w:val="000000"/>
                <w:sz w:val="20"/>
                <w:szCs w:val="20"/>
              </w:rPr>
              <w:t>-2 705 ± 325</w:t>
            </w:r>
          </w:p>
        </w:tc>
        <w:tc>
          <w:tcPr>
            <w:tcW w:w="1707" w:type="dxa"/>
            <w:shd w:val="clear" w:color="auto" w:fill="BDD6EE"/>
            <w:noWrap/>
            <w:tcMar>
              <w:top w:w="0" w:type="dxa"/>
              <w:left w:w="108" w:type="dxa"/>
              <w:bottom w:w="0" w:type="dxa"/>
              <w:right w:w="108" w:type="dxa"/>
            </w:tcMar>
            <w:vAlign w:val="center"/>
          </w:tcPr>
          <w:p w:rsidR="00FE7CEC" w:rsidRPr="009B5734" w:rsidRDefault="00FE7CEC" w:rsidP="003665DD">
            <w:pPr>
              <w:spacing w:before="120" w:after="120"/>
              <w:jc w:val="center"/>
              <w:rPr>
                <w:rFonts w:ascii="Times New Roman" w:hAnsi="Times New Roman" w:cs="Times New Roman"/>
                <w:noProof/>
                <w:color w:val="000000"/>
                <w:sz w:val="20"/>
                <w:szCs w:val="20"/>
              </w:rPr>
            </w:pPr>
            <w:r w:rsidRPr="009B5734">
              <w:rPr>
                <w:rFonts w:ascii="Times New Roman" w:hAnsi="Times New Roman" w:cs="Times New Roman"/>
                <w:noProof/>
                <w:color w:val="000000"/>
                <w:sz w:val="20"/>
                <w:szCs w:val="20"/>
              </w:rPr>
              <w:t>2 210 ± 839</w:t>
            </w:r>
          </w:p>
        </w:tc>
        <w:tc>
          <w:tcPr>
            <w:tcW w:w="1707" w:type="dxa"/>
            <w:shd w:val="clear" w:color="auto" w:fill="BDD6EE"/>
          </w:tcPr>
          <w:p w:rsidR="00FE7CEC" w:rsidRPr="009B5734" w:rsidRDefault="00FE7CEC" w:rsidP="003665DD">
            <w:pPr>
              <w:spacing w:before="120" w:after="120"/>
              <w:jc w:val="center"/>
              <w:rPr>
                <w:rFonts w:ascii="Times New Roman" w:hAnsi="Times New Roman" w:cs="Times New Roman"/>
                <w:noProof/>
                <w:color w:val="000000"/>
                <w:sz w:val="20"/>
                <w:szCs w:val="20"/>
              </w:rPr>
            </w:pPr>
            <w:r w:rsidRPr="009B5734">
              <w:rPr>
                <w:rFonts w:ascii="Times New Roman" w:hAnsi="Times New Roman" w:cs="Times New Roman"/>
                <w:noProof/>
                <w:color w:val="000000"/>
                <w:sz w:val="20"/>
                <w:szCs w:val="20"/>
              </w:rPr>
              <w:t>3244 ± 1156</w:t>
            </w:r>
          </w:p>
        </w:tc>
      </w:tr>
    </w:tbl>
    <w:p w:rsidR="00FE7CEC" w:rsidRPr="009B5734" w:rsidRDefault="00FE7CEC" w:rsidP="00EA45F9">
      <w:pPr>
        <w:ind w:left="0" w:firstLine="0"/>
        <w:rPr>
          <w:rFonts w:ascii="Times New Roman" w:hAnsi="Times New Roman" w:cs="Times New Roman"/>
          <w:b/>
          <w:noProof/>
          <w:sz w:val="24"/>
          <w:szCs w:val="24"/>
        </w:rPr>
      </w:pPr>
    </w:p>
    <w:p w:rsidR="00FE7CEC" w:rsidRPr="009B5734" w:rsidRDefault="00FE7CEC" w:rsidP="00EA45F9">
      <w:pPr>
        <w:ind w:left="0" w:firstLine="0"/>
        <w:rPr>
          <w:rFonts w:ascii="Times New Roman" w:hAnsi="Times New Roman" w:cs="Times New Roman"/>
          <w:b/>
          <w:noProof/>
          <w:sz w:val="24"/>
          <w:szCs w:val="24"/>
        </w:rPr>
      </w:pPr>
    </w:p>
    <w:p w:rsidR="00EA45F9" w:rsidRPr="009B5734" w:rsidRDefault="00A00208" w:rsidP="00A00208">
      <w:pPr>
        <w:pStyle w:val="Heading4"/>
        <w:rPr>
          <w:noProof/>
        </w:rPr>
      </w:pPr>
      <w:bookmarkStart w:id="769" w:name="_Sub-problem_1.3:_Lack"/>
      <w:bookmarkStart w:id="770" w:name="_Toc75441455"/>
      <w:bookmarkStart w:id="771" w:name="_Toc75447021"/>
      <w:bookmarkStart w:id="772" w:name="_Toc75448894"/>
      <w:bookmarkStart w:id="773" w:name="_Ref60649506"/>
      <w:bookmarkEnd w:id="769"/>
      <w:r w:rsidRPr="00A00208">
        <w:t>2.2.</w:t>
      </w:r>
      <w:r w:rsidRPr="00A00208">
        <w:tab/>
      </w:r>
      <w:r w:rsidR="00EA45F9" w:rsidRPr="009B5734">
        <w:rPr>
          <w:noProof/>
        </w:rPr>
        <w:t xml:space="preserve">Sub-problem 1.3: </w:t>
      </w:r>
      <w:r w:rsidR="00D60C0B" w:rsidRPr="009B5734">
        <w:rPr>
          <w:noProof/>
        </w:rPr>
        <w:t>Lack of reliable information</w:t>
      </w:r>
      <w:r w:rsidR="00EA45F9" w:rsidRPr="009B5734">
        <w:rPr>
          <w:noProof/>
        </w:rPr>
        <w:t xml:space="preserve"> about product’s reparability</w:t>
      </w:r>
      <w:bookmarkEnd w:id="770"/>
      <w:bookmarkEnd w:id="771"/>
      <w:bookmarkEnd w:id="772"/>
    </w:p>
    <w:p w:rsidR="00EA45F9" w:rsidRPr="009B5734" w:rsidRDefault="00EA45F9" w:rsidP="00EA45F9">
      <w:pPr>
        <w:rPr>
          <w:rFonts w:ascii="Times New Roman" w:hAnsi="Times New Roman" w:cs="Times New Roman"/>
          <w:noProof/>
          <w:sz w:val="24"/>
          <w:szCs w:val="24"/>
        </w:rPr>
      </w:pPr>
      <w:r w:rsidRPr="009B5734">
        <w:rPr>
          <w:rFonts w:ascii="Times New Roman" w:hAnsi="Times New Roman" w:cs="Times New Roman"/>
          <w:noProof/>
          <w:sz w:val="24"/>
          <w:szCs w:val="24"/>
        </w:rPr>
        <w:t>Five options were selected for further analysis:</w:t>
      </w:r>
    </w:p>
    <w:p w:rsidR="00EA45F9" w:rsidRPr="009B5734" w:rsidRDefault="00EA45F9" w:rsidP="00EA45F9">
      <w:pPr>
        <w:pStyle w:val="BTBullet1Last"/>
        <w:ind w:left="0" w:firstLine="0"/>
        <w:jc w:val="left"/>
        <w:rPr>
          <w:rFonts w:ascii="Times New Roman" w:hAnsi="Times New Roman"/>
          <w:noProof/>
          <w:sz w:val="24"/>
        </w:rPr>
      </w:pPr>
      <w:r w:rsidRPr="009B5734">
        <w:rPr>
          <w:rFonts w:ascii="Times New Roman" w:hAnsi="Times New Roman"/>
          <w:noProof/>
          <w:sz w:val="24"/>
        </w:rPr>
        <w:t>- Option 1.3.A: Provision of updated, user-friendly repair and user manuals</w:t>
      </w:r>
      <w:r w:rsidRPr="009B5734">
        <w:rPr>
          <w:rFonts w:ascii="Times New Roman" w:hAnsi="Times New Roman"/>
          <w:noProof/>
          <w:sz w:val="24"/>
        </w:rPr>
        <w:br/>
        <w:t>- Option 1.3.B: Provision of information about how long and which spare parts are available</w:t>
      </w:r>
      <w:r w:rsidRPr="009B5734">
        <w:rPr>
          <w:rFonts w:ascii="Times New Roman" w:hAnsi="Times New Roman"/>
          <w:noProof/>
          <w:sz w:val="24"/>
        </w:rPr>
        <w:br/>
        <w:t>- Option 1.3.C: Provision of information on availability of repair services</w:t>
      </w:r>
      <w:r w:rsidRPr="009B5734">
        <w:rPr>
          <w:rFonts w:ascii="Times New Roman" w:hAnsi="Times New Roman"/>
          <w:noProof/>
          <w:sz w:val="24"/>
        </w:rPr>
        <w:br/>
        <w:t>- Option 1.3.D: Reparability Scoring Index</w:t>
      </w:r>
      <w:r w:rsidRPr="009B5734">
        <w:rPr>
          <w:rFonts w:ascii="Times New Roman" w:hAnsi="Times New Roman"/>
          <w:noProof/>
          <w:sz w:val="24"/>
        </w:rPr>
        <w:br/>
        <w:t>- Option 1.3.E: Provision of Repair Scoring Index, or other relevant repair information on a where applicable/available basis</w:t>
      </w:r>
      <w:r w:rsidRPr="009B5734">
        <w:rPr>
          <w:rFonts w:ascii="Times New Roman" w:hAnsi="Times New Roman"/>
          <w:noProof/>
          <w:sz w:val="24"/>
        </w:rPr>
        <w:tab/>
      </w:r>
    </w:p>
    <w:p w:rsidR="00EA45F9" w:rsidRPr="009B5734" w:rsidRDefault="00EA45F9" w:rsidP="00EA45F9">
      <w:pPr>
        <w:ind w:left="0" w:firstLine="0"/>
        <w:rPr>
          <w:rFonts w:ascii="Times New Roman" w:hAnsi="Times New Roman" w:cs="Times New Roman"/>
          <w:noProof/>
          <w:sz w:val="24"/>
          <w:szCs w:val="24"/>
        </w:rPr>
      </w:pP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The table below summarises the assessment of the baseline and of each option against each assessment criterion (the assessment of their impacts is described in detail in </w:t>
      </w:r>
      <w:hyperlink w:anchor="_Annex_8:_Impacts" w:history="1">
        <w:r w:rsidRPr="009B5734">
          <w:rPr>
            <w:rStyle w:val="Hyperlink"/>
            <w:rFonts w:ascii="Times New Roman" w:hAnsi="Times New Roman" w:cs="Times New Roman"/>
            <w:noProof/>
            <w:sz w:val="24"/>
            <w:szCs w:val="24"/>
          </w:rPr>
          <w:t>Annex 8</w:t>
        </w:r>
      </w:hyperlink>
      <w:r w:rsidRPr="009B5734">
        <w:rPr>
          <w:rFonts w:ascii="Times New Roman" w:hAnsi="Times New Roman" w:cs="Times New Roman"/>
          <w:noProof/>
          <w:sz w:val="24"/>
          <w:szCs w:val="24"/>
        </w:rPr>
        <w:t>).</w:t>
      </w:r>
    </w:p>
    <w:p w:rsidR="00EA45F9" w:rsidRPr="009B5734" w:rsidRDefault="00EA45F9" w:rsidP="00EA45F9">
      <w:pPr>
        <w:ind w:left="0" w:firstLine="0"/>
        <w:contextualSpacing/>
        <w:rPr>
          <w:rFonts w:ascii="Times New Roman" w:hAnsi="Times New Roman" w:cs="Times New Roman"/>
          <w:noProof/>
          <w:sz w:val="24"/>
          <w:szCs w:val="24"/>
        </w:rPr>
      </w:pPr>
    </w:p>
    <w:p w:rsidR="00EA45F9" w:rsidRPr="009B5734" w:rsidRDefault="00EA45F9" w:rsidP="00EA45F9">
      <w:pPr>
        <w:ind w:left="0" w:firstLine="0"/>
        <w:contextualSpacing/>
        <w:rPr>
          <w:rFonts w:ascii="Times New Roman" w:hAnsi="Times New Roman" w:cs="Times New Roman"/>
          <w:noProof/>
          <w:sz w:val="24"/>
          <w:szCs w:val="24"/>
        </w:rPr>
      </w:pPr>
      <w:r w:rsidRPr="009B5734">
        <w:rPr>
          <w:rFonts w:ascii="Times New Roman" w:hAnsi="Times New Roman" w:cs="Times New Roman"/>
          <w:noProof/>
          <w:sz w:val="24"/>
          <w:szCs w:val="24"/>
        </w:rPr>
        <w:t>The comparison of the options using a multi-criteria analysis shows that in the default</w:t>
      </w:r>
      <w:r w:rsidRPr="009B5734" w:rsidDel="003849F5">
        <w:rPr>
          <w:rFonts w:ascii="Times New Roman" w:hAnsi="Times New Roman" w:cs="Times New Roman"/>
          <w:noProof/>
          <w:sz w:val="24"/>
          <w:szCs w:val="24"/>
        </w:rPr>
        <w:t xml:space="preserve"> </w:t>
      </w:r>
      <w:r w:rsidRPr="009B5734">
        <w:rPr>
          <w:rFonts w:ascii="Times New Roman" w:hAnsi="Times New Roman" w:cs="Times New Roman"/>
          <w:noProof/>
          <w:sz w:val="24"/>
          <w:szCs w:val="24"/>
        </w:rPr>
        <w:t xml:space="preserve">scenario where Effectiveness has a weight of 30 points, Efficiency 60 points and Coherence 10 </w:t>
      </w:r>
      <w:r w:rsidRPr="009B5734" w:rsidDel="00326B1F">
        <w:rPr>
          <w:rFonts w:ascii="Times New Roman" w:hAnsi="Times New Roman" w:cs="Times New Roman"/>
          <w:noProof/>
          <w:sz w:val="24"/>
          <w:szCs w:val="24"/>
        </w:rPr>
        <w:t>points</w:t>
      </w:r>
      <w:r w:rsidRPr="009B5734">
        <w:rPr>
          <w:rFonts w:ascii="Times New Roman" w:hAnsi="Times New Roman" w:cs="Times New Roman"/>
          <w:noProof/>
          <w:sz w:val="24"/>
          <w:szCs w:val="24"/>
        </w:rPr>
        <w:t>:</w:t>
      </w:r>
    </w:p>
    <w:p w:rsidR="00EA45F9" w:rsidRPr="009B5734" w:rsidRDefault="00EA45F9" w:rsidP="00EA45F9">
      <w:pPr>
        <w:pStyle w:val="Bullet1"/>
        <w:tabs>
          <w:tab w:val="clear" w:pos="340"/>
        </w:tabs>
        <w:spacing w:line="240" w:lineRule="auto"/>
        <w:ind w:left="0" w:firstLine="0"/>
        <w:contextualSpacing/>
        <w:rPr>
          <w:rFonts w:ascii="Times New Roman" w:hAnsi="Times New Roman"/>
          <w:noProof/>
          <w:sz w:val="24"/>
        </w:rPr>
      </w:pPr>
      <w:r w:rsidRPr="009B5734">
        <w:rPr>
          <w:rFonts w:ascii="Times New Roman" w:hAnsi="Times New Roman"/>
          <w:noProof/>
          <w:sz w:val="24"/>
        </w:rPr>
        <w:t xml:space="preserve">- Option E (1.3.E) ranks higher than Option B (1.3.B), which is followed by the baseline, which ranks higher than Option D (1.3.D), </w:t>
      </w:r>
      <w:r w:rsidRPr="009B5734" w:rsidDel="00E31F66">
        <w:rPr>
          <w:rFonts w:ascii="Times New Roman" w:hAnsi="Times New Roman"/>
          <w:noProof/>
          <w:sz w:val="24"/>
        </w:rPr>
        <w:t xml:space="preserve">which ranks higher than </w:t>
      </w:r>
      <w:r w:rsidRPr="009B5734">
        <w:rPr>
          <w:rFonts w:ascii="Times New Roman" w:hAnsi="Times New Roman"/>
          <w:noProof/>
          <w:sz w:val="24"/>
        </w:rPr>
        <w:t>Option A (1.3.A), which ranks higher than Option C (1.3.C).</w:t>
      </w:r>
    </w:p>
    <w:p w:rsidR="00EA45F9" w:rsidRPr="009B5734" w:rsidRDefault="00EA45F9" w:rsidP="00EA45F9">
      <w:pPr>
        <w:ind w:left="0" w:firstLine="0"/>
        <w:contextualSpacing/>
        <w:rPr>
          <w:rFonts w:ascii="Times New Roman" w:hAnsi="Times New Roman" w:cs="Times New Roman"/>
          <w:noProof/>
          <w:sz w:val="24"/>
          <w:szCs w:val="24"/>
        </w:rPr>
      </w:pPr>
      <w:r w:rsidRPr="009B5734">
        <w:rPr>
          <w:rFonts w:ascii="Times New Roman" w:hAnsi="Times New Roman" w:cs="Times New Roman"/>
          <w:noProof/>
          <w:sz w:val="24"/>
          <w:szCs w:val="24"/>
        </w:rPr>
        <w:t>The results of the sensitivity analysis show that the above ranking of options remains unchanged for half of the scenarios of weights tested. When</w:t>
      </w:r>
      <w:r w:rsidRPr="009B5734" w:rsidDel="006263B4">
        <w:rPr>
          <w:rFonts w:ascii="Times New Roman" w:hAnsi="Times New Roman" w:cs="Times New Roman"/>
          <w:noProof/>
          <w:sz w:val="24"/>
          <w:szCs w:val="24"/>
        </w:rPr>
        <w:t xml:space="preserve"> </w:t>
      </w:r>
      <w:r w:rsidRPr="009B5734">
        <w:rPr>
          <w:rFonts w:ascii="Times New Roman" w:hAnsi="Times New Roman" w:cs="Times New Roman"/>
          <w:noProof/>
          <w:sz w:val="24"/>
          <w:szCs w:val="24"/>
        </w:rPr>
        <w:t xml:space="preserve">Efficiency has a higher weight, the ranking of options changes slightly, in that Option E and Option B jointly rank highest. </w:t>
      </w:r>
    </w:p>
    <w:p w:rsidR="00EA45F9" w:rsidRPr="009B5734" w:rsidRDefault="00EA45F9" w:rsidP="00EA45F9">
      <w:pPr>
        <w:ind w:left="0" w:firstLine="0"/>
        <w:contextualSpacing/>
        <w:rPr>
          <w:rFonts w:ascii="Times New Roman" w:hAnsi="Times New Roman" w:cs="Times New Roman"/>
          <w:noProof/>
          <w:sz w:val="24"/>
          <w:szCs w:val="24"/>
        </w:rPr>
      </w:pPr>
      <w:r w:rsidRPr="009B5734">
        <w:rPr>
          <w:rFonts w:ascii="Times New Roman" w:hAnsi="Times New Roman" w:cs="Times New Roman"/>
          <w:noProof/>
          <w:sz w:val="24"/>
          <w:szCs w:val="24"/>
        </w:rPr>
        <w:t>The final scores for each scenario and for all possible option ranking can be found in the table below.</w:t>
      </w:r>
    </w:p>
    <w:p w:rsidR="00EA45F9" w:rsidRPr="009B5734" w:rsidRDefault="00EA45F9" w:rsidP="00EA45F9">
      <w:pPr>
        <w:ind w:left="0" w:firstLine="0"/>
        <w:rPr>
          <w:rFonts w:ascii="Times New Roman" w:hAnsi="Times New Roman" w:cs="Times New Roman"/>
          <w:b/>
          <w:noProof/>
          <w:sz w:val="24"/>
          <w:szCs w:val="24"/>
        </w:rPr>
      </w:pPr>
    </w:p>
    <w:p w:rsidR="00EA45F9" w:rsidRPr="009B5734" w:rsidRDefault="00EA45F9" w:rsidP="00EA45F9">
      <w:pPr>
        <w:ind w:left="0" w:firstLine="0"/>
        <w:rPr>
          <w:rFonts w:ascii="Times New Roman" w:hAnsi="Times New Roman" w:cs="Times New Roman"/>
          <w:b/>
          <w:noProof/>
          <w:sz w:val="24"/>
          <w:szCs w:val="24"/>
        </w:rPr>
      </w:pPr>
      <w:r w:rsidRPr="009B5734">
        <w:rPr>
          <w:rFonts w:ascii="Times New Roman" w:hAnsi="Times New Roman" w:cs="Times New Roman"/>
          <w:b/>
          <w:noProof/>
          <w:sz w:val="24"/>
          <w:szCs w:val="24"/>
        </w:rPr>
        <w:t>Results of the sensitivity analysis for the options for Sub-Problem 1.3</w:t>
      </w:r>
    </w:p>
    <w:p w:rsidR="00EA45F9" w:rsidRPr="009B5734" w:rsidRDefault="00EA45F9" w:rsidP="00EA45F9">
      <w:pPr>
        <w:ind w:left="0" w:firstLine="0"/>
        <w:rPr>
          <w:rFonts w:ascii="Times New Roman" w:hAnsi="Times New Roman" w:cs="Times New Roman"/>
          <w:b/>
          <w:noProof/>
          <w:sz w:val="24"/>
          <w:szCs w:val="24"/>
        </w:rPr>
      </w:pPr>
    </w:p>
    <w:tbl>
      <w:tblPr>
        <w:tblW w:w="12960" w:type="dxa"/>
        <w:tblInd w:w="113" w:type="dxa"/>
        <w:tblLook w:val="04A0" w:firstRow="1" w:lastRow="0" w:firstColumn="1" w:lastColumn="0" w:noHBand="0" w:noVBand="1"/>
      </w:tblPr>
      <w:tblGrid>
        <w:gridCol w:w="1440"/>
        <w:gridCol w:w="1440"/>
        <w:gridCol w:w="1440"/>
        <w:gridCol w:w="1440"/>
        <w:gridCol w:w="1440"/>
        <w:gridCol w:w="1440"/>
        <w:gridCol w:w="1440"/>
        <w:gridCol w:w="1440"/>
        <w:gridCol w:w="1440"/>
      </w:tblGrid>
      <w:tr w:rsidR="00EA45F9" w:rsidRPr="009B5734" w:rsidTr="00C84A99">
        <w:trPr>
          <w:trHeight w:val="1240"/>
        </w:trPr>
        <w:tc>
          <w:tcPr>
            <w:tcW w:w="1440" w:type="dxa"/>
            <w:tcBorders>
              <w:top w:val="single" w:sz="4" w:space="0" w:color="auto"/>
              <w:left w:val="single" w:sz="4" w:space="0" w:color="auto"/>
              <w:bottom w:val="single" w:sz="4" w:space="0" w:color="auto"/>
              <w:right w:val="single" w:sz="4" w:space="0" w:color="auto"/>
            </w:tcBorders>
            <w:shd w:val="clear" w:color="auto" w:fill="002395"/>
            <w:hideMark/>
          </w:tcPr>
          <w:p w:rsidR="00EA45F9" w:rsidRPr="009B5734" w:rsidRDefault="00EA45F9" w:rsidP="00981615">
            <w:pPr>
              <w:ind w:left="0" w:firstLine="0"/>
              <w:jc w:val="center"/>
              <w:rPr>
                <w:rFonts w:ascii="Calibri" w:eastAsia="Times New Roman" w:hAnsi="Calibri" w:cs="Calibri"/>
                <w:b/>
                <w:bCs/>
                <w:noProof/>
                <w:color w:val="FFFFFF"/>
                <w:sz w:val="18"/>
                <w:szCs w:val="18"/>
                <w:lang w:eastAsia="en-GB"/>
              </w:rPr>
            </w:pPr>
            <w:r w:rsidRPr="009B5734">
              <w:rPr>
                <w:rFonts w:ascii="Calibri" w:eastAsia="Times New Roman" w:hAnsi="Calibri" w:cs="Calibri"/>
                <w:b/>
                <w:bCs/>
                <w:noProof/>
                <w:color w:val="FFFFFF"/>
                <w:sz w:val="18"/>
                <w:szCs w:val="18"/>
                <w:lang w:eastAsia="en-GB"/>
              </w:rPr>
              <w:t>Ranking</w:t>
            </w:r>
          </w:p>
        </w:tc>
        <w:tc>
          <w:tcPr>
            <w:tcW w:w="1440" w:type="dxa"/>
            <w:tcBorders>
              <w:top w:val="single" w:sz="4" w:space="0" w:color="auto"/>
              <w:left w:val="nil"/>
              <w:bottom w:val="single" w:sz="4" w:space="0" w:color="auto"/>
              <w:right w:val="single" w:sz="4" w:space="0" w:color="auto"/>
            </w:tcBorders>
            <w:shd w:val="clear" w:color="auto" w:fill="002395"/>
            <w:hideMark/>
          </w:tcPr>
          <w:p w:rsidR="00EA45F9" w:rsidRPr="009B5734" w:rsidRDefault="00EA45F9" w:rsidP="00981615">
            <w:pPr>
              <w:ind w:left="0" w:firstLine="0"/>
              <w:jc w:val="center"/>
              <w:rPr>
                <w:rFonts w:ascii="Calibri" w:eastAsia="Times New Roman" w:hAnsi="Calibri" w:cs="Calibri"/>
                <w:b/>
                <w:bCs/>
                <w:noProof/>
                <w:color w:val="FFFFFF"/>
                <w:sz w:val="18"/>
                <w:szCs w:val="18"/>
                <w:lang w:eastAsia="en-GB"/>
              </w:rPr>
            </w:pPr>
            <w:r w:rsidRPr="009B5734">
              <w:rPr>
                <w:rFonts w:ascii="Calibri" w:eastAsia="Times New Roman" w:hAnsi="Calibri" w:cs="Calibri"/>
                <w:b/>
                <w:bCs/>
                <w:noProof/>
                <w:color w:val="FFFFFF"/>
                <w:sz w:val="18"/>
                <w:szCs w:val="18"/>
                <w:lang w:eastAsia="en-GB"/>
              </w:rPr>
              <w:t>Default: Effectiveness 30%, Efficiency 60% and Coherence 10%</w:t>
            </w:r>
          </w:p>
        </w:tc>
        <w:tc>
          <w:tcPr>
            <w:tcW w:w="1440" w:type="dxa"/>
            <w:tcBorders>
              <w:top w:val="single" w:sz="4" w:space="0" w:color="auto"/>
              <w:left w:val="nil"/>
              <w:bottom w:val="single" w:sz="4" w:space="0" w:color="auto"/>
              <w:right w:val="single" w:sz="4" w:space="0" w:color="auto"/>
            </w:tcBorders>
            <w:shd w:val="clear" w:color="auto" w:fill="002395"/>
            <w:hideMark/>
          </w:tcPr>
          <w:p w:rsidR="00EA45F9" w:rsidRPr="009B5734" w:rsidRDefault="00EA45F9" w:rsidP="00981615">
            <w:pPr>
              <w:ind w:left="0" w:firstLine="0"/>
              <w:jc w:val="center"/>
              <w:rPr>
                <w:rFonts w:ascii="Calibri" w:eastAsia="Times New Roman" w:hAnsi="Calibri" w:cs="Calibri"/>
                <w:b/>
                <w:bCs/>
                <w:noProof/>
                <w:color w:val="FFFFFF"/>
                <w:sz w:val="18"/>
                <w:szCs w:val="18"/>
                <w:lang w:eastAsia="en-GB"/>
              </w:rPr>
            </w:pPr>
            <w:r w:rsidRPr="009B5734">
              <w:rPr>
                <w:rFonts w:ascii="Calibri" w:eastAsia="Times New Roman" w:hAnsi="Calibri" w:cs="Calibri"/>
                <w:b/>
                <w:bCs/>
                <w:noProof/>
                <w:color w:val="FFFFFF"/>
                <w:sz w:val="18"/>
                <w:szCs w:val="18"/>
                <w:lang w:eastAsia="en-GB"/>
              </w:rPr>
              <w:t>Effectiveness 1/3, Efficiency 1/3 and Coherence 1/3</w:t>
            </w:r>
          </w:p>
        </w:tc>
        <w:tc>
          <w:tcPr>
            <w:tcW w:w="1440" w:type="dxa"/>
            <w:tcBorders>
              <w:top w:val="single" w:sz="4" w:space="0" w:color="auto"/>
              <w:left w:val="nil"/>
              <w:bottom w:val="single" w:sz="4" w:space="0" w:color="auto"/>
              <w:right w:val="single" w:sz="4" w:space="0" w:color="auto"/>
            </w:tcBorders>
            <w:shd w:val="clear" w:color="auto" w:fill="002395"/>
            <w:hideMark/>
          </w:tcPr>
          <w:p w:rsidR="00EA45F9" w:rsidRPr="009B5734" w:rsidRDefault="00EA45F9" w:rsidP="00981615">
            <w:pPr>
              <w:ind w:left="0" w:firstLine="0"/>
              <w:jc w:val="center"/>
              <w:rPr>
                <w:rFonts w:ascii="Calibri" w:eastAsia="Times New Roman" w:hAnsi="Calibri" w:cs="Calibri"/>
                <w:b/>
                <w:bCs/>
                <w:noProof/>
                <w:color w:val="FFFFFF"/>
                <w:sz w:val="18"/>
                <w:szCs w:val="18"/>
                <w:lang w:eastAsia="en-GB"/>
              </w:rPr>
            </w:pPr>
            <w:r w:rsidRPr="009B5734">
              <w:rPr>
                <w:rFonts w:ascii="Calibri" w:eastAsia="Times New Roman" w:hAnsi="Calibri" w:cs="Calibri"/>
                <w:b/>
                <w:bCs/>
                <w:noProof/>
                <w:color w:val="FFFFFF"/>
                <w:sz w:val="18"/>
                <w:szCs w:val="18"/>
                <w:lang w:eastAsia="en-GB"/>
              </w:rPr>
              <w:t>Effectiveness 45%, Efficiency 45% and Coherence 10%</w:t>
            </w:r>
          </w:p>
        </w:tc>
        <w:tc>
          <w:tcPr>
            <w:tcW w:w="1440" w:type="dxa"/>
            <w:tcBorders>
              <w:top w:val="single" w:sz="4" w:space="0" w:color="auto"/>
              <w:left w:val="nil"/>
              <w:bottom w:val="single" w:sz="4" w:space="0" w:color="auto"/>
              <w:right w:val="single" w:sz="4" w:space="0" w:color="auto"/>
            </w:tcBorders>
            <w:shd w:val="clear" w:color="auto" w:fill="002395"/>
            <w:hideMark/>
          </w:tcPr>
          <w:p w:rsidR="00EA45F9" w:rsidRPr="009B5734" w:rsidRDefault="00EA45F9" w:rsidP="00981615">
            <w:pPr>
              <w:ind w:left="0" w:firstLine="0"/>
              <w:jc w:val="center"/>
              <w:rPr>
                <w:rFonts w:ascii="Calibri" w:eastAsia="Times New Roman" w:hAnsi="Calibri" w:cs="Calibri"/>
                <w:b/>
                <w:bCs/>
                <w:noProof/>
                <w:color w:val="FFFFFF"/>
                <w:sz w:val="18"/>
                <w:szCs w:val="18"/>
                <w:lang w:eastAsia="en-GB"/>
              </w:rPr>
            </w:pPr>
            <w:r w:rsidRPr="009B5734">
              <w:rPr>
                <w:rFonts w:ascii="Calibri" w:eastAsia="Times New Roman" w:hAnsi="Calibri" w:cs="Calibri"/>
                <w:b/>
                <w:bCs/>
                <w:noProof/>
                <w:color w:val="FFFFFF"/>
                <w:sz w:val="18"/>
                <w:szCs w:val="18"/>
                <w:lang w:eastAsia="en-GB"/>
              </w:rPr>
              <w:t>Effectiveness 20%, Efficiency 70% and Coherence 10%</w:t>
            </w:r>
          </w:p>
        </w:tc>
        <w:tc>
          <w:tcPr>
            <w:tcW w:w="1440" w:type="dxa"/>
            <w:tcBorders>
              <w:top w:val="single" w:sz="4" w:space="0" w:color="auto"/>
              <w:left w:val="nil"/>
              <w:bottom w:val="single" w:sz="4" w:space="0" w:color="auto"/>
              <w:right w:val="single" w:sz="4" w:space="0" w:color="auto"/>
            </w:tcBorders>
            <w:shd w:val="clear" w:color="auto" w:fill="002395"/>
            <w:hideMark/>
          </w:tcPr>
          <w:p w:rsidR="00EA45F9" w:rsidRPr="009B5734" w:rsidRDefault="00EA45F9" w:rsidP="00981615">
            <w:pPr>
              <w:ind w:left="0" w:firstLine="0"/>
              <w:jc w:val="center"/>
              <w:rPr>
                <w:rFonts w:ascii="Calibri" w:eastAsia="Times New Roman" w:hAnsi="Calibri" w:cs="Calibri"/>
                <w:b/>
                <w:bCs/>
                <w:noProof/>
                <w:color w:val="FFFFFF"/>
                <w:sz w:val="18"/>
                <w:szCs w:val="18"/>
                <w:lang w:eastAsia="en-GB"/>
              </w:rPr>
            </w:pPr>
            <w:r w:rsidRPr="009B5734">
              <w:rPr>
                <w:rFonts w:ascii="Calibri" w:eastAsia="Times New Roman" w:hAnsi="Calibri" w:cs="Calibri"/>
                <w:b/>
                <w:bCs/>
                <w:noProof/>
                <w:color w:val="FFFFFF"/>
                <w:sz w:val="18"/>
                <w:szCs w:val="18"/>
                <w:lang w:eastAsia="en-GB"/>
              </w:rPr>
              <w:t>Effectiveness 10%, Efficiency 80% and Coherence 10%</w:t>
            </w:r>
          </w:p>
        </w:tc>
        <w:tc>
          <w:tcPr>
            <w:tcW w:w="1440" w:type="dxa"/>
            <w:tcBorders>
              <w:top w:val="single" w:sz="4" w:space="0" w:color="auto"/>
              <w:left w:val="nil"/>
              <w:bottom w:val="single" w:sz="4" w:space="0" w:color="auto"/>
              <w:right w:val="single" w:sz="4" w:space="0" w:color="auto"/>
            </w:tcBorders>
            <w:shd w:val="clear" w:color="auto" w:fill="002395"/>
            <w:hideMark/>
          </w:tcPr>
          <w:p w:rsidR="00EA45F9" w:rsidRPr="009B5734" w:rsidRDefault="00EA45F9" w:rsidP="00981615">
            <w:pPr>
              <w:ind w:left="0" w:firstLine="0"/>
              <w:jc w:val="center"/>
              <w:rPr>
                <w:rFonts w:ascii="Calibri" w:eastAsia="Times New Roman" w:hAnsi="Calibri" w:cs="Calibri"/>
                <w:b/>
                <w:bCs/>
                <w:noProof/>
                <w:color w:val="FFFFFF"/>
                <w:sz w:val="18"/>
                <w:szCs w:val="18"/>
                <w:lang w:eastAsia="en-GB"/>
              </w:rPr>
            </w:pPr>
            <w:r w:rsidRPr="009B5734">
              <w:rPr>
                <w:rFonts w:ascii="Calibri" w:eastAsia="Times New Roman" w:hAnsi="Calibri" w:cs="Calibri"/>
                <w:b/>
                <w:bCs/>
                <w:noProof/>
                <w:color w:val="FFFFFF"/>
                <w:sz w:val="18"/>
                <w:szCs w:val="18"/>
                <w:lang w:eastAsia="en-GB"/>
              </w:rPr>
              <w:t>Effectiveness 0%, Efficiency 90% and Coherence 10%</w:t>
            </w:r>
          </w:p>
        </w:tc>
        <w:tc>
          <w:tcPr>
            <w:tcW w:w="1440" w:type="dxa"/>
            <w:tcBorders>
              <w:top w:val="single" w:sz="4" w:space="0" w:color="auto"/>
              <w:left w:val="nil"/>
              <w:bottom w:val="single" w:sz="4" w:space="0" w:color="auto"/>
              <w:right w:val="single" w:sz="4" w:space="0" w:color="auto"/>
            </w:tcBorders>
            <w:shd w:val="clear" w:color="auto" w:fill="002395"/>
            <w:hideMark/>
          </w:tcPr>
          <w:p w:rsidR="00EA45F9" w:rsidRPr="009B5734" w:rsidRDefault="00EA45F9" w:rsidP="00981615">
            <w:pPr>
              <w:ind w:left="0" w:firstLine="0"/>
              <w:jc w:val="center"/>
              <w:rPr>
                <w:rFonts w:ascii="Calibri" w:eastAsia="Times New Roman" w:hAnsi="Calibri" w:cs="Calibri"/>
                <w:b/>
                <w:bCs/>
                <w:noProof/>
                <w:color w:val="FFFFFF"/>
                <w:sz w:val="18"/>
                <w:szCs w:val="18"/>
                <w:lang w:eastAsia="en-GB"/>
              </w:rPr>
            </w:pPr>
            <w:r w:rsidRPr="009B5734">
              <w:rPr>
                <w:rFonts w:ascii="Calibri" w:eastAsia="Times New Roman" w:hAnsi="Calibri" w:cs="Calibri"/>
                <w:b/>
                <w:bCs/>
                <w:noProof/>
                <w:color w:val="FFFFFF"/>
                <w:sz w:val="18"/>
                <w:szCs w:val="18"/>
                <w:lang w:eastAsia="en-GB"/>
              </w:rPr>
              <w:t>Experts</w:t>
            </w:r>
          </w:p>
        </w:tc>
        <w:tc>
          <w:tcPr>
            <w:tcW w:w="1440" w:type="dxa"/>
            <w:tcBorders>
              <w:top w:val="single" w:sz="4" w:space="0" w:color="auto"/>
              <w:left w:val="nil"/>
              <w:bottom w:val="single" w:sz="4" w:space="0" w:color="auto"/>
              <w:right w:val="single" w:sz="4" w:space="0" w:color="auto"/>
            </w:tcBorders>
            <w:shd w:val="clear" w:color="auto" w:fill="002395"/>
            <w:hideMark/>
          </w:tcPr>
          <w:p w:rsidR="00EA45F9" w:rsidRPr="009B5734" w:rsidRDefault="00EA45F9" w:rsidP="00981615">
            <w:pPr>
              <w:ind w:left="0" w:firstLine="0"/>
              <w:jc w:val="center"/>
              <w:rPr>
                <w:rFonts w:ascii="Calibri" w:eastAsia="Times New Roman" w:hAnsi="Calibri" w:cs="Calibri"/>
                <w:b/>
                <w:bCs/>
                <w:noProof/>
                <w:color w:val="FFFFFF"/>
                <w:sz w:val="18"/>
                <w:szCs w:val="18"/>
                <w:lang w:eastAsia="en-GB"/>
              </w:rPr>
            </w:pPr>
            <w:r w:rsidRPr="009B5734">
              <w:rPr>
                <w:rFonts w:ascii="Arial" w:hAnsi="Arial" w:cs="Arial"/>
                <w:b/>
                <w:bCs/>
                <w:noProof/>
                <w:color w:val="FFFFFF"/>
                <w:sz w:val="16"/>
                <w:szCs w:val="16"/>
              </w:rPr>
              <w:t>Worst-case scenario: Efficiency 100% (of which 60% allocated to costs and 40% to benefits)</w:t>
            </w:r>
          </w:p>
        </w:tc>
      </w:tr>
      <w:tr w:rsidR="00EA45F9" w:rsidRPr="009B5734" w:rsidTr="00C84A99">
        <w:trPr>
          <w:trHeight w:val="290"/>
        </w:trPr>
        <w:tc>
          <w:tcPr>
            <w:tcW w:w="14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0ABCDE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123</w:t>
            </w:r>
          </w:p>
        </w:tc>
        <w:tc>
          <w:tcPr>
            <w:tcW w:w="14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85</w:t>
            </w:r>
          </w:p>
        </w:tc>
        <w:tc>
          <w:tcPr>
            <w:tcW w:w="144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115</w:t>
            </w:r>
          </w:p>
        </w:tc>
        <w:tc>
          <w:tcPr>
            <w:tcW w:w="144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129</w:t>
            </w:r>
          </w:p>
        </w:tc>
        <w:tc>
          <w:tcPr>
            <w:tcW w:w="144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134</w:t>
            </w:r>
          </w:p>
        </w:tc>
        <w:tc>
          <w:tcPr>
            <w:tcW w:w="144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119</w:t>
            </w:r>
          </w:p>
        </w:tc>
        <w:tc>
          <w:tcPr>
            <w:tcW w:w="144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r>
      <w:tr w:rsidR="00EA45F9" w:rsidRPr="009B5734" w:rsidTr="00C84A99">
        <w:trPr>
          <w:trHeight w:val="290"/>
        </w:trPr>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A0BCDE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109</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B0ACDE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115</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0BACDE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122</w:t>
            </w:r>
          </w:p>
        </w:tc>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87</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118</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124</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127</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118</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r>
      <w:tr w:rsidR="00EA45F9" w:rsidRPr="009B5734" w:rsidTr="00C84A99">
        <w:trPr>
          <w:trHeight w:val="290"/>
        </w:trPr>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AB0CDE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96</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136</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r>
      <w:tr w:rsidR="00EA45F9" w:rsidRPr="009B5734" w:rsidTr="00C84A99">
        <w:trPr>
          <w:trHeight w:val="290"/>
        </w:trPr>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BA0CDE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127</w:t>
            </w:r>
          </w:p>
        </w:tc>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93</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125</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129</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124</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r>
      <w:tr w:rsidR="00EA45F9" w:rsidRPr="009B5734" w:rsidTr="00C84A99">
        <w:trPr>
          <w:trHeight w:val="290"/>
        </w:trPr>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BAC0DE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111</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r>
      <w:tr w:rsidR="00EA45F9" w:rsidRPr="009B5734" w:rsidTr="00C84A99">
        <w:trPr>
          <w:trHeight w:val="290"/>
        </w:trPr>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ABC0DE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109</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CBA0DE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103</w:t>
            </w:r>
          </w:p>
        </w:tc>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74</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106</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108</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103</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118</w:t>
            </w:r>
          </w:p>
        </w:tc>
      </w:tr>
      <w:tr w:rsidR="00EA45F9" w:rsidRPr="009B5734" w:rsidTr="00C84A99">
        <w:trPr>
          <w:trHeight w:val="290"/>
        </w:trPr>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BCA0DE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ACB0DE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126</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CAB0DE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110</w:t>
            </w:r>
          </w:p>
        </w:tc>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78</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105</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113</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117</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r>
      <w:tr w:rsidR="00EA45F9" w:rsidRPr="009B5734" w:rsidTr="00C84A99">
        <w:trPr>
          <w:trHeight w:val="290"/>
        </w:trPr>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C0BADE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98</w:t>
            </w:r>
          </w:p>
        </w:tc>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69</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93</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102</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106</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97</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r>
      <w:tr w:rsidR="00EA45F9" w:rsidRPr="009B5734" w:rsidTr="00C84A99">
        <w:trPr>
          <w:trHeight w:val="290"/>
        </w:trPr>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0CBADE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113</w:t>
            </w:r>
          </w:p>
        </w:tc>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85</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115</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112</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111</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104</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124</w:t>
            </w:r>
          </w:p>
        </w:tc>
      </w:tr>
      <w:tr w:rsidR="00EA45F9" w:rsidRPr="009B5734" w:rsidTr="00C84A99">
        <w:trPr>
          <w:trHeight w:val="290"/>
        </w:trPr>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BC0ADE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115</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CB0ADE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115</w:t>
            </w:r>
          </w:p>
        </w:tc>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83</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113</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117</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118</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116</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r>
      <w:tr w:rsidR="00EA45F9" w:rsidRPr="009B5734" w:rsidTr="00C84A99">
        <w:trPr>
          <w:trHeight w:val="290"/>
        </w:trPr>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0BCADE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102</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134</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r>
      <w:tr w:rsidR="00EA45F9" w:rsidRPr="009B5734" w:rsidTr="00C84A99">
        <w:trPr>
          <w:trHeight w:val="290"/>
        </w:trPr>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B0CADE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113</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r>
      <w:tr w:rsidR="00EA45F9" w:rsidRPr="009B5734" w:rsidTr="00C84A99">
        <w:trPr>
          <w:trHeight w:val="290"/>
        </w:trPr>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A0CBDE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111</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0ACBDE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106</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147</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r>
      <w:tr w:rsidR="00EA45F9" w:rsidRPr="009B5734" w:rsidTr="00C84A99">
        <w:trPr>
          <w:trHeight w:val="290"/>
        </w:trPr>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CA0BDE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117</w:t>
            </w:r>
          </w:p>
        </w:tc>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81</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121</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126</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115</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r>
      <w:tr w:rsidR="00EA45F9" w:rsidRPr="009B5734" w:rsidTr="00C84A99">
        <w:trPr>
          <w:trHeight w:val="290"/>
        </w:trPr>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AC0BDE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119</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r>
      <w:tr w:rsidR="00EA45F9" w:rsidRPr="009B5734" w:rsidTr="00C84A99">
        <w:trPr>
          <w:trHeight w:val="290"/>
        </w:trPr>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0CABDE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122</w:t>
            </w:r>
          </w:p>
        </w:tc>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87</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118</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124</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127</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r>
      <w:tr w:rsidR="00EA45F9" w:rsidRPr="009B5734" w:rsidTr="00C84A99">
        <w:trPr>
          <w:trHeight w:val="290"/>
        </w:trPr>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C0ABDE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107</w:t>
            </w:r>
          </w:p>
        </w:tc>
        <w:tc>
          <w:tcPr>
            <w:tcW w:w="14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70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95</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114</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122</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103</w:t>
            </w:r>
          </w:p>
        </w:tc>
        <w:tc>
          <w:tcPr>
            <w:tcW w:w="1440"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D0ABCE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0DABCE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AD0BCE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DA0BCE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0ADBCE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A0DBCE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A0BDCE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0ABDCE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BA0DCE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AB0DCE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0BADCE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B0ADCE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BDA0CE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DBA0CE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ABD0CE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BAD0CE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DAB0CE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ADB0CE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0DBACE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D0BACE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B0DACE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0BDACE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DB0ACE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BD0ACE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CD0ABE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DC0ABE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0CDABE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C0DABE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D0CABE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0DCABE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0DACBE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D0ACBE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A0DCBE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0ADCBE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DA0CBE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AD0CBE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AC0DBE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CA0DBE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0ACDBE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A0CDBE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C0ADBE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0CADBE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DCA0BE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CDA0BE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ADC0BE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DAC0BE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CAD0BE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ACD0BE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BCD0AE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CBD0AE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DBC0AE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BDC0AE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CDB0AE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DCB0AE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DC0BAE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CD0BAE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0DCBAE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D0CBAE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C0DBAE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0CDBAE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0BDCAE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B0DCAE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D0BCAE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0DBCAE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BD0CAE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DB0CAE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CB0DAE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BC0DAE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0CBDAE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C0BDAE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B0CDAE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0BCDAE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ABCD0E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BACD0E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CABD0E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ACBD0E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BCAD0E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CBAD0E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CBDA0E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BCDA0E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DCBA0E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CDBA0E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BDCA0E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DBCA0E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DACB0E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ADCB0E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CDAB0E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DCAB0E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ACDB0E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CADB0E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BADC0E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ABDC0E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DBAC0E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96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BDAC0E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ADBC0E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DABC0E</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DABCE0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ADBCE0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BDACE0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DBACE0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ABDCE0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BADCE0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BACDE0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ABCDE0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CBADE0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BCADE0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ACBDE0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CABDE0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CDBAE0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DCBAE0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BCDAE0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CBDAE0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DBCAE0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BDCAE0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ADCBE0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DACBE0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CADBE0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ACDBE0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DCABE0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CDABE0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EDABC0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DEABC0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AEDBC0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EADBC0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DAEBC0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ADEBC0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ADBEC0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DABEC0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BADEC0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ABDEC0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DBAEC0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BDAEC0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BEADC0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EBADC0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ABEDC0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BAEDC0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EABDC0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AEBDC0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DEBAC0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EDBAC0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BDEAC0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DBEAC0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EBDAC0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234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BEDAC0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CEDAB0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ECDAB0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DCEAB0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CDEAB0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EDCAB0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DECAB0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DEACB0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EDACB0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ADECB0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DAECB0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EADCB0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AEDCB0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ACDEB0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CADEB0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DACEB0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ADCEB0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CDAEB0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DCAEB0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ECADB0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CEADB0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AECDB0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EACDB0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CAEDB0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ACEDB0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BCEDA0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CBEDA0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EBCDA0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BECDA0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CEBDA0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ECBDA0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ECDBA0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CEDBA0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DECBA0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EDCBA0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CDEBA0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DCEBA0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DBECA0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BDECA0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EDBCA0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DEBCA0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BEDCA0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EBDCA0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CBDEA0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BCDEA0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DCBEA0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CDBEA0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BDCEA0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DBCEA0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ABCED0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BACED0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CABED0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ACBED0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BCAED0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CBAED0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CBEAD0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BCEAD0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ECBAD0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CEBAD0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BECAD0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EBCAD0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232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EACBD0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236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AECBD0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CEABD0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ECABD0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ACEBD0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CAEBD0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BAECD0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ABECD0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EBACD0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BEACD0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AEBCD0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EABCD0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EAB0DC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AEB0DC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BEA0DC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EBA0DC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ABE0DC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BAE0DC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BA0EDC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AB0EDC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0BAEDC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B0AEDC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A0BEDC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0ABEDC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0EBADC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E0BADC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B0EADC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0BEADC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EB0ADC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BE0ADC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AE0BDC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EA0BDC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0AEBDC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A0EBDC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E0ABDC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0EABDC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DEAB0C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EDAB0C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ADEB0C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DAEB0C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EADB0C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AEDB0C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AEBD0C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EABD0C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BAED0C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ABED0C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EBAD0C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BEAD0C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BDAE0C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DBAE0C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ABDE0C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BADE0C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DABE0C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ADBE0C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EDBA0C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DEBA0C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BEDA0C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EBDA0C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DBEA0C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BDEA0C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0DEABC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D0EABC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E0DABC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0EDABC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DE0ABC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ED0ABC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EDA0BC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DEA0BC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AED0BC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EAD0BC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236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DAE0BC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ADE0BC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A0EDBC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0AEDBC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EA0DBC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234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AE0DBC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0EADBC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E0ADBC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D0AEBC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0DAEBC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AD0EBC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236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DA0EBC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0ADEBC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A0DEBC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234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B0DEAC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0BDEAC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DB0EAC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BD0EAC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243</w:t>
            </w:r>
          </w:p>
        </w:tc>
        <w:tc>
          <w:tcPr>
            <w:tcW w:w="1440" w:type="dxa"/>
            <w:tcBorders>
              <w:top w:val="nil"/>
              <w:left w:val="nil"/>
              <w:bottom w:val="nil"/>
              <w:right w:val="nil"/>
            </w:tcBorders>
            <w:shd w:val="clear" w:color="auto" w:fill="C6EFCE"/>
            <w:noWrap/>
            <w:vAlign w:val="bottom"/>
            <w:hideMark/>
          </w:tcPr>
          <w:p w:rsidR="00EA45F9" w:rsidRPr="009B5734" w:rsidRDefault="00EA45F9" w:rsidP="00981615">
            <w:pPr>
              <w:ind w:left="0" w:firstLine="0"/>
              <w:jc w:val="right"/>
              <w:rPr>
                <w:rFonts w:ascii="Calibri" w:eastAsia="Times New Roman" w:hAnsi="Calibri" w:cs="Calibri"/>
                <w:noProof/>
                <w:color w:val="006100"/>
                <w:lang w:eastAsia="en-GB"/>
              </w:rPr>
            </w:pPr>
            <w:r w:rsidRPr="009B5734">
              <w:rPr>
                <w:rFonts w:ascii="Calibri" w:eastAsia="Times New Roman" w:hAnsi="Calibri" w:cs="Calibri"/>
                <w:noProof/>
                <w:color w:val="006100"/>
                <w:lang w:eastAsia="en-GB"/>
              </w:rPr>
              <w:t>230</w:t>
            </w:r>
          </w:p>
        </w:tc>
        <w:tc>
          <w:tcPr>
            <w:tcW w:w="1440" w:type="dxa"/>
            <w:tcBorders>
              <w:top w:val="nil"/>
              <w:left w:val="nil"/>
              <w:bottom w:val="nil"/>
              <w:right w:val="nil"/>
            </w:tcBorders>
            <w:shd w:val="clear" w:color="auto" w:fill="C6EFCE"/>
            <w:noWrap/>
            <w:vAlign w:val="bottom"/>
            <w:hideMark/>
          </w:tcPr>
          <w:p w:rsidR="00EA45F9" w:rsidRPr="009B5734" w:rsidRDefault="00EA45F9" w:rsidP="00981615">
            <w:pPr>
              <w:ind w:left="0" w:firstLine="0"/>
              <w:jc w:val="right"/>
              <w:rPr>
                <w:rFonts w:ascii="Calibri" w:eastAsia="Times New Roman" w:hAnsi="Calibri" w:cs="Calibri"/>
                <w:noProof/>
                <w:color w:val="006100"/>
                <w:lang w:eastAsia="en-GB"/>
              </w:rPr>
            </w:pPr>
            <w:r w:rsidRPr="009B5734">
              <w:rPr>
                <w:rFonts w:ascii="Calibri" w:eastAsia="Times New Roman" w:hAnsi="Calibri" w:cs="Calibri"/>
                <w:noProof/>
                <w:color w:val="006100"/>
                <w:lang w:eastAsia="en-GB"/>
              </w:rPr>
              <w:t>225</w:t>
            </w:r>
          </w:p>
        </w:tc>
        <w:tc>
          <w:tcPr>
            <w:tcW w:w="1440" w:type="dxa"/>
            <w:tcBorders>
              <w:top w:val="nil"/>
              <w:left w:val="nil"/>
              <w:bottom w:val="nil"/>
              <w:right w:val="nil"/>
            </w:tcBorders>
            <w:shd w:val="clear" w:color="auto" w:fill="C6EFCE"/>
            <w:noWrap/>
            <w:vAlign w:val="bottom"/>
            <w:hideMark/>
          </w:tcPr>
          <w:p w:rsidR="00EA45F9" w:rsidRPr="009B5734" w:rsidRDefault="00EA45F9" w:rsidP="00981615">
            <w:pPr>
              <w:ind w:left="0" w:firstLine="0"/>
              <w:jc w:val="right"/>
              <w:rPr>
                <w:rFonts w:ascii="Calibri" w:eastAsia="Times New Roman" w:hAnsi="Calibri" w:cs="Calibri"/>
                <w:noProof/>
                <w:color w:val="006100"/>
                <w:lang w:eastAsia="en-GB"/>
              </w:rPr>
            </w:pPr>
            <w:r w:rsidRPr="009B5734">
              <w:rPr>
                <w:rFonts w:ascii="Calibri" w:eastAsia="Times New Roman" w:hAnsi="Calibri" w:cs="Calibri"/>
                <w:noProof/>
                <w:color w:val="006100"/>
                <w:lang w:eastAsia="en-GB"/>
              </w:rPr>
              <w:t>220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241</w:t>
            </w:r>
          </w:p>
        </w:tc>
        <w:tc>
          <w:tcPr>
            <w:tcW w:w="1440" w:type="dxa"/>
            <w:tcBorders>
              <w:top w:val="nil"/>
              <w:left w:val="nil"/>
              <w:bottom w:val="nil"/>
              <w:right w:val="nil"/>
            </w:tcBorders>
            <w:shd w:val="clear" w:color="auto" w:fill="C6EFCE"/>
            <w:noWrap/>
            <w:vAlign w:val="bottom"/>
            <w:hideMark/>
          </w:tcPr>
          <w:p w:rsidR="00EA45F9" w:rsidRPr="009B5734" w:rsidRDefault="00EA45F9" w:rsidP="00981615">
            <w:pPr>
              <w:ind w:left="0" w:firstLine="0"/>
              <w:jc w:val="right"/>
              <w:rPr>
                <w:rFonts w:ascii="Calibri" w:eastAsia="Times New Roman" w:hAnsi="Calibri" w:cs="Calibri"/>
                <w:noProof/>
                <w:color w:val="006100"/>
                <w:lang w:eastAsia="en-GB"/>
              </w:rPr>
            </w:pPr>
            <w:r w:rsidRPr="009B5734">
              <w:rPr>
                <w:rFonts w:ascii="Calibri" w:eastAsia="Times New Roman" w:hAnsi="Calibri" w:cs="Calibri"/>
                <w:noProof/>
                <w:color w:val="006100"/>
                <w:lang w:eastAsia="en-GB"/>
              </w:rPr>
              <w:t>230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0DBEAC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D0BEAC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D0EBAC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0DEBAC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ED0BAC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DE0BAC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0EDBAC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E0DBAC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EBD0AC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243</w:t>
            </w:r>
          </w:p>
        </w:tc>
        <w:tc>
          <w:tcPr>
            <w:tcW w:w="1440" w:type="dxa"/>
            <w:tcBorders>
              <w:top w:val="nil"/>
              <w:left w:val="nil"/>
              <w:bottom w:val="nil"/>
              <w:right w:val="nil"/>
            </w:tcBorders>
            <w:shd w:val="clear" w:color="auto" w:fill="C6EFCE"/>
            <w:noWrap/>
            <w:vAlign w:val="bottom"/>
            <w:hideMark/>
          </w:tcPr>
          <w:p w:rsidR="00EA45F9" w:rsidRPr="009B5734" w:rsidRDefault="00EA45F9" w:rsidP="00981615">
            <w:pPr>
              <w:ind w:left="0" w:firstLine="0"/>
              <w:jc w:val="right"/>
              <w:rPr>
                <w:rFonts w:ascii="Calibri" w:eastAsia="Times New Roman" w:hAnsi="Calibri" w:cs="Calibri"/>
                <w:noProof/>
                <w:color w:val="006100"/>
                <w:lang w:eastAsia="en-GB"/>
              </w:rPr>
            </w:pPr>
            <w:r w:rsidRPr="009B5734">
              <w:rPr>
                <w:rFonts w:ascii="Calibri" w:eastAsia="Times New Roman" w:hAnsi="Calibri" w:cs="Calibri"/>
                <w:noProof/>
                <w:color w:val="006100"/>
                <w:lang w:eastAsia="en-GB"/>
              </w:rPr>
              <w:t>230</w:t>
            </w:r>
          </w:p>
        </w:tc>
        <w:tc>
          <w:tcPr>
            <w:tcW w:w="1440" w:type="dxa"/>
            <w:tcBorders>
              <w:top w:val="nil"/>
              <w:left w:val="nil"/>
              <w:bottom w:val="nil"/>
              <w:right w:val="nil"/>
            </w:tcBorders>
            <w:shd w:val="clear" w:color="auto" w:fill="C6EFCE"/>
            <w:noWrap/>
            <w:vAlign w:val="bottom"/>
            <w:hideMark/>
          </w:tcPr>
          <w:p w:rsidR="00EA45F9" w:rsidRPr="009B5734" w:rsidRDefault="00EA45F9" w:rsidP="00981615">
            <w:pPr>
              <w:ind w:left="0" w:firstLine="0"/>
              <w:jc w:val="right"/>
              <w:rPr>
                <w:rFonts w:ascii="Calibri" w:eastAsia="Times New Roman" w:hAnsi="Calibri" w:cs="Calibri"/>
                <w:noProof/>
                <w:color w:val="006100"/>
                <w:lang w:eastAsia="en-GB"/>
              </w:rPr>
            </w:pPr>
            <w:r w:rsidRPr="009B5734">
              <w:rPr>
                <w:rFonts w:ascii="Calibri" w:eastAsia="Times New Roman" w:hAnsi="Calibri" w:cs="Calibri"/>
                <w:noProof/>
                <w:color w:val="006100"/>
                <w:lang w:eastAsia="en-GB"/>
              </w:rPr>
              <w:t>225</w:t>
            </w:r>
          </w:p>
        </w:tc>
        <w:tc>
          <w:tcPr>
            <w:tcW w:w="1440" w:type="dxa"/>
            <w:tcBorders>
              <w:top w:val="nil"/>
              <w:left w:val="nil"/>
              <w:bottom w:val="nil"/>
              <w:right w:val="nil"/>
            </w:tcBorders>
            <w:shd w:val="clear" w:color="auto" w:fill="C6EFCE"/>
            <w:noWrap/>
            <w:vAlign w:val="bottom"/>
            <w:hideMark/>
          </w:tcPr>
          <w:p w:rsidR="00EA45F9" w:rsidRPr="009B5734" w:rsidRDefault="00EA45F9" w:rsidP="00981615">
            <w:pPr>
              <w:ind w:left="0" w:firstLine="0"/>
              <w:jc w:val="right"/>
              <w:rPr>
                <w:rFonts w:ascii="Calibri" w:eastAsia="Times New Roman" w:hAnsi="Calibri" w:cs="Calibri"/>
                <w:noProof/>
                <w:color w:val="006100"/>
                <w:lang w:eastAsia="en-GB"/>
              </w:rPr>
            </w:pPr>
            <w:r w:rsidRPr="009B5734">
              <w:rPr>
                <w:rFonts w:ascii="Calibri" w:eastAsia="Times New Roman" w:hAnsi="Calibri" w:cs="Calibri"/>
                <w:noProof/>
                <w:color w:val="006100"/>
                <w:lang w:eastAsia="en-GB"/>
              </w:rPr>
              <w:t>220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241</w:t>
            </w:r>
          </w:p>
        </w:tc>
        <w:tc>
          <w:tcPr>
            <w:tcW w:w="1440" w:type="dxa"/>
            <w:tcBorders>
              <w:top w:val="nil"/>
              <w:left w:val="nil"/>
              <w:bottom w:val="nil"/>
              <w:right w:val="nil"/>
            </w:tcBorders>
            <w:shd w:val="clear" w:color="auto" w:fill="C6EFCE"/>
            <w:noWrap/>
            <w:vAlign w:val="bottom"/>
            <w:hideMark/>
          </w:tcPr>
          <w:p w:rsidR="00EA45F9" w:rsidRPr="009B5734" w:rsidRDefault="00EA45F9" w:rsidP="00981615">
            <w:pPr>
              <w:ind w:left="0" w:firstLine="0"/>
              <w:jc w:val="right"/>
              <w:rPr>
                <w:rFonts w:ascii="Calibri" w:eastAsia="Times New Roman" w:hAnsi="Calibri" w:cs="Calibri"/>
                <w:noProof/>
                <w:color w:val="006100"/>
                <w:lang w:eastAsia="en-GB"/>
              </w:rPr>
            </w:pPr>
            <w:r w:rsidRPr="009B5734">
              <w:rPr>
                <w:rFonts w:ascii="Calibri" w:eastAsia="Times New Roman" w:hAnsi="Calibri" w:cs="Calibri"/>
                <w:noProof/>
                <w:color w:val="006100"/>
                <w:lang w:eastAsia="en-GB"/>
              </w:rPr>
              <w:t>230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BED0AC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DEB0AC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EDB0AC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BDE0AC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DBE0AC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0BEDAC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B0EDAC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E0BDAC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0EBDAC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BE0DAC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EB0DAC</w:t>
            </w:r>
          </w:p>
        </w:tc>
        <w:tc>
          <w:tcPr>
            <w:tcW w:w="1440" w:type="dxa"/>
            <w:tcBorders>
              <w:top w:val="nil"/>
              <w:left w:val="nil"/>
              <w:bottom w:val="nil"/>
              <w:right w:val="nil"/>
            </w:tcBorders>
            <w:shd w:val="clear" w:color="auto" w:fill="C6EFCE"/>
            <w:noWrap/>
            <w:vAlign w:val="bottom"/>
            <w:hideMark/>
          </w:tcPr>
          <w:p w:rsidR="00EA45F9" w:rsidRPr="009B5734" w:rsidRDefault="00EA45F9" w:rsidP="00981615">
            <w:pPr>
              <w:ind w:left="0" w:firstLine="0"/>
              <w:jc w:val="right"/>
              <w:rPr>
                <w:rFonts w:ascii="Calibri" w:eastAsia="Times New Roman" w:hAnsi="Calibri" w:cs="Calibri"/>
                <w:noProof/>
                <w:color w:val="006100"/>
                <w:lang w:eastAsia="en-GB"/>
              </w:rPr>
            </w:pPr>
            <w:r w:rsidRPr="009B5734">
              <w:rPr>
                <w:rFonts w:ascii="Calibri" w:eastAsia="Times New Roman" w:hAnsi="Calibri" w:cs="Calibri"/>
                <w:noProof/>
                <w:color w:val="006100"/>
                <w:lang w:eastAsia="en-GB"/>
              </w:rPr>
              <w:t>238</w:t>
            </w:r>
          </w:p>
        </w:tc>
        <w:tc>
          <w:tcPr>
            <w:tcW w:w="1440" w:type="dxa"/>
            <w:tcBorders>
              <w:top w:val="nil"/>
              <w:left w:val="nil"/>
              <w:bottom w:val="nil"/>
              <w:right w:val="nil"/>
            </w:tcBorders>
            <w:shd w:val="clear" w:color="auto" w:fill="C6EFCE"/>
            <w:noWrap/>
            <w:vAlign w:val="bottom"/>
            <w:hideMark/>
          </w:tcPr>
          <w:p w:rsidR="00EA45F9" w:rsidRPr="009B5734" w:rsidRDefault="00EA45F9" w:rsidP="00981615">
            <w:pPr>
              <w:ind w:left="0" w:firstLine="0"/>
              <w:jc w:val="right"/>
              <w:rPr>
                <w:rFonts w:ascii="Calibri" w:eastAsia="Times New Roman" w:hAnsi="Calibri" w:cs="Calibri"/>
                <w:noProof/>
                <w:color w:val="006100"/>
                <w:lang w:eastAsia="en-GB"/>
              </w:rPr>
            </w:pPr>
            <w:r w:rsidRPr="009B5734">
              <w:rPr>
                <w:rFonts w:ascii="Calibri" w:eastAsia="Times New Roman" w:hAnsi="Calibri" w:cs="Calibri"/>
                <w:noProof/>
                <w:color w:val="006100"/>
                <w:lang w:eastAsia="en-GB"/>
              </w:rPr>
              <w:t>213</w:t>
            </w:r>
          </w:p>
        </w:tc>
        <w:tc>
          <w:tcPr>
            <w:tcW w:w="1440" w:type="dxa"/>
            <w:tcBorders>
              <w:top w:val="nil"/>
              <w:left w:val="nil"/>
              <w:bottom w:val="nil"/>
              <w:right w:val="nil"/>
            </w:tcBorders>
            <w:shd w:val="clear" w:color="auto" w:fill="C6EFCE"/>
            <w:noWrap/>
            <w:vAlign w:val="bottom"/>
            <w:hideMark/>
          </w:tcPr>
          <w:p w:rsidR="00EA45F9" w:rsidRPr="009B5734" w:rsidRDefault="00EA45F9" w:rsidP="00981615">
            <w:pPr>
              <w:ind w:left="0" w:firstLine="0"/>
              <w:jc w:val="right"/>
              <w:rPr>
                <w:rFonts w:ascii="Calibri" w:eastAsia="Times New Roman" w:hAnsi="Calibri" w:cs="Calibri"/>
                <w:noProof/>
                <w:color w:val="006100"/>
                <w:lang w:eastAsia="en-GB"/>
              </w:rPr>
            </w:pPr>
            <w:r w:rsidRPr="009B5734">
              <w:rPr>
                <w:rFonts w:ascii="Calibri" w:eastAsia="Times New Roman" w:hAnsi="Calibri" w:cs="Calibri"/>
                <w:noProof/>
                <w:color w:val="006100"/>
                <w:lang w:eastAsia="en-GB"/>
              </w:rPr>
              <w:t>253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C6EFCE"/>
            <w:noWrap/>
            <w:vAlign w:val="bottom"/>
            <w:hideMark/>
          </w:tcPr>
          <w:p w:rsidR="00EA45F9" w:rsidRPr="009B5734" w:rsidRDefault="00EA45F9" w:rsidP="00981615">
            <w:pPr>
              <w:ind w:left="0" w:firstLine="0"/>
              <w:jc w:val="right"/>
              <w:rPr>
                <w:rFonts w:ascii="Calibri" w:eastAsia="Times New Roman" w:hAnsi="Calibri" w:cs="Calibri"/>
                <w:noProof/>
                <w:color w:val="006100"/>
                <w:lang w:eastAsia="en-GB"/>
              </w:rPr>
            </w:pPr>
            <w:r w:rsidRPr="009B5734">
              <w:rPr>
                <w:rFonts w:ascii="Calibri" w:eastAsia="Times New Roman" w:hAnsi="Calibri" w:cs="Calibri"/>
                <w:noProof/>
                <w:color w:val="006100"/>
                <w:lang w:eastAsia="en-GB"/>
              </w:rPr>
              <w:t>246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AB0DEC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BA0DEC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0ABDEC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A0BDEC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B0ADEC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0BADEC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0BDAEC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B0DAEC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D0BAEC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0DBAEC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BD0AEC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DB0AEC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DA0BEC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AD0BEC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0DABEC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D0ABEC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A0DBEC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0ADBEC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BAD0EC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ABD0EC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DBA0EC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BDA0EC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ADB0EC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DAB0EC</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DAC0EB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ADC0EB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CDA0EB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DCA0EB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ACD0EB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CAD0EB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CA0DEB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AC0DEB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0CADEB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C0ADEB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A0CDEB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0ACDEB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0DCAEB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D0CAEB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C0DAEB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0CDAEB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DC0AEB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CD0AEB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AD0CEB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DA0CEB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0ADCEB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A0DCEB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D0ACEB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0DACEB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EDAC0B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DEAC0B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AEDC0B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EADC0B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DAEC0B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ADEC0B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ADCE0B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DACE0B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CADE0B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ACDE0B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DCAE0B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CDAE0B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CEAD0B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ECAD0B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ACED0B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CAED0B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EACD0B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AECD0B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DECA0B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EDCA0B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CDEA0B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DCEA0B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ECDA0B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CEDA0B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0EDACB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E0DACB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D0EACB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0DEACB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ED0ACB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DE0ACB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DEA0CB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EDA0CB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ADE0CB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DAE0CB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EAD0CB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AED0CB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A0DECB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0ADECB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DA0ECB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AD0ECB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0DAECB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D0AECB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E0ADCB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0EADCB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AE0DCB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EA0DCB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0AEDCB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A0EDCB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C0EDAB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0CEDAB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EC0DAB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CE0DAB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0ECDAB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E0CDAB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E0DCAB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0EDCAB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DE0CAB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ED0CAB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0DECAB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D0ECAB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DCE0AB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CDE0AB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EDC0AB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DEC0AB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CED0AB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ECD0AB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0CDEAB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C0DEAB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D0CEAB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0DCEAB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CD0EAB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DC0EAB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AC0EDB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CA0EDB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0ACEDB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A0CEDB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C0AEDB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0CAEDB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0CEADB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C0EADB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E0CADB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0ECADB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CE0ADB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EC0ADB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EA0CDB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AE0CDB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0EACDB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E0ACDB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A0ECDB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0AECDB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CAE0DB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ACE0DB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ECA0DB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CEA0DB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AEC0DB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EAC0DB</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EBC0DA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BEC0DA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CEB0DA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ECB0DA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BCE0DA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CBE0DA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CB0EDA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BC0EDA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0CBEDA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C0BEDA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B0CEDA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0BCEDA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0ECBDA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E0CBDA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C0EBDA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0CEBDA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EC0BDA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CE0BDA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BE0CDA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EB0CDA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0BECDA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B0ECDA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E0BCDA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0EBCDA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DEBC0A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EDBC0A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BDEC0A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DBEC0A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EBDC0A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BEDC0A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BECD0A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EBCD0A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CBED0A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BCED0A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ECBD0A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CEBD0A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CDBE0A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DCBE0A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BCDE0A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CBDE0A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DBCE0A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BDCE0A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EDCB0A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DECB0A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CEDB0A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ECDB0A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DCEB0A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CDEB0A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0DEBCA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D0EBCA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E0DBCA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0EDBCA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DE0BCA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ED0BCA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EDB0CA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DEB0CA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BED0CA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EBD0CA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DBE0CA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BDE0CA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B0EDCA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0BEDCA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EB0DCA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BE0DCA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0EBDCA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E0BDCA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D0BECA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0DBECA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BD0ECA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DB0ECA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0BDECA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B0DECA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C0DEBA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0CDEBA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DC0EBA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CD0EBA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0DCEBA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D0CEBA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D0ECBA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0DECBA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ED0CBA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DE0CBA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0EDCBA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E0DCBA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ECD0BA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CED0BA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DEC0BA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EDC0BA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CDE0BA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DCE0BA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0CEDBA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C0EDBA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E0CDBA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0ECDBA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CE0DBA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EC0DBA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BC0DEA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CB0DEA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0BCDEA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B0CDEA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C0BDEA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0CBDEA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0CDBEA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C0DBEA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D0CBEA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0DCBEA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CD0BEA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DC0BEA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DB0CEA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BD0CEA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0DBCEA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D0BCEA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B0DCEA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0BDCEA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CBD0EA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BCD0EA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DCB0EA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CDB0EA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BDC0EA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DBC0EA</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ABC0ED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BAC0ED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CAB0ED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ACB0ED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BCA0ED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CBA0ED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CB0AED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BC0AED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0CBAED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C0BAED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B0CAED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0BCAED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0ACBED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A0CBED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C0ABED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0CABED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AC0BED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CA0BED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BA0CED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AB0CED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0BACED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B0ACED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A0BCED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0ABCED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EABC0D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AEBC0D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BEAC0D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EBAC0D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ABEC0D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BAEC0D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BACE0D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ABCE0D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CBAE0D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BCAE0D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ACBE0D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CABE0D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CEBA0D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ECBA0D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BCEA0D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CBEA0D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EBCA0D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BECA0D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AECB0D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EACB0D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CAEB0D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ACEB0D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ECAB0D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CEAB0D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0EABCD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E0ABCD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A0EBCD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0AEBCD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EA0BCD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AE0BCD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AEB0CD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EAB0CD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BAE0CD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ABE0CD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EBA0CD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BEA0CD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B0AECD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0BAECD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AB0ECD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BA0ECD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0ABECD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119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A0BECD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E0BACD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0EBACD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BE0ACD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EB0ACD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0BEACD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B0EACD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C0EABD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0CEABD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EC0ABD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CE0ABD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0ECABD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E0CABD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E0ACBD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0EACBD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AE0CBD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EA0CBD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0AECBD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A0ECBD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ACE0BD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CAE0BD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EAC0BD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AEC0BD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CEA0BD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ECA0BD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0CAEBD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C0AEBD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A0CEBD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0ACEBD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CA0EBD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AC0EBD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BC0EAD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CB0EAD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0BCEAD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B0CEAD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C0BEAD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0CBEAD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0CEBAD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C0EBAD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E0CBAD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0ECBAD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CE0BAD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122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EC0BAD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EB0CAD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190</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BE0CAD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0EBCAD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E0BCAD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B0ECAD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0BECAD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CBE0AD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131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144</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BCE0AD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ECB0AD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174</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189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CEB0AD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156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BEC0AD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148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168</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169</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172</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176</w:t>
            </w:r>
          </w:p>
        </w:tc>
      </w:tr>
      <w:tr w:rsidR="00EA45F9" w:rsidRPr="009B5734" w:rsidTr="00C84A99">
        <w:trPr>
          <w:trHeight w:val="290"/>
        </w:trPr>
        <w:tc>
          <w:tcPr>
            <w:tcW w:w="1440" w:type="dxa"/>
            <w:tcBorders>
              <w:top w:val="nil"/>
              <w:left w:val="nil"/>
              <w:bottom w:val="nil"/>
              <w:right w:val="nil"/>
            </w:tcBorders>
            <w:shd w:val="clear" w:color="auto" w:fill="FFFFFF" w:themeFill="background1"/>
            <w:noWrap/>
            <w:vAlign w:val="bottom"/>
            <w:hideMark/>
          </w:tcPr>
          <w:p w:rsidR="00EA45F9" w:rsidRPr="009B5734" w:rsidRDefault="00EA45F9" w:rsidP="00981615">
            <w:pPr>
              <w:ind w:left="0" w:firstLine="0"/>
              <w:jc w:val="center"/>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EBC0AD</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217</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193</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211</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206</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200</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225</w:t>
            </w:r>
          </w:p>
        </w:tc>
        <w:tc>
          <w:tcPr>
            <w:tcW w:w="1440" w:type="dxa"/>
            <w:tcBorders>
              <w:top w:val="nil"/>
              <w:left w:val="nil"/>
              <w:bottom w:val="nil"/>
              <w:right w:val="nil"/>
            </w:tcBorders>
            <w:shd w:val="clear" w:color="auto" w:fill="auto"/>
            <w:noWrap/>
            <w:vAlign w:val="bottom"/>
            <w:hideMark/>
          </w:tcPr>
          <w:p w:rsidR="00EA45F9" w:rsidRPr="009B5734" w:rsidRDefault="00EA45F9" w:rsidP="00981615">
            <w:pPr>
              <w:ind w:left="0" w:firstLine="0"/>
              <w:jc w:val="right"/>
              <w:rPr>
                <w:rFonts w:ascii="Calibri" w:eastAsia="Times New Roman" w:hAnsi="Calibri" w:cs="Calibri"/>
                <w:noProof/>
                <w:color w:val="000000"/>
                <w:lang w:eastAsia="en-GB"/>
              </w:rPr>
            </w:pPr>
            <w:r w:rsidRPr="009B5734">
              <w:rPr>
                <w:rFonts w:ascii="Calibri" w:eastAsia="Times New Roman" w:hAnsi="Calibri" w:cs="Calibri"/>
                <w:noProof/>
                <w:color w:val="000000"/>
                <w:lang w:eastAsia="en-GB"/>
              </w:rPr>
              <w:t>210</w:t>
            </w:r>
          </w:p>
        </w:tc>
      </w:tr>
      <w:bookmarkEnd w:id="773"/>
    </w:tbl>
    <w:p w:rsidR="00EA45F9" w:rsidRPr="009B5734" w:rsidRDefault="00EA45F9" w:rsidP="00EA45F9">
      <w:pPr>
        <w:ind w:left="0" w:firstLine="0"/>
        <w:rPr>
          <w:rFonts w:ascii="Times New Roman" w:hAnsi="Times New Roman" w:cs="Times New Roman"/>
          <w:b/>
          <w:noProof/>
          <w:sz w:val="24"/>
          <w:szCs w:val="24"/>
        </w:rPr>
      </w:pPr>
    </w:p>
    <w:p w:rsidR="00FE7CEC" w:rsidRPr="009B5734" w:rsidRDefault="00FE7CEC" w:rsidP="00EA45F9">
      <w:pPr>
        <w:ind w:left="0" w:firstLine="0"/>
        <w:rPr>
          <w:rFonts w:ascii="Times New Roman" w:hAnsi="Times New Roman" w:cs="Times New Roman"/>
          <w:b/>
          <w:noProof/>
          <w:sz w:val="24"/>
          <w:szCs w:val="24"/>
        </w:rPr>
      </w:pPr>
    </w:p>
    <w:p w:rsidR="00FE7CEC" w:rsidRPr="009B5734" w:rsidRDefault="00FE7CEC" w:rsidP="00FE7CEC">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When comparing monetisable costs and benefits using the Cost-Benefit analysis approach</w:t>
      </w:r>
      <w:r w:rsidRPr="009B5734">
        <w:rPr>
          <w:rStyle w:val="FootnoteReference"/>
          <w:rFonts w:ascii="Times New Roman" w:hAnsi="Times New Roman" w:cs="Times New Roman"/>
          <w:noProof/>
          <w:sz w:val="24"/>
          <w:szCs w:val="24"/>
        </w:rPr>
        <w:footnoteReference w:id="247"/>
      </w:r>
      <w:r w:rsidRPr="009B5734">
        <w:rPr>
          <w:rFonts w:ascii="Times New Roman" w:hAnsi="Times New Roman" w:cs="Times New Roman"/>
          <w:noProof/>
          <w:sz w:val="24"/>
          <w:szCs w:val="24"/>
        </w:rPr>
        <w:t xml:space="preserve"> described in </w:t>
      </w:r>
      <w:hyperlink w:anchor="_General_approach_to" w:history="1">
        <w:r w:rsidRPr="009B5734">
          <w:rPr>
            <w:rStyle w:val="Hyperlink"/>
            <w:rFonts w:ascii="Times New Roman" w:hAnsi="Times New Roman" w:cs="Times New Roman"/>
            <w:noProof/>
            <w:sz w:val="24"/>
            <w:szCs w:val="24"/>
          </w:rPr>
          <w:t>Annex 9.1</w:t>
        </w:r>
      </w:hyperlink>
      <w:r w:rsidRPr="009B5734">
        <w:rPr>
          <w:rFonts w:ascii="Times New Roman" w:hAnsi="Times New Roman" w:cs="Times New Roman"/>
          <w:noProof/>
          <w:sz w:val="24"/>
          <w:szCs w:val="24"/>
        </w:rPr>
        <w:t xml:space="preserve"> above, we conclude that in none of the options 1.3.A, 1.3.B, 1.3.C, or 1.3.C do the estimated benefits clearly outweigh the costs of the measure (also taking into account the standard deviation). As regards option 1.3.E, no Cost-Benefit analysis was conducted as </w:t>
      </w:r>
      <w:r w:rsidRPr="009B5734">
        <w:rPr>
          <w:noProof/>
        </w:rPr>
        <w:t>t</w:t>
      </w:r>
      <w:r w:rsidRPr="009B5734">
        <w:rPr>
          <w:rFonts w:ascii="Times New Roman" w:hAnsi="Times New Roman" w:cs="Times New Roman"/>
          <w:noProof/>
          <w:sz w:val="24"/>
          <w:szCs w:val="24"/>
        </w:rPr>
        <w:t>his option was identified after the consultations had been concluded, and the necessary data for the CBA was therefore lacking.</w:t>
      </w:r>
    </w:p>
    <w:p w:rsidR="00FE7CEC" w:rsidRPr="009B5734" w:rsidRDefault="00FE7CEC" w:rsidP="00FE7CEC">
      <w:pPr>
        <w:ind w:left="0" w:firstLine="0"/>
        <w:rPr>
          <w:rFonts w:ascii="Times New Roman" w:hAnsi="Times New Roman" w:cs="Times New Roman"/>
          <w:noProof/>
          <w:sz w:val="24"/>
          <w:szCs w:val="24"/>
        </w:rPr>
      </w:pPr>
    </w:p>
    <w:p w:rsidR="00FE7CEC" w:rsidRPr="009B5734" w:rsidRDefault="00FE7CEC" w:rsidP="00FE7CEC">
      <w:pPr>
        <w:rPr>
          <w:rFonts w:ascii="Times New Roman" w:hAnsi="Times New Roman" w:cs="Times New Roman"/>
          <w:i/>
          <w:noProof/>
          <w:sz w:val="24"/>
          <w:szCs w:val="24"/>
        </w:rPr>
      </w:pPr>
      <w:r w:rsidRPr="009B5734">
        <w:rPr>
          <w:rFonts w:ascii="Times New Roman" w:hAnsi="Times New Roman" w:cs="Times New Roman"/>
          <w:i/>
          <w:noProof/>
          <w:sz w:val="24"/>
          <w:szCs w:val="24"/>
        </w:rPr>
        <w:t xml:space="preserve">Problem 1.3.: CBA of the various options (present value (@4%) at prices of 2019, millions of euros) </w:t>
      </w:r>
    </w:p>
    <w:p w:rsidR="00FE7CEC" w:rsidRPr="009B5734" w:rsidRDefault="00FE7CEC" w:rsidP="00FE7CEC">
      <w:pPr>
        <w:ind w:left="0" w:firstLine="0"/>
        <w:rPr>
          <w:rFonts w:ascii="Times New Roman" w:hAnsi="Times New Roman" w:cs="Times New Roman"/>
          <w:b/>
          <w:noProof/>
          <w:sz w:val="24"/>
          <w:szCs w:val="24"/>
        </w:rPr>
      </w:pPr>
    </w:p>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2"/>
        <w:gridCol w:w="1308"/>
        <w:gridCol w:w="1309"/>
        <w:gridCol w:w="1309"/>
        <w:gridCol w:w="1309"/>
        <w:gridCol w:w="1309"/>
      </w:tblGrid>
      <w:tr w:rsidR="00FE7CEC" w:rsidRPr="009B5734" w:rsidTr="70D97C89">
        <w:trPr>
          <w:trHeight w:val="266"/>
          <w:jc w:val="center"/>
        </w:trPr>
        <w:tc>
          <w:tcPr>
            <w:tcW w:w="2602" w:type="dxa"/>
            <w:shd w:val="clear" w:color="auto" w:fill="5B9BD5"/>
            <w:tcMar>
              <w:top w:w="0" w:type="dxa"/>
              <w:left w:w="108" w:type="dxa"/>
              <w:bottom w:w="0" w:type="dxa"/>
              <w:right w:w="108" w:type="dxa"/>
            </w:tcMar>
          </w:tcPr>
          <w:p w:rsidR="00FE7CEC" w:rsidRPr="009B5734" w:rsidRDefault="00FE7CEC" w:rsidP="003665DD">
            <w:pPr>
              <w:spacing w:before="120" w:after="120"/>
              <w:jc w:val="center"/>
              <w:rPr>
                <w:rFonts w:ascii="Times New Roman" w:hAnsi="Times New Roman" w:cs="Times New Roman"/>
                <w:b/>
                <w:bCs/>
                <w:noProof/>
                <w:color w:val="FFFFFF"/>
                <w:sz w:val="20"/>
                <w:szCs w:val="20"/>
              </w:rPr>
            </w:pPr>
          </w:p>
        </w:tc>
        <w:tc>
          <w:tcPr>
            <w:tcW w:w="6544" w:type="dxa"/>
            <w:gridSpan w:val="5"/>
            <w:shd w:val="clear" w:color="auto" w:fill="5B9BD5"/>
            <w:noWrap/>
            <w:tcMar>
              <w:top w:w="0" w:type="dxa"/>
              <w:left w:w="108" w:type="dxa"/>
              <w:bottom w:w="0" w:type="dxa"/>
              <w:right w:w="108" w:type="dxa"/>
            </w:tcMar>
            <w:vAlign w:val="center"/>
          </w:tcPr>
          <w:p w:rsidR="00FE7CEC" w:rsidRPr="009B5734" w:rsidRDefault="00FE7CEC" w:rsidP="003665DD">
            <w:pPr>
              <w:spacing w:before="120" w:after="120"/>
              <w:jc w:val="center"/>
              <w:rPr>
                <w:rFonts w:ascii="Times New Roman" w:hAnsi="Times New Roman" w:cs="Times New Roman"/>
                <w:b/>
                <w:bCs/>
                <w:noProof/>
                <w:color w:val="FFFFFF"/>
                <w:sz w:val="20"/>
                <w:szCs w:val="20"/>
              </w:rPr>
            </w:pPr>
            <w:r w:rsidRPr="009B5734">
              <w:rPr>
                <w:rFonts w:ascii="Times New Roman" w:hAnsi="Times New Roman" w:cs="Times New Roman"/>
                <w:b/>
                <w:bCs/>
                <w:noProof/>
                <w:color w:val="FFFFFF"/>
                <w:sz w:val="20"/>
                <w:szCs w:val="20"/>
              </w:rPr>
              <w:t>Average  ± One Standard deviation</w:t>
            </w:r>
          </w:p>
        </w:tc>
      </w:tr>
      <w:tr w:rsidR="00FE7CEC" w:rsidRPr="009B5734" w:rsidTr="00C84A99">
        <w:trPr>
          <w:trHeight w:val="266"/>
          <w:jc w:val="center"/>
        </w:trPr>
        <w:tc>
          <w:tcPr>
            <w:tcW w:w="2602" w:type="dxa"/>
            <w:tcBorders>
              <w:top w:val="single" w:sz="4" w:space="0" w:color="auto"/>
              <w:left w:val="single" w:sz="4" w:space="0" w:color="auto"/>
              <w:bottom w:val="single" w:sz="4" w:space="0" w:color="auto"/>
              <w:right w:val="single" w:sz="4" w:space="0" w:color="auto"/>
            </w:tcBorders>
            <w:shd w:val="clear" w:color="auto" w:fill="5B9BD5"/>
            <w:tcMar>
              <w:top w:w="0" w:type="dxa"/>
              <w:left w:w="108" w:type="dxa"/>
              <w:bottom w:w="0" w:type="dxa"/>
              <w:right w:w="108" w:type="dxa"/>
            </w:tcMar>
            <w:hideMark/>
          </w:tcPr>
          <w:p w:rsidR="00FE7CEC" w:rsidRPr="009B5734" w:rsidRDefault="00FE7CEC" w:rsidP="003665DD">
            <w:pPr>
              <w:spacing w:before="120" w:after="120"/>
              <w:jc w:val="center"/>
              <w:rPr>
                <w:rFonts w:ascii="Times New Roman" w:hAnsi="Times New Roman" w:cs="Times New Roman"/>
                <w:b/>
                <w:bCs/>
                <w:noProof/>
                <w:color w:val="FFFFFF"/>
                <w:sz w:val="20"/>
                <w:szCs w:val="20"/>
              </w:rPr>
            </w:pPr>
          </w:p>
        </w:tc>
        <w:tc>
          <w:tcPr>
            <w:tcW w:w="1308" w:type="dxa"/>
            <w:tcBorders>
              <w:top w:val="single" w:sz="4" w:space="0" w:color="auto"/>
              <w:left w:val="single" w:sz="4" w:space="0" w:color="auto"/>
              <w:bottom w:val="single" w:sz="4" w:space="0" w:color="auto"/>
              <w:right w:val="single" w:sz="4" w:space="0" w:color="auto"/>
            </w:tcBorders>
            <w:shd w:val="clear" w:color="auto" w:fill="5B9BD5"/>
            <w:noWrap/>
            <w:tcMar>
              <w:top w:w="0" w:type="dxa"/>
              <w:left w:w="108" w:type="dxa"/>
              <w:bottom w:w="0" w:type="dxa"/>
              <w:right w:w="108" w:type="dxa"/>
            </w:tcMar>
            <w:vAlign w:val="center"/>
            <w:hideMark/>
          </w:tcPr>
          <w:p w:rsidR="00FE7CEC" w:rsidRPr="009B5734" w:rsidRDefault="00FE7CEC" w:rsidP="003665DD">
            <w:pPr>
              <w:spacing w:before="120" w:after="120"/>
              <w:jc w:val="center"/>
              <w:rPr>
                <w:rFonts w:ascii="Times New Roman" w:hAnsi="Times New Roman" w:cs="Times New Roman"/>
                <w:b/>
                <w:bCs/>
                <w:noProof/>
                <w:color w:val="FFFFFF"/>
                <w:sz w:val="20"/>
                <w:szCs w:val="20"/>
              </w:rPr>
            </w:pPr>
            <w:r w:rsidRPr="009B5734">
              <w:rPr>
                <w:rFonts w:ascii="Times New Roman" w:hAnsi="Times New Roman" w:cs="Times New Roman"/>
                <w:b/>
                <w:bCs/>
                <w:noProof/>
                <w:color w:val="FFFFFF"/>
                <w:sz w:val="20"/>
                <w:szCs w:val="20"/>
              </w:rPr>
              <w:t>1.3.A</w:t>
            </w:r>
          </w:p>
        </w:tc>
        <w:tc>
          <w:tcPr>
            <w:tcW w:w="1309" w:type="dxa"/>
            <w:tcBorders>
              <w:top w:val="single" w:sz="4" w:space="0" w:color="auto"/>
              <w:left w:val="single" w:sz="4" w:space="0" w:color="auto"/>
              <w:bottom w:val="single" w:sz="4" w:space="0" w:color="auto"/>
              <w:right w:val="single" w:sz="4" w:space="0" w:color="auto"/>
            </w:tcBorders>
            <w:shd w:val="clear" w:color="auto" w:fill="5B9BD5"/>
            <w:vAlign w:val="center"/>
          </w:tcPr>
          <w:p w:rsidR="00FE7CEC" w:rsidRPr="009B5734" w:rsidRDefault="00FE7CEC" w:rsidP="003665DD">
            <w:pPr>
              <w:spacing w:before="120" w:after="120"/>
              <w:jc w:val="center"/>
              <w:rPr>
                <w:rFonts w:ascii="Times New Roman" w:hAnsi="Times New Roman" w:cs="Times New Roman"/>
                <w:b/>
                <w:bCs/>
                <w:noProof/>
                <w:color w:val="FFFFFF"/>
                <w:sz w:val="20"/>
                <w:szCs w:val="20"/>
              </w:rPr>
            </w:pPr>
            <w:r w:rsidRPr="009B5734">
              <w:rPr>
                <w:rFonts w:ascii="Times New Roman" w:hAnsi="Times New Roman" w:cs="Times New Roman"/>
                <w:b/>
                <w:bCs/>
                <w:noProof/>
                <w:color w:val="FFFFFF"/>
                <w:sz w:val="20"/>
                <w:szCs w:val="20"/>
              </w:rPr>
              <w:t>1.3.B</w:t>
            </w:r>
          </w:p>
        </w:tc>
        <w:tc>
          <w:tcPr>
            <w:tcW w:w="1309" w:type="dxa"/>
            <w:tcBorders>
              <w:top w:val="single" w:sz="4" w:space="0" w:color="auto"/>
              <w:left w:val="single" w:sz="4" w:space="0" w:color="auto"/>
              <w:bottom w:val="single" w:sz="4" w:space="0" w:color="auto"/>
              <w:right w:val="single" w:sz="4" w:space="0" w:color="auto"/>
            </w:tcBorders>
            <w:shd w:val="clear" w:color="auto" w:fill="5B9BD5"/>
            <w:vAlign w:val="center"/>
          </w:tcPr>
          <w:p w:rsidR="00FE7CEC" w:rsidRPr="009B5734" w:rsidRDefault="00FE7CEC" w:rsidP="003665DD">
            <w:pPr>
              <w:spacing w:before="120" w:after="120"/>
              <w:jc w:val="center"/>
              <w:rPr>
                <w:rFonts w:ascii="Times New Roman" w:hAnsi="Times New Roman" w:cs="Times New Roman"/>
                <w:b/>
                <w:bCs/>
                <w:noProof/>
                <w:color w:val="FFFFFF"/>
                <w:sz w:val="20"/>
                <w:szCs w:val="20"/>
              </w:rPr>
            </w:pPr>
            <w:r w:rsidRPr="009B5734">
              <w:rPr>
                <w:rFonts w:ascii="Times New Roman" w:hAnsi="Times New Roman" w:cs="Times New Roman"/>
                <w:b/>
                <w:bCs/>
                <w:noProof/>
                <w:color w:val="FFFFFF"/>
                <w:sz w:val="20"/>
                <w:szCs w:val="20"/>
              </w:rPr>
              <w:t>1.3.C</w:t>
            </w:r>
          </w:p>
        </w:tc>
        <w:tc>
          <w:tcPr>
            <w:tcW w:w="1309" w:type="dxa"/>
            <w:tcBorders>
              <w:top w:val="single" w:sz="4" w:space="0" w:color="auto"/>
              <w:left w:val="single" w:sz="4" w:space="0" w:color="auto"/>
              <w:bottom w:val="single" w:sz="4" w:space="0" w:color="auto"/>
              <w:right w:val="single" w:sz="4" w:space="0" w:color="auto"/>
            </w:tcBorders>
            <w:shd w:val="clear" w:color="auto" w:fill="5B9BD5"/>
            <w:vAlign w:val="center"/>
          </w:tcPr>
          <w:p w:rsidR="00FE7CEC" w:rsidRPr="009B5734" w:rsidRDefault="00FE7CEC" w:rsidP="003665DD">
            <w:pPr>
              <w:spacing w:before="120" w:after="120"/>
              <w:jc w:val="center"/>
              <w:rPr>
                <w:rFonts w:ascii="Times New Roman" w:hAnsi="Times New Roman" w:cs="Times New Roman"/>
                <w:b/>
                <w:bCs/>
                <w:noProof/>
                <w:color w:val="FFFFFF"/>
                <w:sz w:val="20"/>
                <w:szCs w:val="20"/>
              </w:rPr>
            </w:pPr>
            <w:r w:rsidRPr="009B5734">
              <w:rPr>
                <w:rFonts w:ascii="Times New Roman" w:hAnsi="Times New Roman" w:cs="Times New Roman"/>
                <w:b/>
                <w:bCs/>
                <w:noProof/>
                <w:color w:val="FFFFFF"/>
                <w:sz w:val="20"/>
                <w:szCs w:val="20"/>
              </w:rPr>
              <w:t>1.3.D</w:t>
            </w:r>
          </w:p>
        </w:tc>
        <w:tc>
          <w:tcPr>
            <w:tcW w:w="1309" w:type="dxa"/>
            <w:tcBorders>
              <w:top w:val="single" w:sz="4" w:space="0" w:color="auto"/>
              <w:left w:val="single" w:sz="4" w:space="0" w:color="auto"/>
              <w:bottom w:val="single" w:sz="4" w:space="0" w:color="auto"/>
              <w:right w:val="single" w:sz="4" w:space="0" w:color="auto"/>
            </w:tcBorders>
            <w:shd w:val="clear" w:color="auto" w:fill="5B9BD5"/>
            <w:noWrap/>
            <w:tcMar>
              <w:top w:w="0" w:type="dxa"/>
              <w:left w:w="108" w:type="dxa"/>
              <w:bottom w:w="0" w:type="dxa"/>
              <w:right w:w="108" w:type="dxa"/>
            </w:tcMar>
            <w:vAlign w:val="center"/>
            <w:hideMark/>
          </w:tcPr>
          <w:p w:rsidR="00FE7CEC" w:rsidRPr="009B5734" w:rsidRDefault="00FE7CEC" w:rsidP="003665DD">
            <w:pPr>
              <w:spacing w:before="120" w:after="120"/>
              <w:jc w:val="center"/>
              <w:rPr>
                <w:rFonts w:ascii="Times New Roman" w:hAnsi="Times New Roman" w:cs="Times New Roman"/>
                <w:b/>
                <w:bCs/>
                <w:noProof/>
                <w:color w:val="FFFFFF"/>
                <w:sz w:val="20"/>
                <w:szCs w:val="20"/>
              </w:rPr>
            </w:pPr>
            <w:r w:rsidRPr="009B5734">
              <w:rPr>
                <w:rFonts w:ascii="Times New Roman" w:hAnsi="Times New Roman" w:cs="Times New Roman"/>
                <w:b/>
                <w:bCs/>
                <w:noProof/>
                <w:color w:val="FFFFFF"/>
                <w:sz w:val="20"/>
                <w:szCs w:val="20"/>
              </w:rPr>
              <w:t>1.3.E</w:t>
            </w:r>
          </w:p>
        </w:tc>
      </w:tr>
      <w:tr w:rsidR="00FE7CEC" w:rsidRPr="009B5734" w:rsidTr="00C84A99">
        <w:trPr>
          <w:trHeight w:val="266"/>
          <w:jc w:val="center"/>
        </w:trPr>
        <w:tc>
          <w:tcPr>
            <w:tcW w:w="2602" w:type="dxa"/>
            <w:tcBorders>
              <w:top w:val="single" w:sz="4" w:space="0" w:color="auto"/>
              <w:left w:val="single" w:sz="4" w:space="0" w:color="auto"/>
              <w:bottom w:val="single" w:sz="4" w:space="0" w:color="auto"/>
              <w:right w:val="single" w:sz="4" w:space="0" w:color="auto"/>
            </w:tcBorders>
            <w:shd w:val="clear" w:color="auto" w:fill="5B9BD5"/>
            <w:tcMar>
              <w:top w:w="0" w:type="dxa"/>
              <w:left w:w="108" w:type="dxa"/>
              <w:bottom w:w="0" w:type="dxa"/>
              <w:right w:w="108" w:type="dxa"/>
            </w:tcMar>
            <w:hideMark/>
          </w:tcPr>
          <w:p w:rsidR="00FE7CEC" w:rsidRPr="009B5734" w:rsidRDefault="00FE7CEC" w:rsidP="003665DD">
            <w:pPr>
              <w:spacing w:before="120" w:after="120"/>
              <w:jc w:val="center"/>
              <w:rPr>
                <w:rFonts w:ascii="Times New Roman" w:hAnsi="Times New Roman" w:cs="Times New Roman"/>
                <w:b/>
                <w:bCs/>
                <w:noProof/>
                <w:color w:val="FFFFFF"/>
                <w:sz w:val="20"/>
                <w:szCs w:val="20"/>
              </w:rPr>
            </w:pPr>
            <w:r w:rsidRPr="009B5734">
              <w:rPr>
                <w:rFonts w:ascii="Times New Roman" w:hAnsi="Times New Roman" w:cs="Times New Roman"/>
                <w:b/>
                <w:bCs/>
                <w:noProof/>
                <w:color w:val="FFFFFF"/>
                <w:sz w:val="20"/>
                <w:szCs w:val="20"/>
              </w:rPr>
              <w:t>2025 - 2040</w:t>
            </w:r>
          </w:p>
        </w:tc>
        <w:tc>
          <w:tcPr>
            <w:tcW w:w="1308" w:type="dxa"/>
            <w:tcBorders>
              <w:top w:val="single" w:sz="4" w:space="0" w:color="auto"/>
              <w:left w:val="single" w:sz="4" w:space="0" w:color="auto"/>
              <w:bottom w:val="single" w:sz="4" w:space="0" w:color="auto"/>
              <w:right w:val="single" w:sz="4" w:space="0" w:color="auto"/>
            </w:tcBorders>
            <w:shd w:val="clear" w:color="auto" w:fill="BDD6EE"/>
            <w:noWrap/>
            <w:tcMar>
              <w:top w:w="0" w:type="dxa"/>
              <w:left w:w="108" w:type="dxa"/>
              <w:bottom w:w="0" w:type="dxa"/>
              <w:right w:w="108" w:type="dxa"/>
            </w:tcMar>
            <w:vAlign w:val="center"/>
          </w:tcPr>
          <w:p w:rsidR="00FE7CEC" w:rsidRPr="009B5734" w:rsidRDefault="00FE7CEC" w:rsidP="003665DD">
            <w:pPr>
              <w:spacing w:before="120" w:after="120"/>
              <w:rPr>
                <w:rFonts w:ascii="Times New Roman" w:hAnsi="Times New Roman" w:cs="Times New Roman"/>
                <w:noProof/>
                <w:color w:val="000000"/>
                <w:sz w:val="20"/>
                <w:szCs w:val="20"/>
              </w:rPr>
            </w:pPr>
            <w:r w:rsidRPr="009B5734">
              <w:rPr>
                <w:rFonts w:ascii="Times New Roman" w:hAnsi="Times New Roman" w:cs="Times New Roman"/>
                <w:noProof/>
                <w:color w:val="000000"/>
                <w:sz w:val="20"/>
                <w:szCs w:val="20"/>
              </w:rPr>
              <w:t>-255 ± 230</w:t>
            </w:r>
          </w:p>
        </w:tc>
        <w:tc>
          <w:tcPr>
            <w:tcW w:w="1309" w:type="dxa"/>
            <w:tcBorders>
              <w:top w:val="single" w:sz="4" w:space="0" w:color="auto"/>
              <w:left w:val="single" w:sz="4" w:space="0" w:color="auto"/>
              <w:bottom w:val="single" w:sz="4" w:space="0" w:color="auto"/>
              <w:right w:val="single" w:sz="4" w:space="0" w:color="auto"/>
            </w:tcBorders>
            <w:shd w:val="clear" w:color="auto" w:fill="BDD6EE"/>
            <w:vAlign w:val="center"/>
          </w:tcPr>
          <w:p w:rsidR="00FE7CEC" w:rsidRPr="009B5734" w:rsidRDefault="00FE7CEC" w:rsidP="003665DD">
            <w:pPr>
              <w:spacing w:before="120" w:after="120"/>
              <w:jc w:val="center"/>
              <w:rPr>
                <w:rFonts w:ascii="Times New Roman" w:hAnsi="Times New Roman" w:cs="Times New Roman"/>
                <w:noProof/>
                <w:color w:val="000000"/>
                <w:sz w:val="20"/>
                <w:szCs w:val="20"/>
              </w:rPr>
            </w:pPr>
            <w:r w:rsidRPr="009B5734">
              <w:rPr>
                <w:rFonts w:ascii="Times New Roman" w:hAnsi="Times New Roman" w:cs="Times New Roman"/>
                <w:noProof/>
                <w:color w:val="000000"/>
                <w:sz w:val="20"/>
                <w:szCs w:val="20"/>
              </w:rPr>
              <w:t>430 ± 1060</w:t>
            </w:r>
          </w:p>
        </w:tc>
        <w:tc>
          <w:tcPr>
            <w:tcW w:w="1309" w:type="dxa"/>
            <w:tcBorders>
              <w:top w:val="single" w:sz="4" w:space="0" w:color="auto"/>
              <w:left w:val="single" w:sz="4" w:space="0" w:color="auto"/>
              <w:bottom w:val="single" w:sz="4" w:space="0" w:color="auto"/>
              <w:right w:val="single" w:sz="4" w:space="0" w:color="auto"/>
            </w:tcBorders>
            <w:shd w:val="clear" w:color="auto" w:fill="BDD6EE"/>
            <w:vAlign w:val="center"/>
          </w:tcPr>
          <w:p w:rsidR="00FE7CEC" w:rsidRPr="009B5734" w:rsidRDefault="00FE7CEC" w:rsidP="003665DD">
            <w:pPr>
              <w:spacing w:before="120" w:after="120"/>
              <w:jc w:val="center"/>
              <w:rPr>
                <w:rFonts w:ascii="Times New Roman" w:hAnsi="Times New Roman" w:cs="Times New Roman"/>
                <w:noProof/>
                <w:color w:val="000000"/>
                <w:sz w:val="20"/>
                <w:szCs w:val="20"/>
              </w:rPr>
            </w:pPr>
            <w:r w:rsidRPr="009B5734">
              <w:rPr>
                <w:rFonts w:ascii="Times New Roman" w:hAnsi="Times New Roman" w:cs="Times New Roman"/>
                <w:noProof/>
                <w:color w:val="000000"/>
                <w:sz w:val="20"/>
                <w:szCs w:val="20"/>
              </w:rPr>
              <w:t>-3077 ± 90</w:t>
            </w:r>
          </w:p>
        </w:tc>
        <w:tc>
          <w:tcPr>
            <w:tcW w:w="1309" w:type="dxa"/>
            <w:tcBorders>
              <w:top w:val="single" w:sz="4" w:space="0" w:color="auto"/>
              <w:left w:val="single" w:sz="4" w:space="0" w:color="auto"/>
              <w:bottom w:val="single" w:sz="4" w:space="0" w:color="auto"/>
              <w:right w:val="single" w:sz="4" w:space="0" w:color="auto"/>
            </w:tcBorders>
            <w:shd w:val="clear" w:color="auto" w:fill="BDD6EE"/>
            <w:vAlign w:val="center"/>
          </w:tcPr>
          <w:p w:rsidR="00FE7CEC" w:rsidRPr="009B5734" w:rsidRDefault="00FE7CEC" w:rsidP="003665DD">
            <w:pPr>
              <w:spacing w:before="120" w:after="120"/>
              <w:jc w:val="center"/>
              <w:rPr>
                <w:rFonts w:ascii="Times New Roman" w:hAnsi="Times New Roman" w:cs="Times New Roman"/>
                <w:noProof/>
                <w:color w:val="000000"/>
                <w:sz w:val="20"/>
                <w:szCs w:val="20"/>
              </w:rPr>
            </w:pPr>
            <w:r w:rsidRPr="009B5734">
              <w:rPr>
                <w:rFonts w:ascii="Times New Roman" w:hAnsi="Times New Roman" w:cs="Times New Roman"/>
                <w:noProof/>
                <w:color w:val="000000"/>
                <w:sz w:val="20"/>
                <w:szCs w:val="20"/>
              </w:rPr>
              <w:t>-3515 ± 332</w:t>
            </w:r>
          </w:p>
        </w:tc>
        <w:tc>
          <w:tcPr>
            <w:tcW w:w="1309" w:type="dxa"/>
            <w:tcBorders>
              <w:top w:val="single" w:sz="4" w:space="0" w:color="auto"/>
              <w:left w:val="single" w:sz="4" w:space="0" w:color="auto"/>
              <w:bottom w:val="single" w:sz="4" w:space="0" w:color="auto"/>
              <w:right w:val="single" w:sz="4" w:space="0" w:color="auto"/>
            </w:tcBorders>
            <w:shd w:val="clear" w:color="auto" w:fill="BDD6EE"/>
            <w:noWrap/>
            <w:tcMar>
              <w:top w:w="0" w:type="dxa"/>
              <w:left w:w="108" w:type="dxa"/>
              <w:bottom w:w="0" w:type="dxa"/>
              <w:right w:w="108" w:type="dxa"/>
            </w:tcMar>
            <w:vAlign w:val="center"/>
          </w:tcPr>
          <w:p w:rsidR="00FE7CEC" w:rsidRPr="009B5734" w:rsidRDefault="00FE7CEC" w:rsidP="003665DD">
            <w:pPr>
              <w:spacing w:before="120" w:after="120"/>
              <w:jc w:val="center"/>
              <w:rPr>
                <w:rFonts w:ascii="Times New Roman" w:hAnsi="Times New Roman" w:cs="Times New Roman"/>
                <w:noProof/>
                <w:color w:val="000000"/>
                <w:sz w:val="20"/>
                <w:szCs w:val="20"/>
              </w:rPr>
            </w:pPr>
            <w:r w:rsidRPr="009B5734" w:rsidDel="00684153">
              <w:rPr>
                <w:rFonts w:ascii="Times New Roman" w:hAnsi="Times New Roman" w:cs="Times New Roman"/>
                <w:noProof/>
                <w:color w:val="000000"/>
                <w:sz w:val="20"/>
                <w:szCs w:val="20"/>
              </w:rPr>
              <w:t>NA</w:t>
            </w:r>
          </w:p>
        </w:tc>
      </w:tr>
      <w:tr w:rsidR="00FE7CEC" w:rsidRPr="009B5734" w:rsidTr="00C84A99">
        <w:trPr>
          <w:trHeight w:val="266"/>
          <w:jc w:val="center"/>
        </w:trPr>
        <w:tc>
          <w:tcPr>
            <w:tcW w:w="2602" w:type="dxa"/>
            <w:tcBorders>
              <w:top w:val="single" w:sz="4" w:space="0" w:color="auto"/>
              <w:left w:val="single" w:sz="4" w:space="0" w:color="auto"/>
              <w:bottom w:val="single" w:sz="4" w:space="0" w:color="auto"/>
              <w:right w:val="single" w:sz="4" w:space="0" w:color="auto"/>
            </w:tcBorders>
            <w:shd w:val="clear" w:color="auto" w:fill="5B9BD5"/>
            <w:tcMar>
              <w:top w:w="0" w:type="dxa"/>
              <w:left w:w="108" w:type="dxa"/>
              <w:bottom w:w="0" w:type="dxa"/>
              <w:right w:w="108" w:type="dxa"/>
            </w:tcMar>
          </w:tcPr>
          <w:p w:rsidR="00FE7CEC" w:rsidRPr="009B5734" w:rsidRDefault="00FE7CEC" w:rsidP="003665DD">
            <w:pPr>
              <w:spacing w:before="120" w:after="120"/>
              <w:jc w:val="center"/>
              <w:rPr>
                <w:rFonts w:ascii="Times New Roman" w:hAnsi="Times New Roman" w:cs="Times New Roman"/>
                <w:b/>
                <w:bCs/>
                <w:noProof/>
                <w:color w:val="FFFFFF"/>
                <w:sz w:val="20"/>
                <w:szCs w:val="20"/>
              </w:rPr>
            </w:pPr>
            <w:r w:rsidRPr="009B5734">
              <w:rPr>
                <w:rFonts w:ascii="Times New Roman" w:hAnsi="Times New Roman" w:cs="Times New Roman"/>
                <w:b/>
                <w:bCs/>
                <w:noProof/>
                <w:color w:val="FFFFFF"/>
                <w:sz w:val="20"/>
                <w:szCs w:val="20"/>
              </w:rPr>
              <w:t>2025 - 2050</w:t>
            </w:r>
          </w:p>
        </w:tc>
        <w:tc>
          <w:tcPr>
            <w:tcW w:w="1308" w:type="dxa"/>
            <w:tcBorders>
              <w:top w:val="single" w:sz="4" w:space="0" w:color="auto"/>
              <w:left w:val="single" w:sz="4" w:space="0" w:color="auto"/>
              <w:bottom w:val="single" w:sz="4" w:space="0" w:color="auto"/>
              <w:right w:val="single" w:sz="4" w:space="0" w:color="auto"/>
            </w:tcBorders>
            <w:shd w:val="clear" w:color="auto" w:fill="BDD6EE"/>
            <w:noWrap/>
            <w:tcMar>
              <w:top w:w="0" w:type="dxa"/>
              <w:left w:w="108" w:type="dxa"/>
              <w:bottom w:w="0" w:type="dxa"/>
              <w:right w:w="108" w:type="dxa"/>
            </w:tcMar>
            <w:vAlign w:val="center"/>
          </w:tcPr>
          <w:p w:rsidR="00FE7CEC" w:rsidRPr="009B5734" w:rsidRDefault="00FE7CEC" w:rsidP="003665DD">
            <w:pPr>
              <w:spacing w:before="120" w:after="120"/>
              <w:rPr>
                <w:rFonts w:ascii="Times New Roman" w:hAnsi="Times New Roman" w:cs="Times New Roman"/>
                <w:noProof/>
                <w:color w:val="000000"/>
                <w:sz w:val="20"/>
                <w:szCs w:val="20"/>
              </w:rPr>
            </w:pPr>
            <w:r w:rsidRPr="009B5734">
              <w:rPr>
                <w:rFonts w:ascii="Times New Roman" w:hAnsi="Times New Roman" w:cs="Times New Roman"/>
                <w:noProof/>
                <w:color w:val="000000"/>
                <w:sz w:val="20"/>
                <w:szCs w:val="20"/>
              </w:rPr>
              <w:t>12 ± 340</w:t>
            </w:r>
          </w:p>
        </w:tc>
        <w:tc>
          <w:tcPr>
            <w:tcW w:w="1309" w:type="dxa"/>
            <w:tcBorders>
              <w:top w:val="single" w:sz="4" w:space="0" w:color="auto"/>
              <w:left w:val="single" w:sz="4" w:space="0" w:color="auto"/>
              <w:bottom w:val="single" w:sz="4" w:space="0" w:color="auto"/>
              <w:right w:val="single" w:sz="4" w:space="0" w:color="auto"/>
            </w:tcBorders>
            <w:shd w:val="clear" w:color="auto" w:fill="BDD6EE"/>
            <w:vAlign w:val="center"/>
          </w:tcPr>
          <w:p w:rsidR="00FE7CEC" w:rsidRPr="009B5734" w:rsidRDefault="00FE7CEC" w:rsidP="003665DD">
            <w:pPr>
              <w:spacing w:before="120" w:after="120"/>
              <w:jc w:val="center"/>
              <w:rPr>
                <w:rFonts w:ascii="Times New Roman" w:hAnsi="Times New Roman" w:cs="Times New Roman"/>
                <w:noProof/>
                <w:color w:val="000000"/>
                <w:sz w:val="20"/>
                <w:szCs w:val="20"/>
              </w:rPr>
            </w:pPr>
            <w:r w:rsidRPr="009B5734">
              <w:rPr>
                <w:rFonts w:ascii="Times New Roman" w:hAnsi="Times New Roman" w:cs="Times New Roman"/>
                <w:noProof/>
                <w:color w:val="000000"/>
                <w:sz w:val="20"/>
                <w:szCs w:val="20"/>
              </w:rPr>
              <w:t>1070 ± 1480</w:t>
            </w:r>
          </w:p>
        </w:tc>
        <w:tc>
          <w:tcPr>
            <w:tcW w:w="1309" w:type="dxa"/>
            <w:tcBorders>
              <w:top w:val="single" w:sz="4" w:space="0" w:color="auto"/>
              <w:left w:val="single" w:sz="4" w:space="0" w:color="auto"/>
              <w:bottom w:val="single" w:sz="4" w:space="0" w:color="auto"/>
              <w:right w:val="single" w:sz="4" w:space="0" w:color="auto"/>
            </w:tcBorders>
            <w:shd w:val="clear" w:color="auto" w:fill="BDD6EE"/>
            <w:vAlign w:val="center"/>
          </w:tcPr>
          <w:p w:rsidR="00FE7CEC" w:rsidRPr="009B5734" w:rsidRDefault="00FE7CEC" w:rsidP="003665DD">
            <w:pPr>
              <w:spacing w:before="120" w:after="120"/>
              <w:jc w:val="center"/>
              <w:rPr>
                <w:rFonts w:ascii="Times New Roman" w:hAnsi="Times New Roman" w:cs="Times New Roman"/>
                <w:noProof/>
                <w:color w:val="000000"/>
                <w:sz w:val="20"/>
                <w:szCs w:val="20"/>
              </w:rPr>
            </w:pPr>
            <w:r w:rsidRPr="009B5734">
              <w:rPr>
                <w:rFonts w:ascii="Times New Roman" w:hAnsi="Times New Roman" w:cs="Times New Roman"/>
                <w:noProof/>
                <w:color w:val="000000"/>
                <w:sz w:val="20"/>
                <w:szCs w:val="20"/>
              </w:rPr>
              <w:t xml:space="preserve">-4030 ± 115 </w:t>
            </w:r>
          </w:p>
        </w:tc>
        <w:tc>
          <w:tcPr>
            <w:tcW w:w="1309" w:type="dxa"/>
            <w:tcBorders>
              <w:top w:val="single" w:sz="4" w:space="0" w:color="auto"/>
              <w:left w:val="single" w:sz="4" w:space="0" w:color="auto"/>
              <w:bottom w:val="single" w:sz="4" w:space="0" w:color="auto"/>
              <w:right w:val="single" w:sz="4" w:space="0" w:color="auto"/>
            </w:tcBorders>
            <w:shd w:val="clear" w:color="auto" w:fill="BDD6EE"/>
            <w:vAlign w:val="center"/>
          </w:tcPr>
          <w:p w:rsidR="00FE7CEC" w:rsidRPr="009B5734" w:rsidRDefault="00FE7CEC" w:rsidP="003665DD">
            <w:pPr>
              <w:spacing w:before="120" w:after="120"/>
              <w:jc w:val="center"/>
              <w:rPr>
                <w:rFonts w:ascii="Times New Roman" w:hAnsi="Times New Roman" w:cs="Times New Roman"/>
                <w:noProof/>
                <w:color w:val="000000"/>
                <w:sz w:val="20"/>
                <w:szCs w:val="20"/>
              </w:rPr>
            </w:pPr>
            <w:r w:rsidRPr="009B5734">
              <w:rPr>
                <w:rFonts w:ascii="Times New Roman" w:hAnsi="Times New Roman" w:cs="Times New Roman"/>
                <w:noProof/>
                <w:color w:val="000000"/>
                <w:sz w:val="20"/>
                <w:szCs w:val="20"/>
              </w:rPr>
              <w:t>-4277 ± 457</w:t>
            </w:r>
          </w:p>
        </w:tc>
        <w:tc>
          <w:tcPr>
            <w:tcW w:w="1309" w:type="dxa"/>
            <w:tcBorders>
              <w:top w:val="single" w:sz="4" w:space="0" w:color="auto"/>
              <w:left w:val="single" w:sz="4" w:space="0" w:color="auto"/>
              <w:bottom w:val="single" w:sz="4" w:space="0" w:color="auto"/>
              <w:right w:val="single" w:sz="4" w:space="0" w:color="auto"/>
            </w:tcBorders>
            <w:shd w:val="clear" w:color="auto" w:fill="BDD6EE"/>
            <w:noWrap/>
            <w:tcMar>
              <w:top w:w="0" w:type="dxa"/>
              <w:left w:w="108" w:type="dxa"/>
              <w:bottom w:w="0" w:type="dxa"/>
              <w:right w:w="108" w:type="dxa"/>
            </w:tcMar>
            <w:vAlign w:val="center"/>
          </w:tcPr>
          <w:p w:rsidR="00FE7CEC" w:rsidRPr="009B5734" w:rsidRDefault="00FE7CEC" w:rsidP="003665DD">
            <w:pPr>
              <w:spacing w:before="120" w:after="120"/>
              <w:jc w:val="center"/>
              <w:rPr>
                <w:rFonts w:ascii="Times New Roman" w:hAnsi="Times New Roman" w:cs="Times New Roman"/>
                <w:noProof/>
                <w:color w:val="000000"/>
                <w:sz w:val="20"/>
                <w:szCs w:val="20"/>
              </w:rPr>
            </w:pPr>
            <w:r w:rsidRPr="009B5734" w:rsidDel="00684153">
              <w:rPr>
                <w:rFonts w:ascii="Times New Roman" w:hAnsi="Times New Roman" w:cs="Times New Roman"/>
                <w:noProof/>
                <w:color w:val="000000"/>
                <w:sz w:val="20"/>
                <w:szCs w:val="20"/>
              </w:rPr>
              <w:t>NA</w:t>
            </w:r>
          </w:p>
        </w:tc>
      </w:tr>
    </w:tbl>
    <w:p w:rsidR="00FE7CEC" w:rsidRPr="009B5734" w:rsidRDefault="00FE7CEC" w:rsidP="00EA45F9">
      <w:pPr>
        <w:ind w:left="0" w:firstLine="0"/>
        <w:rPr>
          <w:rFonts w:ascii="Times New Roman" w:hAnsi="Times New Roman" w:cs="Times New Roman"/>
          <w:b/>
          <w:noProof/>
          <w:sz w:val="24"/>
          <w:szCs w:val="24"/>
        </w:rPr>
        <w:sectPr w:rsidR="00FE7CEC" w:rsidRPr="009B5734" w:rsidSect="001E7331">
          <w:headerReference w:type="even" r:id="rId116"/>
          <w:headerReference w:type="default" r:id="rId117"/>
          <w:footerReference w:type="even" r:id="rId118"/>
          <w:footerReference w:type="default" r:id="rId119"/>
          <w:headerReference w:type="first" r:id="rId120"/>
          <w:footerReference w:type="first" r:id="rId121"/>
          <w:pgSz w:w="16838" w:h="11906" w:orient="landscape"/>
          <w:pgMar w:top="1588" w:right="1021" w:bottom="1701" w:left="1021" w:header="601" w:footer="397" w:gutter="0"/>
          <w:cols w:space="720"/>
          <w:titlePg/>
        </w:sectPr>
      </w:pPr>
    </w:p>
    <w:p w:rsidR="00EA45F9" w:rsidRPr="009B5734" w:rsidRDefault="00A00208" w:rsidP="00A00208">
      <w:pPr>
        <w:pStyle w:val="Heading4"/>
        <w:rPr>
          <w:noProof/>
        </w:rPr>
      </w:pPr>
      <w:bookmarkStart w:id="774" w:name="_Sub-problem_2.1:_Early"/>
      <w:bookmarkStart w:id="775" w:name="_Toc75441456"/>
      <w:bookmarkStart w:id="776" w:name="_Toc75447022"/>
      <w:bookmarkStart w:id="777" w:name="_Toc75448895"/>
      <w:bookmarkStart w:id="778" w:name="_Ref60649535"/>
      <w:bookmarkEnd w:id="774"/>
      <w:r w:rsidRPr="00A00208">
        <w:t>2.3.</w:t>
      </w:r>
      <w:r w:rsidRPr="00A00208">
        <w:tab/>
      </w:r>
      <w:r w:rsidR="00EA45F9" w:rsidRPr="009B5734">
        <w:rPr>
          <w:noProof/>
        </w:rPr>
        <w:t>Sub-problem 2.1: Early obsolescence</w:t>
      </w:r>
      <w:bookmarkEnd w:id="775"/>
      <w:bookmarkEnd w:id="776"/>
      <w:bookmarkEnd w:id="777"/>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Two options were selected for analysis:</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Option 2.1.A: Collection of evidence on early failures of products identified by authorised entities</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Option 2.1.B: Ban of certain identified practices associated with early obsolescence</w:t>
      </w:r>
    </w:p>
    <w:p w:rsidR="00EA45F9" w:rsidRPr="009B5734" w:rsidRDefault="00EA45F9" w:rsidP="00EA45F9">
      <w:pPr>
        <w:ind w:left="0" w:firstLine="0"/>
        <w:rPr>
          <w:rFonts w:ascii="Times New Roman" w:hAnsi="Times New Roman" w:cs="Times New Roman"/>
          <w:b/>
          <w:noProof/>
          <w:sz w:val="24"/>
          <w:szCs w:val="24"/>
        </w:rPr>
      </w:pP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The table below summarises the assessment of the baseline and of each option against each assessment criterion (the assessment of their impacts is described in detail in </w:t>
      </w:r>
      <w:hyperlink w:anchor="_Annex_8:_Impacts" w:history="1">
        <w:r w:rsidRPr="009B5734">
          <w:rPr>
            <w:rStyle w:val="Hyperlink"/>
            <w:rFonts w:ascii="Times New Roman" w:hAnsi="Times New Roman" w:cs="Times New Roman"/>
            <w:noProof/>
            <w:sz w:val="24"/>
            <w:szCs w:val="24"/>
          </w:rPr>
          <w:t>Annex 8</w:t>
        </w:r>
      </w:hyperlink>
      <w:r w:rsidRPr="009B5734">
        <w:rPr>
          <w:rFonts w:ascii="Times New Roman" w:hAnsi="Times New Roman" w:cs="Times New Roman"/>
          <w:noProof/>
          <w:sz w:val="24"/>
          <w:szCs w:val="24"/>
        </w:rPr>
        <w:t>).</w:t>
      </w:r>
    </w:p>
    <w:p w:rsidR="00EA45F9" w:rsidRPr="009B5734" w:rsidRDefault="00EA45F9" w:rsidP="00EA45F9">
      <w:pPr>
        <w:ind w:left="0" w:firstLine="0"/>
        <w:rPr>
          <w:rFonts w:ascii="Times New Roman" w:hAnsi="Times New Roman" w:cs="Times New Roman"/>
          <w:noProof/>
          <w:sz w:val="24"/>
          <w:szCs w:val="24"/>
        </w:rPr>
      </w:pPr>
    </w:p>
    <w:p w:rsidR="00EA45F9" w:rsidRPr="009B5734" w:rsidRDefault="00EA45F9" w:rsidP="00EA45F9">
      <w:pPr>
        <w:ind w:left="0" w:firstLine="0"/>
        <w:rPr>
          <w:rFonts w:ascii="Times New Roman" w:hAnsi="Times New Roman"/>
          <w:noProof/>
          <w:sz w:val="24"/>
        </w:rPr>
      </w:pPr>
      <w:r w:rsidRPr="009B5734">
        <w:rPr>
          <w:rFonts w:ascii="Times New Roman" w:hAnsi="Times New Roman" w:cs="Times New Roman"/>
          <w:noProof/>
          <w:sz w:val="24"/>
          <w:szCs w:val="24"/>
        </w:rPr>
        <w:t xml:space="preserve">The comparison of the measures/options using a multi-criteria analysis shows that in the default scenario where Effectiveness has a weight of 30 points, Efficiency 60 points and Coherence 10 </w:t>
      </w:r>
      <w:r w:rsidRPr="009B5734" w:rsidDel="003849F5">
        <w:rPr>
          <w:rFonts w:ascii="Times New Roman" w:hAnsi="Times New Roman" w:cs="Times New Roman"/>
          <w:noProof/>
          <w:sz w:val="24"/>
          <w:szCs w:val="24"/>
        </w:rPr>
        <w:t>points</w:t>
      </w:r>
      <w:r w:rsidRPr="009B5734">
        <w:rPr>
          <w:rFonts w:ascii="Times New Roman" w:hAnsi="Times New Roman" w:cs="Times New Roman"/>
          <w:noProof/>
          <w:sz w:val="24"/>
          <w:szCs w:val="24"/>
        </w:rPr>
        <w:t>:</w:t>
      </w:r>
    </w:p>
    <w:p w:rsidR="00EA45F9" w:rsidRPr="009B5734" w:rsidRDefault="00EA45F9" w:rsidP="00EA45F9">
      <w:pPr>
        <w:ind w:left="0" w:firstLine="0"/>
        <w:rPr>
          <w:rFonts w:ascii="Times New Roman" w:hAnsi="Times New Roman"/>
          <w:noProof/>
          <w:sz w:val="24"/>
        </w:rPr>
      </w:pPr>
      <w:r w:rsidRPr="009B5734">
        <w:rPr>
          <w:rFonts w:ascii="Times New Roman" w:hAnsi="Times New Roman" w:cs="Times New Roman"/>
          <w:noProof/>
          <w:sz w:val="24"/>
          <w:szCs w:val="24"/>
        </w:rPr>
        <w:t>-</w:t>
      </w:r>
      <w:r w:rsidRPr="009B5734" w:rsidDel="003849F5">
        <w:rPr>
          <w:rFonts w:ascii="Times New Roman" w:hAnsi="Times New Roman"/>
          <w:noProof/>
          <w:sz w:val="24"/>
        </w:rPr>
        <w:t xml:space="preserve"> </w:t>
      </w:r>
      <w:r w:rsidRPr="009B5734">
        <w:rPr>
          <w:rFonts w:ascii="Times New Roman" w:hAnsi="Times New Roman"/>
          <w:noProof/>
          <w:sz w:val="24"/>
        </w:rPr>
        <w:t>Both options rank higher than the baseline scenario</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 Option B (2.1.B) ranks the highest, followed by Option A (2.1.A) and then the baseline.</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The results of the sensitivity analysis show that </w:t>
      </w:r>
      <w:r w:rsidRPr="009B5734" w:rsidDel="003849F5">
        <w:rPr>
          <w:rFonts w:ascii="Times New Roman" w:hAnsi="Times New Roman" w:cs="Times New Roman"/>
          <w:noProof/>
          <w:sz w:val="24"/>
          <w:szCs w:val="24"/>
        </w:rPr>
        <w:t xml:space="preserve">the </w:t>
      </w:r>
      <w:r w:rsidRPr="009B5734">
        <w:rPr>
          <w:rFonts w:ascii="Times New Roman" w:hAnsi="Times New Roman" w:cs="Times New Roman"/>
          <w:noProof/>
          <w:sz w:val="24"/>
          <w:szCs w:val="24"/>
        </w:rPr>
        <w:t>ranking of options with the highest score remains unchanged in all 8 scenarios of weights tested. The final scores for each scenario and for all possible option ranking are presented in the</w:t>
      </w:r>
      <w:r w:rsidRPr="009B5734" w:rsidDel="00226F73">
        <w:rPr>
          <w:rFonts w:ascii="Times New Roman" w:hAnsi="Times New Roman" w:cs="Times New Roman"/>
          <w:noProof/>
          <w:sz w:val="24"/>
          <w:szCs w:val="24"/>
        </w:rPr>
        <w:t xml:space="preserve"> </w:t>
      </w:r>
      <w:r w:rsidRPr="009B5734">
        <w:rPr>
          <w:rFonts w:ascii="Times New Roman" w:hAnsi="Times New Roman" w:cs="Times New Roman"/>
          <w:noProof/>
          <w:sz w:val="24"/>
          <w:szCs w:val="24"/>
        </w:rPr>
        <w:t>table below.</w:t>
      </w:r>
    </w:p>
    <w:p w:rsidR="00EA45F9" w:rsidRPr="009B5734" w:rsidRDefault="00EA45F9" w:rsidP="00EA45F9">
      <w:pPr>
        <w:ind w:left="0" w:firstLine="0"/>
        <w:rPr>
          <w:rFonts w:ascii="Times New Roman" w:hAnsi="Times New Roman" w:cs="Times New Roman"/>
          <w:b/>
          <w:noProof/>
          <w:sz w:val="24"/>
          <w:szCs w:val="24"/>
        </w:rPr>
      </w:pPr>
    </w:p>
    <w:p w:rsidR="00EA45F9" w:rsidRPr="009B5734" w:rsidRDefault="00EA45F9" w:rsidP="00EA45F9">
      <w:pPr>
        <w:ind w:left="0" w:firstLine="0"/>
        <w:rPr>
          <w:rFonts w:ascii="Times New Roman" w:hAnsi="Times New Roman" w:cs="Times New Roman"/>
          <w:b/>
          <w:noProof/>
          <w:sz w:val="24"/>
          <w:szCs w:val="24"/>
        </w:rPr>
      </w:pPr>
    </w:p>
    <w:p w:rsidR="00EA45F9" w:rsidRPr="0084232A" w:rsidRDefault="00EA45F9">
      <w:pPr>
        <w:ind w:left="0" w:firstLine="0"/>
        <w:rPr>
          <w:rFonts w:ascii="Times New Roman" w:hAnsi="Times New Roman" w:cs="Times New Roman"/>
          <w:b/>
          <w:noProof/>
          <w:sz w:val="24"/>
          <w:szCs w:val="24"/>
        </w:rPr>
      </w:pPr>
      <w:r w:rsidRPr="005D24D2">
        <w:rPr>
          <w:rFonts w:ascii="Times New Roman" w:hAnsi="Times New Roman" w:cs="Times New Roman"/>
          <w:b/>
          <w:bCs/>
          <w:noProof/>
          <w:sz w:val="24"/>
          <w:szCs w:val="24"/>
        </w:rPr>
        <w:t>Results of the sensitivity analysis for the options for Sub-Problem 2.1</w:t>
      </w:r>
    </w:p>
    <w:tbl>
      <w:tblPr>
        <w:tblW w:w="12960"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CellMar>
          <w:left w:w="0" w:type="dxa"/>
          <w:right w:w="0" w:type="dxa"/>
        </w:tblCellMar>
        <w:tblLook w:val="04A0" w:firstRow="1" w:lastRow="0" w:firstColumn="1" w:lastColumn="0" w:noHBand="0" w:noVBand="1"/>
      </w:tblPr>
      <w:tblGrid>
        <w:gridCol w:w="1440"/>
        <w:gridCol w:w="1440"/>
        <w:gridCol w:w="1440"/>
        <w:gridCol w:w="1440"/>
        <w:gridCol w:w="1440"/>
        <w:gridCol w:w="1440"/>
        <w:gridCol w:w="1440"/>
        <w:gridCol w:w="1440"/>
        <w:gridCol w:w="1440"/>
      </w:tblGrid>
      <w:tr w:rsidR="00EA45F9" w:rsidRPr="009B5734" w:rsidTr="00C84A99">
        <w:trPr>
          <w:trHeight w:val="813"/>
        </w:trPr>
        <w:tc>
          <w:tcPr>
            <w:tcW w:w="1440" w:type="dxa"/>
            <w:shd w:val="clear" w:color="auto" w:fill="002395"/>
            <w:tcMar>
              <w:top w:w="15" w:type="dxa"/>
              <w:left w:w="15" w:type="dxa"/>
              <w:bottom w:w="0" w:type="dxa"/>
              <w:right w:w="15" w:type="dxa"/>
            </w:tcMar>
            <w:hideMark/>
          </w:tcPr>
          <w:p w:rsidR="00EA45F9" w:rsidRPr="009B5734" w:rsidRDefault="00EA45F9" w:rsidP="00981615">
            <w:pPr>
              <w:jc w:val="left"/>
              <w:rPr>
                <w:rFonts w:ascii="Calibri" w:hAnsi="Calibri" w:cs="Calibri"/>
                <w:b/>
                <w:bCs/>
                <w:noProof/>
                <w:color w:val="FFFFFF"/>
                <w:sz w:val="18"/>
                <w:szCs w:val="18"/>
              </w:rPr>
            </w:pPr>
            <w:r w:rsidRPr="009B5734">
              <w:rPr>
                <w:rFonts w:ascii="Calibri" w:hAnsi="Calibri" w:cs="Calibri"/>
                <w:b/>
                <w:bCs/>
                <w:noProof/>
                <w:color w:val="FFFFFF"/>
                <w:sz w:val="18"/>
                <w:szCs w:val="18"/>
              </w:rPr>
              <w:t>Ranking of options</w:t>
            </w:r>
          </w:p>
        </w:tc>
        <w:tc>
          <w:tcPr>
            <w:tcW w:w="1440" w:type="dxa"/>
            <w:shd w:val="clear" w:color="auto" w:fill="002395"/>
            <w:tcMar>
              <w:top w:w="15" w:type="dxa"/>
              <w:left w:w="15" w:type="dxa"/>
              <w:bottom w:w="0" w:type="dxa"/>
              <w:right w:w="15" w:type="dxa"/>
            </w:tcMar>
          </w:tcPr>
          <w:p w:rsidR="00EA45F9" w:rsidRPr="009B5734" w:rsidRDefault="00EA45F9" w:rsidP="00981615">
            <w:pPr>
              <w:jc w:val="left"/>
              <w:rPr>
                <w:rFonts w:ascii="Calibri" w:hAnsi="Calibri" w:cs="Calibri"/>
                <w:b/>
                <w:bCs/>
                <w:noProof/>
                <w:color w:val="FFFFFF"/>
                <w:sz w:val="18"/>
                <w:szCs w:val="18"/>
              </w:rPr>
            </w:pPr>
            <w:r w:rsidRPr="009B5734">
              <w:rPr>
                <w:rFonts w:ascii="Calibri" w:hAnsi="Calibri" w:cs="Calibri"/>
                <w:b/>
                <w:bCs/>
                <w:noProof/>
                <w:color w:val="FFFFFF"/>
                <w:sz w:val="18"/>
                <w:szCs w:val="18"/>
              </w:rPr>
              <w:t>Default: Effectiveness 30%, Efficiency 60% and Coherence 10%</w:t>
            </w:r>
          </w:p>
        </w:tc>
        <w:tc>
          <w:tcPr>
            <w:tcW w:w="1440" w:type="dxa"/>
            <w:shd w:val="clear" w:color="auto" w:fill="002395"/>
            <w:tcMar>
              <w:top w:w="15" w:type="dxa"/>
              <w:left w:w="15" w:type="dxa"/>
              <w:bottom w:w="0" w:type="dxa"/>
              <w:right w:w="15" w:type="dxa"/>
            </w:tcMar>
          </w:tcPr>
          <w:p w:rsidR="00EA45F9" w:rsidRPr="009B5734" w:rsidRDefault="00EA45F9" w:rsidP="00981615">
            <w:pPr>
              <w:jc w:val="left"/>
              <w:rPr>
                <w:rFonts w:ascii="Calibri" w:hAnsi="Calibri" w:cs="Calibri"/>
                <w:b/>
                <w:bCs/>
                <w:noProof/>
                <w:color w:val="FFFFFF"/>
                <w:sz w:val="18"/>
                <w:szCs w:val="18"/>
              </w:rPr>
            </w:pPr>
            <w:r w:rsidRPr="009B5734">
              <w:rPr>
                <w:rFonts w:ascii="Calibri" w:hAnsi="Calibri" w:cs="Calibri"/>
                <w:b/>
                <w:bCs/>
                <w:noProof/>
                <w:color w:val="FFFFFF"/>
                <w:sz w:val="18"/>
                <w:szCs w:val="18"/>
              </w:rPr>
              <w:t>Effectiveness 1/3, Efficiency 1/3 and Coherence 1/3</w:t>
            </w:r>
          </w:p>
        </w:tc>
        <w:tc>
          <w:tcPr>
            <w:tcW w:w="1440" w:type="dxa"/>
            <w:shd w:val="clear" w:color="auto" w:fill="002395"/>
            <w:tcMar>
              <w:top w:w="15" w:type="dxa"/>
              <w:left w:w="15" w:type="dxa"/>
              <w:bottom w:w="0" w:type="dxa"/>
              <w:right w:w="15" w:type="dxa"/>
            </w:tcMar>
          </w:tcPr>
          <w:p w:rsidR="00EA45F9" w:rsidRPr="009B5734" w:rsidRDefault="00EA45F9" w:rsidP="00981615">
            <w:pPr>
              <w:jc w:val="left"/>
              <w:rPr>
                <w:rFonts w:ascii="Calibri" w:hAnsi="Calibri" w:cs="Calibri"/>
                <w:b/>
                <w:bCs/>
                <w:noProof/>
                <w:color w:val="FFFFFF"/>
                <w:sz w:val="18"/>
                <w:szCs w:val="18"/>
              </w:rPr>
            </w:pPr>
            <w:r w:rsidRPr="009B5734">
              <w:rPr>
                <w:rFonts w:ascii="Calibri" w:hAnsi="Calibri" w:cs="Calibri"/>
                <w:b/>
                <w:bCs/>
                <w:noProof/>
                <w:color w:val="FFFFFF"/>
                <w:sz w:val="18"/>
                <w:szCs w:val="18"/>
              </w:rPr>
              <w:t>Effectiveness 45%, Efficiency 45% and Coherence 10%</w:t>
            </w:r>
          </w:p>
        </w:tc>
        <w:tc>
          <w:tcPr>
            <w:tcW w:w="1440" w:type="dxa"/>
            <w:shd w:val="clear" w:color="auto" w:fill="002395"/>
            <w:tcMar>
              <w:top w:w="15" w:type="dxa"/>
              <w:left w:w="15" w:type="dxa"/>
              <w:bottom w:w="0" w:type="dxa"/>
              <w:right w:w="15" w:type="dxa"/>
            </w:tcMar>
          </w:tcPr>
          <w:p w:rsidR="00EA45F9" w:rsidRPr="009B5734" w:rsidRDefault="00EA45F9" w:rsidP="00981615">
            <w:pPr>
              <w:jc w:val="left"/>
              <w:rPr>
                <w:rFonts w:ascii="Calibri" w:hAnsi="Calibri" w:cs="Calibri"/>
                <w:b/>
                <w:bCs/>
                <w:noProof/>
                <w:color w:val="FFFFFF"/>
                <w:sz w:val="18"/>
                <w:szCs w:val="18"/>
              </w:rPr>
            </w:pPr>
            <w:r w:rsidRPr="009B5734">
              <w:rPr>
                <w:rFonts w:ascii="Calibri" w:hAnsi="Calibri" w:cs="Calibri"/>
                <w:b/>
                <w:bCs/>
                <w:noProof/>
                <w:color w:val="FFFFFF"/>
                <w:sz w:val="18"/>
                <w:szCs w:val="18"/>
              </w:rPr>
              <w:t>Effectiveness 20%, Efficiency 70% and Coherence 10%</w:t>
            </w:r>
          </w:p>
        </w:tc>
        <w:tc>
          <w:tcPr>
            <w:tcW w:w="1440" w:type="dxa"/>
            <w:shd w:val="clear" w:color="auto" w:fill="002395"/>
            <w:tcMar>
              <w:top w:w="15" w:type="dxa"/>
              <w:left w:w="15" w:type="dxa"/>
              <w:bottom w:w="0" w:type="dxa"/>
              <w:right w:w="15" w:type="dxa"/>
            </w:tcMar>
          </w:tcPr>
          <w:p w:rsidR="00EA45F9" w:rsidRPr="009B5734" w:rsidRDefault="00EA45F9" w:rsidP="00981615">
            <w:pPr>
              <w:jc w:val="left"/>
              <w:rPr>
                <w:rFonts w:ascii="Calibri" w:hAnsi="Calibri" w:cs="Calibri"/>
                <w:b/>
                <w:bCs/>
                <w:noProof/>
                <w:color w:val="FFFFFF"/>
                <w:sz w:val="18"/>
                <w:szCs w:val="18"/>
              </w:rPr>
            </w:pPr>
            <w:r w:rsidRPr="009B5734">
              <w:rPr>
                <w:rFonts w:ascii="Calibri" w:hAnsi="Calibri" w:cs="Calibri"/>
                <w:b/>
                <w:bCs/>
                <w:noProof/>
                <w:color w:val="FFFFFF"/>
                <w:sz w:val="18"/>
                <w:szCs w:val="18"/>
              </w:rPr>
              <w:t>Effectiveness 10%, Efficiency 80% and Coherence 10%</w:t>
            </w:r>
          </w:p>
        </w:tc>
        <w:tc>
          <w:tcPr>
            <w:tcW w:w="1440" w:type="dxa"/>
            <w:shd w:val="clear" w:color="auto" w:fill="002395"/>
            <w:tcMar>
              <w:top w:w="15" w:type="dxa"/>
              <w:left w:w="15" w:type="dxa"/>
              <w:bottom w:w="0" w:type="dxa"/>
              <w:right w:w="15" w:type="dxa"/>
            </w:tcMar>
          </w:tcPr>
          <w:p w:rsidR="00EA45F9" w:rsidRPr="009B5734" w:rsidRDefault="00EA45F9" w:rsidP="00981615">
            <w:pPr>
              <w:jc w:val="left"/>
              <w:rPr>
                <w:rFonts w:ascii="Calibri" w:hAnsi="Calibri" w:cs="Calibri"/>
                <w:b/>
                <w:bCs/>
                <w:noProof/>
                <w:color w:val="FFFFFF"/>
                <w:sz w:val="18"/>
                <w:szCs w:val="18"/>
              </w:rPr>
            </w:pPr>
            <w:r w:rsidRPr="009B5734">
              <w:rPr>
                <w:rFonts w:ascii="Calibri" w:hAnsi="Calibri" w:cs="Calibri"/>
                <w:b/>
                <w:bCs/>
                <w:noProof/>
                <w:color w:val="FFFFFF"/>
                <w:sz w:val="18"/>
                <w:szCs w:val="18"/>
              </w:rPr>
              <w:t>Effectiveness 0%, Efficiency 90% and Coherence 10%</w:t>
            </w:r>
          </w:p>
        </w:tc>
        <w:tc>
          <w:tcPr>
            <w:tcW w:w="1440" w:type="dxa"/>
            <w:shd w:val="clear" w:color="auto" w:fill="002395"/>
            <w:tcMar>
              <w:top w:w="15" w:type="dxa"/>
              <w:left w:w="15" w:type="dxa"/>
              <w:bottom w:w="0" w:type="dxa"/>
              <w:right w:w="15" w:type="dxa"/>
            </w:tcMar>
          </w:tcPr>
          <w:p w:rsidR="00EA45F9" w:rsidRPr="009B5734" w:rsidRDefault="00EA45F9" w:rsidP="00981615">
            <w:pPr>
              <w:jc w:val="left"/>
              <w:rPr>
                <w:rFonts w:ascii="Calibri" w:hAnsi="Calibri" w:cs="Calibri"/>
                <w:b/>
                <w:bCs/>
                <w:noProof/>
                <w:color w:val="FFFFFF"/>
                <w:sz w:val="18"/>
                <w:szCs w:val="18"/>
              </w:rPr>
            </w:pPr>
            <w:r w:rsidRPr="009B5734">
              <w:rPr>
                <w:rFonts w:ascii="Calibri" w:hAnsi="Calibri" w:cs="Calibri"/>
                <w:b/>
                <w:bCs/>
                <w:noProof/>
                <w:color w:val="FFFFFF"/>
                <w:sz w:val="18"/>
                <w:szCs w:val="18"/>
              </w:rPr>
              <w:t>Experts</w:t>
            </w:r>
          </w:p>
        </w:tc>
        <w:tc>
          <w:tcPr>
            <w:tcW w:w="1440" w:type="dxa"/>
            <w:shd w:val="clear" w:color="auto" w:fill="002395"/>
            <w:tcMar>
              <w:top w:w="15" w:type="dxa"/>
              <w:left w:w="15" w:type="dxa"/>
              <w:bottom w:w="0" w:type="dxa"/>
              <w:right w:w="15" w:type="dxa"/>
            </w:tcMar>
          </w:tcPr>
          <w:p w:rsidR="00EA45F9" w:rsidRPr="009B5734" w:rsidRDefault="00EA45F9" w:rsidP="00981615">
            <w:pPr>
              <w:jc w:val="left"/>
              <w:rPr>
                <w:rFonts w:ascii="Calibri" w:hAnsi="Calibri" w:cs="Calibri"/>
                <w:b/>
                <w:bCs/>
                <w:noProof/>
                <w:color w:val="FFFFFF"/>
                <w:sz w:val="18"/>
                <w:szCs w:val="18"/>
              </w:rPr>
            </w:pPr>
            <w:r w:rsidRPr="009B5734">
              <w:rPr>
                <w:rFonts w:ascii="Arial" w:hAnsi="Arial" w:cs="Arial"/>
                <w:b/>
                <w:bCs/>
                <w:noProof/>
                <w:color w:val="FFFFFF"/>
                <w:sz w:val="16"/>
                <w:szCs w:val="16"/>
              </w:rPr>
              <w:t>Worst-case scenario: Efficiency 100% (of which 60% allocated to costs and 40% to benefits)</w:t>
            </w:r>
          </w:p>
        </w:tc>
      </w:tr>
      <w:tr w:rsidR="00EA45F9" w:rsidRPr="009B5734" w:rsidTr="70D97C89">
        <w:trPr>
          <w:trHeight w:val="290"/>
        </w:trPr>
        <w:tc>
          <w:tcPr>
            <w:tcW w:w="0" w:type="auto"/>
            <w:shd w:val="clear" w:color="auto" w:fill="auto"/>
            <w:noWrap/>
            <w:tcMar>
              <w:top w:w="15" w:type="dxa"/>
              <w:left w:w="15" w:type="dxa"/>
              <w:bottom w:w="0" w:type="dxa"/>
              <w:right w:w="15" w:type="dxa"/>
            </w:tcMar>
            <w:vAlign w:val="bottom"/>
            <w:hideMark/>
          </w:tcPr>
          <w:p w:rsidR="00EA45F9" w:rsidRPr="009B5734" w:rsidRDefault="00EA45F9" w:rsidP="00981615">
            <w:pPr>
              <w:rPr>
                <w:rFonts w:ascii="Calibri" w:hAnsi="Calibri" w:cs="Calibri"/>
                <w:noProof/>
                <w:color w:val="000000"/>
              </w:rPr>
            </w:pPr>
            <w:r w:rsidRPr="009B5734">
              <w:rPr>
                <w:rFonts w:ascii="Calibri" w:hAnsi="Calibri" w:cs="Calibri"/>
                <w:noProof/>
                <w:color w:val="000000"/>
              </w:rPr>
              <w:t>0AB</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84</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94</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58</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70</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75</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80</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75</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72</w:t>
            </w:r>
          </w:p>
        </w:tc>
      </w:tr>
      <w:tr w:rsidR="00EA45F9" w:rsidRPr="009B5734" w:rsidTr="70D97C89">
        <w:trPr>
          <w:trHeight w:val="290"/>
        </w:trPr>
        <w:tc>
          <w:tcPr>
            <w:tcW w:w="0" w:type="auto"/>
            <w:shd w:val="clear" w:color="auto" w:fill="auto"/>
            <w:noWrap/>
            <w:tcMar>
              <w:top w:w="15" w:type="dxa"/>
              <w:left w:w="15" w:type="dxa"/>
              <w:bottom w:w="0" w:type="dxa"/>
              <w:right w:w="15" w:type="dxa"/>
            </w:tcMar>
            <w:vAlign w:val="bottom"/>
            <w:hideMark/>
          </w:tcPr>
          <w:p w:rsidR="00EA45F9" w:rsidRPr="009B5734" w:rsidRDefault="00EA45F9" w:rsidP="00981615">
            <w:pPr>
              <w:rPr>
                <w:rFonts w:ascii="Calibri" w:hAnsi="Calibri" w:cs="Calibri"/>
                <w:noProof/>
                <w:color w:val="000000"/>
              </w:rPr>
            </w:pPr>
            <w:r w:rsidRPr="009B5734">
              <w:rPr>
                <w:rFonts w:ascii="Calibri" w:hAnsi="Calibri" w:cs="Calibri"/>
                <w:noProof/>
                <w:color w:val="000000"/>
              </w:rPr>
              <w:t>0BA</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114</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131</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108</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114</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117</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120</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119</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112</w:t>
            </w:r>
          </w:p>
        </w:tc>
      </w:tr>
      <w:tr w:rsidR="00EA45F9" w:rsidRPr="009B5734" w:rsidTr="70D97C89">
        <w:trPr>
          <w:trHeight w:val="290"/>
        </w:trPr>
        <w:tc>
          <w:tcPr>
            <w:tcW w:w="0" w:type="auto"/>
            <w:shd w:val="clear" w:color="auto" w:fill="auto"/>
            <w:noWrap/>
            <w:tcMar>
              <w:top w:w="15" w:type="dxa"/>
              <w:left w:w="15" w:type="dxa"/>
              <w:bottom w:w="0" w:type="dxa"/>
              <w:right w:w="15" w:type="dxa"/>
            </w:tcMar>
            <w:vAlign w:val="bottom"/>
            <w:hideMark/>
          </w:tcPr>
          <w:p w:rsidR="00EA45F9" w:rsidRPr="009B5734" w:rsidRDefault="00EA45F9" w:rsidP="00981615">
            <w:pPr>
              <w:rPr>
                <w:rFonts w:ascii="Calibri" w:hAnsi="Calibri" w:cs="Calibri"/>
                <w:noProof/>
                <w:color w:val="000000"/>
              </w:rPr>
            </w:pPr>
            <w:r w:rsidRPr="009B5734">
              <w:rPr>
                <w:rFonts w:ascii="Calibri" w:hAnsi="Calibri" w:cs="Calibri"/>
                <w:noProof/>
                <w:color w:val="000000"/>
              </w:rPr>
              <w:t>A0B</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86</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96</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95</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92</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91</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90</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105</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88</w:t>
            </w:r>
          </w:p>
        </w:tc>
      </w:tr>
      <w:tr w:rsidR="00EA45F9" w:rsidRPr="009B5734" w:rsidTr="70D97C89">
        <w:trPr>
          <w:trHeight w:val="290"/>
        </w:trPr>
        <w:tc>
          <w:tcPr>
            <w:tcW w:w="0" w:type="auto"/>
            <w:shd w:val="clear" w:color="auto" w:fill="auto"/>
            <w:noWrap/>
            <w:tcMar>
              <w:top w:w="15" w:type="dxa"/>
              <w:left w:w="15" w:type="dxa"/>
              <w:bottom w:w="0" w:type="dxa"/>
              <w:right w:w="15" w:type="dxa"/>
            </w:tcMar>
            <w:vAlign w:val="bottom"/>
            <w:hideMark/>
          </w:tcPr>
          <w:p w:rsidR="00EA45F9" w:rsidRPr="009B5734" w:rsidRDefault="00EA45F9" w:rsidP="00981615">
            <w:pPr>
              <w:rPr>
                <w:rFonts w:ascii="Calibri" w:hAnsi="Calibri" w:cs="Calibri"/>
                <w:noProof/>
                <w:color w:val="000000"/>
              </w:rPr>
            </w:pPr>
            <w:r w:rsidRPr="009B5734">
              <w:rPr>
                <w:rFonts w:ascii="Calibri" w:hAnsi="Calibri" w:cs="Calibri"/>
                <w:noProof/>
                <w:color w:val="000000"/>
              </w:rPr>
              <w:t>AB0</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102</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102</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138</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122</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116</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110</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136</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116</w:t>
            </w:r>
          </w:p>
        </w:tc>
      </w:tr>
      <w:tr w:rsidR="00EA45F9" w:rsidRPr="009B5734" w:rsidTr="70D97C89">
        <w:trPr>
          <w:trHeight w:val="290"/>
        </w:trPr>
        <w:tc>
          <w:tcPr>
            <w:tcW w:w="0" w:type="auto"/>
            <w:shd w:val="clear" w:color="auto" w:fill="auto"/>
            <w:noWrap/>
            <w:tcMar>
              <w:top w:w="15" w:type="dxa"/>
              <w:left w:w="15" w:type="dxa"/>
              <w:bottom w:w="0" w:type="dxa"/>
              <w:right w:w="15" w:type="dxa"/>
            </w:tcMar>
            <w:vAlign w:val="bottom"/>
            <w:hideMark/>
          </w:tcPr>
          <w:p w:rsidR="00EA45F9" w:rsidRPr="009B5734" w:rsidRDefault="00EA45F9" w:rsidP="00981615">
            <w:pPr>
              <w:rPr>
                <w:rFonts w:ascii="Calibri" w:hAnsi="Calibri" w:cs="Calibri"/>
                <w:noProof/>
                <w:color w:val="000000"/>
              </w:rPr>
            </w:pPr>
            <w:r w:rsidRPr="009B5734">
              <w:rPr>
                <w:rFonts w:ascii="Calibri" w:hAnsi="Calibri" w:cs="Calibri"/>
                <w:noProof/>
                <w:color w:val="000000"/>
              </w:rPr>
              <w:t>B0A</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130</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137</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150</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144</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142</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140</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150</w:t>
            </w:r>
          </w:p>
        </w:tc>
        <w:tc>
          <w:tcPr>
            <w:tcW w:w="0" w:type="auto"/>
            <w:shd w:val="clear" w:color="auto" w:fill="auto"/>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140</w:t>
            </w:r>
          </w:p>
        </w:tc>
      </w:tr>
      <w:tr w:rsidR="00EA45F9" w:rsidRPr="009B5734" w:rsidTr="70D97C89">
        <w:trPr>
          <w:trHeight w:val="290"/>
        </w:trPr>
        <w:tc>
          <w:tcPr>
            <w:tcW w:w="0" w:type="auto"/>
            <w:shd w:val="clear" w:color="auto" w:fill="auto"/>
            <w:noWrap/>
            <w:tcMar>
              <w:top w:w="15" w:type="dxa"/>
              <w:left w:w="15" w:type="dxa"/>
              <w:bottom w:w="0" w:type="dxa"/>
              <w:right w:w="15" w:type="dxa"/>
            </w:tcMar>
            <w:vAlign w:val="bottom"/>
            <w:hideMark/>
          </w:tcPr>
          <w:p w:rsidR="00EA45F9" w:rsidRPr="009B5734" w:rsidRDefault="00EA45F9" w:rsidP="00981615">
            <w:pPr>
              <w:rPr>
                <w:rFonts w:ascii="Calibri" w:hAnsi="Calibri" w:cs="Calibri"/>
                <w:noProof/>
                <w:color w:val="000000"/>
              </w:rPr>
            </w:pPr>
            <w:r w:rsidRPr="009B5734">
              <w:rPr>
                <w:rFonts w:ascii="Calibri" w:hAnsi="Calibri" w:cs="Calibri"/>
                <w:noProof/>
                <w:color w:val="000000"/>
              </w:rPr>
              <w:t>BA0</w:t>
            </w:r>
          </w:p>
        </w:tc>
        <w:tc>
          <w:tcPr>
            <w:tcW w:w="0" w:type="auto"/>
            <w:shd w:val="clear" w:color="auto" w:fill="C6EFCE"/>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132</w:t>
            </w:r>
          </w:p>
        </w:tc>
        <w:tc>
          <w:tcPr>
            <w:tcW w:w="0" w:type="auto"/>
            <w:shd w:val="clear" w:color="auto" w:fill="C6EFCE"/>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139</w:t>
            </w:r>
          </w:p>
        </w:tc>
        <w:tc>
          <w:tcPr>
            <w:tcW w:w="0" w:type="auto"/>
            <w:shd w:val="clear" w:color="auto" w:fill="C6EFCE"/>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188</w:t>
            </w:r>
          </w:p>
        </w:tc>
        <w:tc>
          <w:tcPr>
            <w:tcW w:w="0" w:type="auto"/>
            <w:shd w:val="clear" w:color="auto" w:fill="C6EFCE"/>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167</w:t>
            </w:r>
          </w:p>
        </w:tc>
        <w:tc>
          <w:tcPr>
            <w:tcW w:w="0" w:type="auto"/>
            <w:shd w:val="clear" w:color="auto" w:fill="C6EFCE"/>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158</w:t>
            </w:r>
          </w:p>
        </w:tc>
        <w:tc>
          <w:tcPr>
            <w:tcW w:w="0" w:type="auto"/>
            <w:shd w:val="clear" w:color="auto" w:fill="C6EFCE"/>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150</w:t>
            </w:r>
          </w:p>
        </w:tc>
        <w:tc>
          <w:tcPr>
            <w:tcW w:w="0" w:type="auto"/>
            <w:shd w:val="clear" w:color="auto" w:fill="C6EFCE"/>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180</w:t>
            </w:r>
          </w:p>
        </w:tc>
        <w:tc>
          <w:tcPr>
            <w:tcW w:w="0" w:type="auto"/>
            <w:shd w:val="clear" w:color="auto" w:fill="C6EFCE"/>
            <w:noWrap/>
            <w:tcMar>
              <w:top w:w="15" w:type="dxa"/>
              <w:left w:w="15" w:type="dxa"/>
              <w:bottom w:w="0" w:type="dxa"/>
              <w:right w:w="15" w:type="dxa"/>
            </w:tcMar>
            <w:vAlign w:val="bottom"/>
          </w:tcPr>
          <w:p w:rsidR="00EA45F9" w:rsidRPr="009B5734" w:rsidRDefault="00EA45F9" w:rsidP="00981615">
            <w:pPr>
              <w:ind w:left="0" w:firstLine="0"/>
              <w:jc w:val="right"/>
              <w:rPr>
                <w:rFonts w:ascii="Calibri" w:hAnsi="Calibri" w:cs="Calibri"/>
                <w:noProof/>
                <w:color w:val="000000"/>
              </w:rPr>
            </w:pPr>
            <w:r w:rsidRPr="009B5734">
              <w:rPr>
                <w:rFonts w:ascii="Calibri" w:hAnsi="Calibri" w:cs="Calibri"/>
                <w:noProof/>
                <w:color w:val="000000"/>
              </w:rPr>
              <w:t>156</w:t>
            </w:r>
          </w:p>
        </w:tc>
      </w:tr>
    </w:tbl>
    <w:p w:rsidR="00EA45F9" w:rsidRPr="009B5734" w:rsidRDefault="00FE7CEC" w:rsidP="00EA45F9">
      <w:pPr>
        <w:pStyle w:val="ListParagraph"/>
        <w:ind w:left="792" w:firstLine="0"/>
        <w:rPr>
          <w:rFonts w:ascii="Times New Roman" w:hAnsi="Times New Roman"/>
          <w:b/>
          <w:noProof/>
          <w:color w:val="000000" w:themeColor="text1"/>
          <w:sz w:val="24"/>
        </w:rPr>
      </w:pPr>
      <w:r w:rsidRPr="009B5734">
        <w:rPr>
          <w:rFonts w:ascii="Times New Roman" w:hAnsi="Times New Roman"/>
          <w:b/>
          <w:noProof/>
          <w:color w:val="000000" w:themeColor="text1"/>
          <w:sz w:val="24"/>
        </w:rPr>
        <w:t xml:space="preserve"> </w:t>
      </w:r>
    </w:p>
    <w:p w:rsidR="00FE7CEC" w:rsidRPr="009B5734" w:rsidRDefault="00FE7CEC" w:rsidP="00FE7CEC">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When comparing monetisable costs and benefits using the Cost-Benefit analysis approach</w:t>
      </w:r>
      <w:r w:rsidRPr="009B5734">
        <w:rPr>
          <w:rFonts w:ascii="Times New Roman" w:hAnsi="Times New Roman" w:cs="Times New Roman"/>
          <w:noProof/>
          <w:sz w:val="24"/>
          <w:szCs w:val="24"/>
          <w:vertAlign w:val="superscript"/>
        </w:rPr>
        <w:footnoteReference w:id="248"/>
      </w:r>
      <w:r w:rsidRPr="009B5734">
        <w:rPr>
          <w:rFonts w:ascii="Times New Roman" w:hAnsi="Times New Roman" w:cs="Times New Roman"/>
          <w:noProof/>
          <w:sz w:val="24"/>
          <w:szCs w:val="24"/>
        </w:rPr>
        <w:t xml:space="preserve"> described in </w:t>
      </w:r>
      <w:hyperlink w:anchor="_General_approach_to" w:history="1">
        <w:r w:rsidRPr="009B5734">
          <w:rPr>
            <w:rStyle w:val="Hyperlink"/>
            <w:rFonts w:ascii="Times New Roman" w:hAnsi="Times New Roman" w:cs="Times New Roman"/>
            <w:noProof/>
            <w:sz w:val="24"/>
            <w:szCs w:val="24"/>
          </w:rPr>
          <w:t>Annex 9.1</w:t>
        </w:r>
      </w:hyperlink>
      <w:r w:rsidRPr="009B5734">
        <w:rPr>
          <w:rFonts w:ascii="Times New Roman" w:hAnsi="Times New Roman" w:cs="Times New Roman"/>
          <w:noProof/>
          <w:sz w:val="24"/>
          <w:szCs w:val="24"/>
        </w:rPr>
        <w:t xml:space="preserve"> above, we conclude that both Option 2.1.A and Option 2.1.B bring net benefits, however the uncertainty of Option 2.1.A is higher compared to the total</w:t>
      </w:r>
      <w:r w:rsidRPr="009B5734" w:rsidDel="006263B4">
        <w:rPr>
          <w:rFonts w:ascii="Times New Roman" w:hAnsi="Times New Roman" w:cs="Times New Roman"/>
          <w:noProof/>
          <w:sz w:val="24"/>
          <w:szCs w:val="24"/>
        </w:rPr>
        <w:t xml:space="preserve"> costs</w:t>
      </w:r>
      <w:r w:rsidRPr="009B5734">
        <w:rPr>
          <w:rFonts w:ascii="Times New Roman" w:hAnsi="Times New Roman" w:cs="Times New Roman"/>
          <w:noProof/>
          <w:sz w:val="24"/>
          <w:szCs w:val="24"/>
        </w:rPr>
        <w:t xml:space="preserve"> and benefits. </w:t>
      </w:r>
    </w:p>
    <w:p w:rsidR="00FE7CEC" w:rsidRPr="009B5734" w:rsidRDefault="00FE7CEC" w:rsidP="00FE7CEC">
      <w:pPr>
        <w:ind w:left="0" w:firstLine="0"/>
        <w:rPr>
          <w:rFonts w:ascii="Times New Roman" w:hAnsi="Times New Roman" w:cs="Times New Roman"/>
          <w:noProof/>
          <w:sz w:val="24"/>
          <w:szCs w:val="24"/>
        </w:rPr>
      </w:pPr>
    </w:p>
    <w:p w:rsidR="00FE7CEC" w:rsidRPr="009B5734" w:rsidRDefault="00FE7CEC" w:rsidP="00FE7CEC">
      <w:pPr>
        <w:rPr>
          <w:rFonts w:ascii="Times New Roman" w:hAnsi="Times New Roman" w:cs="Times New Roman"/>
          <w:i/>
          <w:noProof/>
          <w:sz w:val="24"/>
          <w:szCs w:val="24"/>
        </w:rPr>
      </w:pPr>
      <w:r w:rsidRPr="009B5734">
        <w:rPr>
          <w:rFonts w:ascii="Times New Roman" w:hAnsi="Times New Roman" w:cs="Times New Roman"/>
          <w:i/>
          <w:noProof/>
          <w:sz w:val="24"/>
          <w:szCs w:val="24"/>
        </w:rPr>
        <w:t xml:space="preserve">Problem 2.1.: CBA of the various options (present value (@4%) at prices of 2019, millions of euros) </w:t>
      </w:r>
    </w:p>
    <w:p w:rsidR="00FE7CEC" w:rsidRPr="009B5734" w:rsidRDefault="00FE7CEC" w:rsidP="00FE7CEC">
      <w:pPr>
        <w:ind w:left="0" w:firstLine="0"/>
        <w:rPr>
          <w:rFonts w:ascii="Times New Roman" w:hAnsi="Times New Roman" w:cs="Times New Roman"/>
          <w:b/>
          <w:noProof/>
          <w:sz w:val="24"/>
          <w:szCs w:val="24"/>
        </w:rPr>
      </w:pPr>
    </w:p>
    <w:tbl>
      <w:tblPr>
        <w:tblW w:w="6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2"/>
        <w:gridCol w:w="1706"/>
        <w:gridCol w:w="1707"/>
      </w:tblGrid>
      <w:tr w:rsidR="00FE7CEC" w:rsidRPr="009B5734" w:rsidTr="70D97C89">
        <w:trPr>
          <w:trHeight w:val="288"/>
          <w:jc w:val="center"/>
        </w:trPr>
        <w:tc>
          <w:tcPr>
            <w:tcW w:w="3392" w:type="dxa"/>
            <w:shd w:val="clear" w:color="auto" w:fill="5B9BD5"/>
            <w:tcMar>
              <w:top w:w="0" w:type="dxa"/>
              <w:left w:w="108" w:type="dxa"/>
              <w:bottom w:w="0" w:type="dxa"/>
              <w:right w:w="108" w:type="dxa"/>
            </w:tcMar>
          </w:tcPr>
          <w:p w:rsidR="00FE7CEC" w:rsidRPr="009B5734" w:rsidRDefault="00FE7CEC" w:rsidP="003665DD">
            <w:pPr>
              <w:spacing w:before="120" w:after="120"/>
              <w:jc w:val="center"/>
              <w:rPr>
                <w:rFonts w:ascii="Times New Roman" w:hAnsi="Times New Roman" w:cs="Times New Roman"/>
                <w:b/>
                <w:bCs/>
                <w:noProof/>
                <w:color w:val="FFFFFF"/>
                <w:sz w:val="20"/>
                <w:szCs w:val="20"/>
              </w:rPr>
            </w:pPr>
          </w:p>
        </w:tc>
        <w:tc>
          <w:tcPr>
            <w:tcW w:w="3413" w:type="dxa"/>
            <w:gridSpan w:val="2"/>
            <w:shd w:val="clear" w:color="auto" w:fill="5B9BD5"/>
            <w:noWrap/>
            <w:tcMar>
              <w:top w:w="0" w:type="dxa"/>
              <w:left w:w="108" w:type="dxa"/>
              <w:bottom w:w="0" w:type="dxa"/>
              <w:right w:w="108" w:type="dxa"/>
            </w:tcMar>
            <w:vAlign w:val="center"/>
          </w:tcPr>
          <w:p w:rsidR="00FE7CEC" w:rsidRPr="009B5734" w:rsidRDefault="00FE7CEC" w:rsidP="003665DD">
            <w:pPr>
              <w:spacing w:before="120" w:after="120"/>
              <w:jc w:val="center"/>
              <w:rPr>
                <w:rFonts w:ascii="Times New Roman" w:hAnsi="Times New Roman" w:cs="Times New Roman"/>
                <w:b/>
                <w:bCs/>
                <w:noProof/>
                <w:color w:val="FFFFFF"/>
                <w:sz w:val="20"/>
                <w:szCs w:val="20"/>
              </w:rPr>
            </w:pPr>
            <w:r w:rsidRPr="009B5734">
              <w:rPr>
                <w:rFonts w:ascii="Times New Roman" w:hAnsi="Times New Roman" w:cs="Times New Roman"/>
                <w:b/>
                <w:bCs/>
                <w:noProof/>
                <w:color w:val="FFFFFF"/>
                <w:sz w:val="20"/>
                <w:szCs w:val="20"/>
              </w:rPr>
              <w:t>Average  ± One Standard deviation</w:t>
            </w:r>
          </w:p>
        </w:tc>
      </w:tr>
      <w:tr w:rsidR="00FE7CEC" w:rsidRPr="009B5734" w:rsidTr="00C84A99">
        <w:trPr>
          <w:trHeight w:val="288"/>
          <w:jc w:val="center"/>
        </w:trPr>
        <w:tc>
          <w:tcPr>
            <w:tcW w:w="3392" w:type="dxa"/>
            <w:tcBorders>
              <w:top w:val="single" w:sz="4" w:space="0" w:color="auto"/>
              <w:left w:val="single" w:sz="4" w:space="0" w:color="auto"/>
              <w:bottom w:val="single" w:sz="4" w:space="0" w:color="auto"/>
              <w:right w:val="single" w:sz="4" w:space="0" w:color="auto"/>
            </w:tcBorders>
            <w:shd w:val="clear" w:color="auto" w:fill="5B9BD5"/>
            <w:tcMar>
              <w:top w:w="0" w:type="dxa"/>
              <w:left w:w="108" w:type="dxa"/>
              <w:bottom w:w="0" w:type="dxa"/>
              <w:right w:w="108" w:type="dxa"/>
            </w:tcMar>
            <w:hideMark/>
          </w:tcPr>
          <w:p w:rsidR="00FE7CEC" w:rsidRPr="009B5734" w:rsidRDefault="00FE7CEC" w:rsidP="003665DD">
            <w:pPr>
              <w:spacing w:before="120" w:after="120"/>
              <w:jc w:val="center"/>
              <w:rPr>
                <w:rFonts w:ascii="Times New Roman" w:hAnsi="Times New Roman" w:cs="Times New Roman"/>
                <w:b/>
                <w:bCs/>
                <w:noProof/>
                <w:color w:val="FFFFFF"/>
                <w:sz w:val="20"/>
                <w:szCs w:val="20"/>
              </w:rPr>
            </w:pPr>
          </w:p>
        </w:tc>
        <w:tc>
          <w:tcPr>
            <w:tcW w:w="1706" w:type="dxa"/>
            <w:tcBorders>
              <w:top w:val="single" w:sz="4" w:space="0" w:color="auto"/>
              <w:left w:val="single" w:sz="4" w:space="0" w:color="auto"/>
              <w:bottom w:val="single" w:sz="4" w:space="0" w:color="auto"/>
              <w:right w:val="single" w:sz="4" w:space="0" w:color="auto"/>
            </w:tcBorders>
            <w:shd w:val="clear" w:color="auto" w:fill="5B9BD5"/>
            <w:noWrap/>
            <w:tcMar>
              <w:top w:w="0" w:type="dxa"/>
              <w:left w:w="108" w:type="dxa"/>
              <w:bottom w:w="0" w:type="dxa"/>
              <w:right w:w="108" w:type="dxa"/>
            </w:tcMar>
            <w:vAlign w:val="center"/>
            <w:hideMark/>
          </w:tcPr>
          <w:p w:rsidR="00FE7CEC" w:rsidRPr="009B5734" w:rsidRDefault="00FE7CEC" w:rsidP="003665DD">
            <w:pPr>
              <w:spacing w:before="120" w:after="120"/>
              <w:jc w:val="center"/>
              <w:rPr>
                <w:rFonts w:ascii="Times New Roman" w:hAnsi="Times New Roman" w:cs="Times New Roman"/>
                <w:b/>
                <w:bCs/>
                <w:noProof/>
                <w:color w:val="FFFFFF"/>
                <w:sz w:val="20"/>
                <w:szCs w:val="20"/>
              </w:rPr>
            </w:pPr>
            <w:r w:rsidRPr="009B5734">
              <w:rPr>
                <w:rFonts w:ascii="Times New Roman" w:hAnsi="Times New Roman" w:cs="Times New Roman"/>
                <w:b/>
                <w:bCs/>
                <w:noProof/>
                <w:color w:val="FFFFFF"/>
                <w:sz w:val="20"/>
                <w:szCs w:val="20"/>
              </w:rPr>
              <w:t>2.1.A</w:t>
            </w:r>
          </w:p>
        </w:tc>
        <w:tc>
          <w:tcPr>
            <w:tcW w:w="1707" w:type="dxa"/>
            <w:tcBorders>
              <w:top w:val="single" w:sz="4" w:space="0" w:color="auto"/>
              <w:left w:val="single" w:sz="4" w:space="0" w:color="auto"/>
              <w:bottom w:val="single" w:sz="4" w:space="0" w:color="auto"/>
              <w:right w:val="single" w:sz="4" w:space="0" w:color="auto"/>
            </w:tcBorders>
            <w:shd w:val="clear" w:color="auto" w:fill="5B9BD5"/>
            <w:vAlign w:val="center"/>
          </w:tcPr>
          <w:p w:rsidR="00FE7CEC" w:rsidRPr="009B5734" w:rsidRDefault="00FE7CEC" w:rsidP="003665DD">
            <w:pPr>
              <w:spacing w:before="120" w:after="120"/>
              <w:jc w:val="center"/>
              <w:rPr>
                <w:rFonts w:ascii="Times New Roman" w:hAnsi="Times New Roman" w:cs="Times New Roman"/>
                <w:b/>
                <w:bCs/>
                <w:noProof/>
                <w:color w:val="FFFFFF"/>
                <w:sz w:val="20"/>
                <w:szCs w:val="20"/>
              </w:rPr>
            </w:pPr>
            <w:r w:rsidRPr="009B5734">
              <w:rPr>
                <w:rFonts w:ascii="Times New Roman" w:hAnsi="Times New Roman" w:cs="Times New Roman"/>
                <w:b/>
                <w:bCs/>
                <w:noProof/>
                <w:color w:val="FFFFFF"/>
                <w:sz w:val="20"/>
                <w:szCs w:val="20"/>
              </w:rPr>
              <w:t>2.1.B</w:t>
            </w:r>
          </w:p>
        </w:tc>
      </w:tr>
      <w:tr w:rsidR="00FE7CEC" w:rsidRPr="009B5734" w:rsidTr="00C84A99">
        <w:trPr>
          <w:trHeight w:val="288"/>
          <w:jc w:val="center"/>
        </w:trPr>
        <w:tc>
          <w:tcPr>
            <w:tcW w:w="3392" w:type="dxa"/>
            <w:tcBorders>
              <w:top w:val="single" w:sz="4" w:space="0" w:color="auto"/>
              <w:left w:val="single" w:sz="4" w:space="0" w:color="auto"/>
              <w:bottom w:val="single" w:sz="4" w:space="0" w:color="auto"/>
              <w:right w:val="single" w:sz="4" w:space="0" w:color="auto"/>
            </w:tcBorders>
            <w:shd w:val="clear" w:color="auto" w:fill="5B9BD5"/>
            <w:tcMar>
              <w:top w:w="0" w:type="dxa"/>
              <w:left w:w="108" w:type="dxa"/>
              <w:bottom w:w="0" w:type="dxa"/>
              <w:right w:w="108" w:type="dxa"/>
            </w:tcMar>
            <w:hideMark/>
          </w:tcPr>
          <w:p w:rsidR="00FE7CEC" w:rsidRPr="009B5734" w:rsidRDefault="00FE7CEC" w:rsidP="003665DD">
            <w:pPr>
              <w:spacing w:before="120" w:after="120"/>
              <w:jc w:val="center"/>
              <w:rPr>
                <w:rFonts w:ascii="Times New Roman" w:hAnsi="Times New Roman" w:cs="Times New Roman"/>
                <w:b/>
                <w:bCs/>
                <w:noProof/>
                <w:color w:val="FFFFFF"/>
                <w:sz w:val="20"/>
                <w:szCs w:val="20"/>
              </w:rPr>
            </w:pPr>
            <w:r w:rsidRPr="009B5734">
              <w:rPr>
                <w:rFonts w:ascii="Times New Roman" w:hAnsi="Times New Roman" w:cs="Times New Roman"/>
                <w:b/>
                <w:bCs/>
                <w:noProof/>
                <w:color w:val="FFFFFF"/>
                <w:sz w:val="20"/>
                <w:szCs w:val="20"/>
              </w:rPr>
              <w:t>2025 - 2040</w:t>
            </w:r>
          </w:p>
        </w:tc>
        <w:tc>
          <w:tcPr>
            <w:tcW w:w="1706" w:type="dxa"/>
            <w:tcBorders>
              <w:top w:val="single" w:sz="4" w:space="0" w:color="auto"/>
              <w:left w:val="single" w:sz="4" w:space="0" w:color="auto"/>
              <w:bottom w:val="single" w:sz="4" w:space="0" w:color="auto"/>
              <w:right w:val="single" w:sz="4" w:space="0" w:color="auto"/>
            </w:tcBorders>
            <w:shd w:val="clear" w:color="auto" w:fill="BDD6EE"/>
            <w:noWrap/>
            <w:tcMar>
              <w:top w:w="0" w:type="dxa"/>
              <w:left w:w="108" w:type="dxa"/>
              <w:bottom w:w="0" w:type="dxa"/>
              <w:right w:w="108" w:type="dxa"/>
            </w:tcMar>
            <w:vAlign w:val="center"/>
          </w:tcPr>
          <w:p w:rsidR="00FE7CEC" w:rsidRPr="009B5734" w:rsidRDefault="00FE7CEC" w:rsidP="003665DD">
            <w:pPr>
              <w:spacing w:before="120" w:after="120"/>
              <w:rPr>
                <w:rFonts w:ascii="Times New Roman" w:hAnsi="Times New Roman" w:cs="Times New Roman"/>
                <w:noProof/>
                <w:color w:val="000000"/>
                <w:sz w:val="20"/>
                <w:szCs w:val="20"/>
              </w:rPr>
            </w:pPr>
            <w:r w:rsidRPr="009B5734">
              <w:rPr>
                <w:rFonts w:ascii="Times New Roman" w:hAnsi="Times New Roman" w:cs="Times New Roman"/>
                <w:noProof/>
                <w:color w:val="000000"/>
                <w:sz w:val="20"/>
                <w:szCs w:val="20"/>
              </w:rPr>
              <w:t>134 ± 50</w:t>
            </w:r>
          </w:p>
        </w:tc>
        <w:tc>
          <w:tcPr>
            <w:tcW w:w="1707" w:type="dxa"/>
            <w:tcBorders>
              <w:top w:val="single" w:sz="4" w:space="0" w:color="auto"/>
              <w:left w:val="single" w:sz="4" w:space="0" w:color="auto"/>
              <w:bottom w:val="single" w:sz="4" w:space="0" w:color="auto"/>
              <w:right w:val="single" w:sz="4" w:space="0" w:color="auto"/>
            </w:tcBorders>
            <w:shd w:val="clear" w:color="auto" w:fill="BDD6EE"/>
            <w:vAlign w:val="center"/>
          </w:tcPr>
          <w:p w:rsidR="00FE7CEC" w:rsidRPr="009B5734" w:rsidRDefault="00FE7CEC" w:rsidP="003665DD">
            <w:pPr>
              <w:spacing w:before="120" w:after="120"/>
              <w:jc w:val="center"/>
              <w:rPr>
                <w:rFonts w:ascii="Times New Roman" w:hAnsi="Times New Roman" w:cs="Times New Roman"/>
                <w:noProof/>
                <w:color w:val="000000"/>
                <w:sz w:val="20"/>
                <w:szCs w:val="20"/>
              </w:rPr>
            </w:pPr>
            <w:r w:rsidRPr="009B5734">
              <w:rPr>
                <w:rFonts w:ascii="Times New Roman" w:hAnsi="Times New Roman" w:cs="Times New Roman"/>
                <w:noProof/>
                <w:color w:val="000000"/>
                <w:sz w:val="20"/>
                <w:szCs w:val="20"/>
              </w:rPr>
              <w:t>592 ± 310</w:t>
            </w:r>
          </w:p>
        </w:tc>
      </w:tr>
      <w:tr w:rsidR="00FE7CEC" w:rsidRPr="009B5734" w:rsidTr="00C84A99">
        <w:trPr>
          <w:trHeight w:val="288"/>
          <w:jc w:val="center"/>
        </w:trPr>
        <w:tc>
          <w:tcPr>
            <w:tcW w:w="3392" w:type="dxa"/>
            <w:tcBorders>
              <w:top w:val="single" w:sz="4" w:space="0" w:color="auto"/>
              <w:left w:val="single" w:sz="4" w:space="0" w:color="auto"/>
              <w:bottom w:val="single" w:sz="4" w:space="0" w:color="auto"/>
              <w:right w:val="single" w:sz="4" w:space="0" w:color="auto"/>
            </w:tcBorders>
            <w:shd w:val="clear" w:color="auto" w:fill="5B9BD5"/>
            <w:tcMar>
              <w:top w:w="0" w:type="dxa"/>
              <w:left w:w="108" w:type="dxa"/>
              <w:bottom w:w="0" w:type="dxa"/>
              <w:right w:w="108" w:type="dxa"/>
            </w:tcMar>
          </w:tcPr>
          <w:p w:rsidR="00FE7CEC" w:rsidRPr="009B5734" w:rsidRDefault="00FE7CEC" w:rsidP="003665DD">
            <w:pPr>
              <w:spacing w:before="120" w:after="120"/>
              <w:jc w:val="center"/>
              <w:rPr>
                <w:rFonts w:ascii="Times New Roman" w:hAnsi="Times New Roman" w:cs="Times New Roman"/>
                <w:b/>
                <w:bCs/>
                <w:noProof/>
                <w:color w:val="FFFFFF"/>
                <w:sz w:val="20"/>
                <w:szCs w:val="20"/>
              </w:rPr>
            </w:pPr>
            <w:r w:rsidRPr="009B5734">
              <w:rPr>
                <w:rFonts w:ascii="Times New Roman" w:hAnsi="Times New Roman" w:cs="Times New Roman"/>
                <w:b/>
                <w:bCs/>
                <w:noProof/>
                <w:color w:val="FFFFFF"/>
                <w:sz w:val="20"/>
                <w:szCs w:val="20"/>
              </w:rPr>
              <w:t>2025 - 2050</w:t>
            </w:r>
          </w:p>
        </w:tc>
        <w:tc>
          <w:tcPr>
            <w:tcW w:w="1706" w:type="dxa"/>
            <w:tcBorders>
              <w:top w:val="single" w:sz="4" w:space="0" w:color="auto"/>
              <w:left w:val="single" w:sz="4" w:space="0" w:color="auto"/>
              <w:bottom w:val="single" w:sz="4" w:space="0" w:color="auto"/>
              <w:right w:val="single" w:sz="4" w:space="0" w:color="auto"/>
            </w:tcBorders>
            <w:shd w:val="clear" w:color="auto" w:fill="BDD6EE"/>
            <w:noWrap/>
            <w:tcMar>
              <w:top w:w="0" w:type="dxa"/>
              <w:left w:w="108" w:type="dxa"/>
              <w:bottom w:w="0" w:type="dxa"/>
              <w:right w:w="108" w:type="dxa"/>
            </w:tcMar>
            <w:vAlign w:val="center"/>
          </w:tcPr>
          <w:p w:rsidR="00FE7CEC" w:rsidRPr="009B5734" w:rsidRDefault="00FE7CEC" w:rsidP="003665DD">
            <w:pPr>
              <w:spacing w:before="120" w:after="120"/>
              <w:rPr>
                <w:rFonts w:ascii="Times New Roman" w:hAnsi="Times New Roman" w:cs="Times New Roman"/>
                <w:noProof/>
                <w:color w:val="000000"/>
                <w:sz w:val="20"/>
                <w:szCs w:val="20"/>
              </w:rPr>
            </w:pPr>
            <w:r w:rsidRPr="009B5734">
              <w:rPr>
                <w:rFonts w:ascii="Times New Roman" w:hAnsi="Times New Roman" w:cs="Times New Roman"/>
                <w:noProof/>
                <w:color w:val="000000"/>
                <w:sz w:val="20"/>
                <w:szCs w:val="20"/>
              </w:rPr>
              <w:t>242 ± 74</w:t>
            </w:r>
          </w:p>
        </w:tc>
        <w:tc>
          <w:tcPr>
            <w:tcW w:w="1707" w:type="dxa"/>
            <w:tcBorders>
              <w:top w:val="single" w:sz="4" w:space="0" w:color="auto"/>
              <w:left w:val="single" w:sz="4" w:space="0" w:color="auto"/>
              <w:bottom w:val="single" w:sz="4" w:space="0" w:color="auto"/>
              <w:right w:val="single" w:sz="4" w:space="0" w:color="auto"/>
            </w:tcBorders>
            <w:shd w:val="clear" w:color="auto" w:fill="BDD6EE"/>
            <w:vAlign w:val="center"/>
          </w:tcPr>
          <w:p w:rsidR="00FE7CEC" w:rsidRPr="009B5734" w:rsidRDefault="00FE7CEC" w:rsidP="003665DD">
            <w:pPr>
              <w:spacing w:before="120" w:after="120"/>
              <w:jc w:val="center"/>
              <w:rPr>
                <w:rFonts w:ascii="Times New Roman" w:hAnsi="Times New Roman" w:cs="Times New Roman"/>
                <w:noProof/>
                <w:color w:val="000000"/>
                <w:sz w:val="20"/>
                <w:szCs w:val="20"/>
              </w:rPr>
            </w:pPr>
            <w:r w:rsidRPr="009B5734">
              <w:rPr>
                <w:rFonts w:ascii="Times New Roman" w:hAnsi="Times New Roman" w:cs="Times New Roman"/>
                <w:noProof/>
                <w:color w:val="000000"/>
                <w:sz w:val="20"/>
                <w:szCs w:val="20"/>
              </w:rPr>
              <w:t>1197 ± 450</w:t>
            </w:r>
          </w:p>
        </w:tc>
      </w:tr>
    </w:tbl>
    <w:p w:rsidR="00FE7CEC" w:rsidRPr="009B5734" w:rsidRDefault="00FE7CEC" w:rsidP="00EA45F9">
      <w:pPr>
        <w:pStyle w:val="ListParagraph"/>
        <w:ind w:left="792" w:firstLine="0"/>
        <w:rPr>
          <w:rFonts w:ascii="Times New Roman" w:hAnsi="Times New Roman"/>
          <w:b/>
          <w:noProof/>
          <w:color w:val="000000" w:themeColor="text1"/>
          <w:sz w:val="24"/>
        </w:rPr>
      </w:pPr>
    </w:p>
    <w:p w:rsidR="00EA45F9" w:rsidRPr="009B5734" w:rsidRDefault="00A00208" w:rsidP="00A00208">
      <w:pPr>
        <w:pStyle w:val="Heading4"/>
        <w:rPr>
          <w:noProof/>
          <w:color w:val="000000" w:themeColor="text1"/>
        </w:rPr>
      </w:pPr>
      <w:bookmarkStart w:id="779" w:name="_Sub-problem_2.2:_Greenwashing"/>
      <w:bookmarkStart w:id="780" w:name="_Ref60649618"/>
      <w:bookmarkEnd w:id="778"/>
      <w:bookmarkEnd w:id="779"/>
      <w:r w:rsidRPr="00A00208">
        <w:t>2.4.</w:t>
      </w:r>
      <w:r w:rsidRPr="00A00208">
        <w:tab/>
      </w:r>
      <w:r w:rsidR="00EA45F9" w:rsidRPr="009B5734">
        <w:rPr>
          <w:noProof/>
        </w:rPr>
        <w:t>Sub-problem 2.2: Greenwashing</w:t>
      </w:r>
      <w:bookmarkEnd w:id="780"/>
    </w:p>
    <w:p w:rsidR="00EA45F9" w:rsidRPr="009B5734" w:rsidRDefault="00EA45F9" w:rsidP="00EA45F9">
      <w:pPr>
        <w:rPr>
          <w:rFonts w:ascii="Times New Roman" w:hAnsi="Times New Roman"/>
          <w:b/>
          <w:noProof/>
          <w:sz w:val="24"/>
        </w:rPr>
      </w:pP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Three options were selected for analysis:</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 xml:space="preserve">- Option 2.2.A: Ban of general/vague environmental claims  </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 Option 2.2.B: Prohibition of environmental claims that do not fulfil a minimum set of criteria</w:t>
      </w:r>
    </w:p>
    <w:p w:rsidR="00EA45F9" w:rsidRPr="009B5734" w:rsidRDefault="00EA45F9" w:rsidP="00EA45F9">
      <w:pPr>
        <w:ind w:left="0" w:firstLine="0"/>
        <w:rPr>
          <w:rFonts w:ascii="Times New Roman" w:hAnsi="Times New Roman"/>
          <w:noProof/>
          <w:sz w:val="24"/>
        </w:rPr>
      </w:pPr>
      <w:r w:rsidRPr="009B5734">
        <w:rPr>
          <w:rFonts w:ascii="Times New Roman" w:hAnsi="Times New Roman"/>
          <w:noProof/>
          <w:sz w:val="24"/>
        </w:rPr>
        <w:t>- Option 2.2.C: Option 2.2A + 2.2B</w:t>
      </w:r>
    </w:p>
    <w:p w:rsidR="00EA45F9" w:rsidRPr="009B5734" w:rsidRDefault="00EA45F9" w:rsidP="00EA45F9">
      <w:pPr>
        <w:ind w:left="0" w:firstLine="0"/>
        <w:rPr>
          <w:rFonts w:ascii="Times New Roman" w:hAnsi="Times New Roman" w:cs="Times New Roman"/>
          <w:noProof/>
          <w:sz w:val="24"/>
          <w:szCs w:val="24"/>
        </w:rPr>
      </w:pPr>
    </w:p>
    <w:p w:rsidR="00EA45F9" w:rsidRPr="009B5734" w:rsidRDefault="00EA45F9" w:rsidP="00EA45F9">
      <w:pPr>
        <w:ind w:left="0" w:firstLine="0"/>
        <w:rPr>
          <w:rFonts w:ascii="Times New Roman" w:hAnsi="Times New Roman"/>
          <w:noProof/>
          <w:sz w:val="24"/>
        </w:rPr>
      </w:pPr>
      <w:r w:rsidRPr="009B5734">
        <w:rPr>
          <w:rFonts w:ascii="Times New Roman" w:hAnsi="Times New Roman" w:cs="Times New Roman"/>
          <w:noProof/>
          <w:sz w:val="24"/>
          <w:szCs w:val="24"/>
        </w:rPr>
        <w:t xml:space="preserve">The table below summarises the assessment of the baseline and of each option against each assessment criterion (the assessment of their impacts is described in detail in </w:t>
      </w:r>
      <w:hyperlink w:anchor="_Annex_8:_Impacts" w:history="1">
        <w:r w:rsidRPr="009B5734">
          <w:rPr>
            <w:rStyle w:val="Hyperlink"/>
            <w:rFonts w:ascii="Times New Roman" w:hAnsi="Times New Roman" w:cs="Times New Roman"/>
            <w:noProof/>
            <w:sz w:val="24"/>
            <w:szCs w:val="24"/>
          </w:rPr>
          <w:t>Annex 8</w:t>
        </w:r>
      </w:hyperlink>
      <w:r w:rsidRPr="009B5734">
        <w:rPr>
          <w:rFonts w:ascii="Times New Roman" w:hAnsi="Times New Roman" w:cs="Times New Roman"/>
          <w:noProof/>
          <w:sz w:val="24"/>
          <w:szCs w:val="24"/>
        </w:rPr>
        <w:t>).</w:t>
      </w:r>
    </w:p>
    <w:p w:rsidR="00EA45F9" w:rsidRPr="009B5734" w:rsidRDefault="00EA45F9" w:rsidP="00EA45F9">
      <w:pPr>
        <w:ind w:left="0" w:firstLine="0"/>
        <w:rPr>
          <w:rFonts w:ascii="Times New Roman" w:hAnsi="Times New Roman" w:cs="Times New Roman"/>
          <w:noProof/>
          <w:sz w:val="24"/>
          <w:szCs w:val="24"/>
        </w:rPr>
      </w:pP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comparison of the options using a multi-criteria analysis shows that in the default scenario where Effectiveness has a weight of 30 points, Efficiency 60 points and Coherence 10 points:</w:t>
      </w:r>
    </w:p>
    <w:p w:rsidR="00EA45F9" w:rsidRPr="009B5734" w:rsidRDefault="00EA45F9" w:rsidP="00EA45F9">
      <w:pPr>
        <w:ind w:left="0" w:firstLine="0"/>
        <w:rPr>
          <w:rFonts w:ascii="Times New Roman" w:hAnsi="Times New Roman"/>
          <w:noProof/>
          <w:sz w:val="24"/>
        </w:rPr>
      </w:pPr>
      <w:r w:rsidRPr="009B5734">
        <w:rPr>
          <w:rFonts w:ascii="Times New Roman" w:hAnsi="Times New Roman" w:cs="Times New Roman"/>
          <w:noProof/>
          <w:sz w:val="24"/>
          <w:szCs w:val="24"/>
        </w:rPr>
        <w:t>-</w:t>
      </w:r>
      <w:r w:rsidRPr="009B5734">
        <w:rPr>
          <w:rFonts w:ascii="Times New Roman" w:hAnsi="Times New Roman"/>
          <w:noProof/>
          <w:sz w:val="24"/>
        </w:rPr>
        <w:t xml:space="preserve"> All options rank higher than the baseline scenario</w:t>
      </w:r>
    </w:p>
    <w:p w:rsidR="00EA45F9" w:rsidRPr="009B5734" w:rsidRDefault="00EA45F9" w:rsidP="00EA45F9">
      <w:pPr>
        <w:ind w:left="0" w:firstLine="0"/>
        <w:rPr>
          <w:rFonts w:ascii="Times New Roman" w:hAnsi="Times New Roman"/>
          <w:noProof/>
          <w:sz w:val="24"/>
        </w:rPr>
      </w:pPr>
      <w:r w:rsidRPr="009B5734">
        <w:rPr>
          <w:rFonts w:ascii="Times New Roman" w:hAnsi="Times New Roman" w:cs="Times New Roman"/>
          <w:noProof/>
          <w:sz w:val="24"/>
          <w:szCs w:val="24"/>
        </w:rPr>
        <w:t>- Option C (2.2.C) ranks the highest, followed by Option A (2.2A), followed by Option B (2.2B), and followed by the baseline.</w:t>
      </w:r>
    </w:p>
    <w:p w:rsidR="00EA45F9" w:rsidRPr="009B5734" w:rsidRDefault="00EA45F9" w:rsidP="00EA45F9">
      <w:pPr>
        <w:ind w:left="0" w:firstLine="0"/>
        <w:rPr>
          <w:rFonts w:ascii="Times New Roman" w:hAnsi="Times New Roman" w:cs="Times New Roman"/>
          <w:noProof/>
          <w:sz w:val="24"/>
          <w:szCs w:val="24"/>
        </w:rPr>
      </w:pP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results of the sensitivity analysis show that the ranking of options remains unchanged for all 8 of the scenarios considered. The final scores for each scenario and for all possible option ranking are presented in the table below.</w:t>
      </w:r>
    </w:p>
    <w:p w:rsidR="00EA45F9" w:rsidRPr="009B5734" w:rsidRDefault="00EA45F9" w:rsidP="00EA45F9">
      <w:pPr>
        <w:rPr>
          <w:rFonts w:ascii="Times New Roman" w:hAnsi="Times New Roman"/>
          <w:b/>
          <w:noProof/>
          <w:sz w:val="24"/>
        </w:rPr>
      </w:pPr>
    </w:p>
    <w:p w:rsidR="00EA45F9" w:rsidRPr="009B5734" w:rsidRDefault="00EA45F9" w:rsidP="00EA45F9">
      <w:pPr>
        <w:ind w:left="0" w:firstLine="0"/>
        <w:rPr>
          <w:rFonts w:ascii="Times New Roman" w:hAnsi="Times New Roman" w:cs="Times New Roman"/>
          <w:b/>
          <w:noProof/>
          <w:sz w:val="24"/>
          <w:szCs w:val="24"/>
        </w:rPr>
      </w:pPr>
      <w:r w:rsidRPr="009B5734">
        <w:rPr>
          <w:rFonts w:ascii="Times New Roman" w:hAnsi="Times New Roman" w:cs="Times New Roman"/>
          <w:b/>
          <w:noProof/>
          <w:sz w:val="24"/>
          <w:szCs w:val="24"/>
        </w:rPr>
        <w:t>Results of the sensitivity analysis for the options for Sub-Problem 2.2</w:t>
      </w:r>
    </w:p>
    <w:p w:rsidR="00EA45F9" w:rsidRPr="009B5734" w:rsidRDefault="00EA45F9" w:rsidP="00EA45F9">
      <w:pPr>
        <w:ind w:left="0" w:firstLine="0"/>
        <w:rPr>
          <w:rFonts w:ascii="Times New Roman" w:hAnsi="Times New Roman" w:cs="Times New Roman"/>
          <w:b/>
          <w:noProof/>
          <w:sz w:val="24"/>
          <w:szCs w:val="24"/>
        </w:rPr>
      </w:pPr>
    </w:p>
    <w:tbl>
      <w:tblPr>
        <w:tblW w:w="14023" w:type="dxa"/>
        <w:jc w:val="center"/>
        <w:tblLook w:val="04A0" w:firstRow="1" w:lastRow="0" w:firstColumn="1" w:lastColumn="0" w:noHBand="0" w:noVBand="1"/>
      </w:tblPr>
      <w:tblGrid>
        <w:gridCol w:w="1139"/>
        <w:gridCol w:w="1592"/>
        <w:gridCol w:w="1547"/>
        <w:gridCol w:w="1591"/>
        <w:gridCol w:w="1591"/>
        <w:gridCol w:w="1591"/>
        <w:gridCol w:w="1591"/>
        <w:gridCol w:w="1496"/>
        <w:gridCol w:w="1885"/>
      </w:tblGrid>
      <w:tr w:rsidR="00EA45F9" w:rsidRPr="009B5734" w:rsidTr="00C84A99">
        <w:trPr>
          <w:trHeight w:val="624"/>
          <w:jc w:val="center"/>
        </w:trPr>
        <w:tc>
          <w:tcPr>
            <w:tcW w:w="1139" w:type="dxa"/>
            <w:tcBorders>
              <w:top w:val="single" w:sz="4" w:space="0" w:color="auto"/>
              <w:left w:val="single" w:sz="4" w:space="0" w:color="auto"/>
              <w:bottom w:val="nil"/>
              <w:right w:val="single" w:sz="4" w:space="0" w:color="auto"/>
            </w:tcBorders>
            <w:shd w:val="clear" w:color="auto" w:fill="002395"/>
            <w:hideMark/>
          </w:tcPr>
          <w:p w:rsidR="00EA45F9" w:rsidRPr="009B5734" w:rsidRDefault="00EA45F9" w:rsidP="00981615">
            <w:pPr>
              <w:rPr>
                <w:rFonts w:ascii="Calibri" w:hAnsi="Calibri" w:cs="Calibri"/>
                <w:b/>
                <w:bCs/>
                <w:noProof/>
                <w:color w:val="FFFFFF"/>
                <w:sz w:val="18"/>
                <w:szCs w:val="18"/>
              </w:rPr>
            </w:pPr>
            <w:r w:rsidRPr="009B5734">
              <w:rPr>
                <w:rFonts w:ascii="Calibri" w:hAnsi="Calibri" w:cs="Calibri"/>
                <w:b/>
                <w:bCs/>
                <w:noProof/>
                <w:color w:val="FFFFFF"/>
                <w:sz w:val="18"/>
                <w:szCs w:val="18"/>
              </w:rPr>
              <w:t>Ranking of options</w:t>
            </w:r>
          </w:p>
        </w:tc>
        <w:tc>
          <w:tcPr>
            <w:tcW w:w="1592" w:type="dxa"/>
            <w:tcBorders>
              <w:top w:val="single" w:sz="4" w:space="0" w:color="auto"/>
              <w:left w:val="nil"/>
              <w:bottom w:val="nil"/>
              <w:right w:val="single" w:sz="4" w:space="0" w:color="auto"/>
            </w:tcBorders>
            <w:shd w:val="clear" w:color="auto" w:fill="002395"/>
            <w:hideMark/>
          </w:tcPr>
          <w:p w:rsidR="00EA45F9" w:rsidRPr="009B5734" w:rsidRDefault="00EA45F9" w:rsidP="00981615">
            <w:pPr>
              <w:jc w:val="center"/>
              <w:rPr>
                <w:rFonts w:ascii="Calibri" w:hAnsi="Calibri" w:cs="Calibri"/>
                <w:b/>
                <w:bCs/>
                <w:noProof/>
                <w:color w:val="FFFFFF"/>
                <w:sz w:val="18"/>
                <w:szCs w:val="18"/>
              </w:rPr>
            </w:pPr>
            <w:r w:rsidRPr="009B5734">
              <w:rPr>
                <w:rFonts w:ascii="Calibri" w:hAnsi="Calibri" w:cs="Calibri"/>
                <w:b/>
                <w:bCs/>
                <w:noProof/>
                <w:color w:val="FFFFFF"/>
                <w:sz w:val="18"/>
                <w:szCs w:val="18"/>
              </w:rPr>
              <w:t>Default: Effectiveness 30%, Efficiency 60% and Coherence 10%</w:t>
            </w:r>
          </w:p>
        </w:tc>
        <w:tc>
          <w:tcPr>
            <w:tcW w:w="1547" w:type="dxa"/>
            <w:tcBorders>
              <w:top w:val="single" w:sz="4" w:space="0" w:color="auto"/>
              <w:left w:val="nil"/>
              <w:bottom w:val="nil"/>
              <w:right w:val="single" w:sz="4" w:space="0" w:color="auto"/>
            </w:tcBorders>
            <w:shd w:val="clear" w:color="auto" w:fill="002395"/>
            <w:hideMark/>
          </w:tcPr>
          <w:p w:rsidR="00EA45F9" w:rsidRPr="009B5734" w:rsidRDefault="00EA45F9" w:rsidP="00981615">
            <w:pPr>
              <w:jc w:val="center"/>
              <w:rPr>
                <w:rFonts w:ascii="Calibri" w:hAnsi="Calibri" w:cs="Calibri"/>
                <w:b/>
                <w:bCs/>
                <w:noProof/>
                <w:color w:val="FFFFFF"/>
                <w:sz w:val="18"/>
                <w:szCs w:val="18"/>
              </w:rPr>
            </w:pPr>
            <w:r w:rsidRPr="009B5734">
              <w:rPr>
                <w:rFonts w:ascii="Calibri" w:hAnsi="Calibri" w:cs="Calibri"/>
                <w:b/>
                <w:bCs/>
                <w:noProof/>
                <w:color w:val="FFFFFF"/>
                <w:sz w:val="18"/>
                <w:szCs w:val="18"/>
              </w:rPr>
              <w:t>Effectiveness 1/3, Efficiency 1/3 and Coherence 1/3</w:t>
            </w:r>
          </w:p>
        </w:tc>
        <w:tc>
          <w:tcPr>
            <w:tcW w:w="1591" w:type="dxa"/>
            <w:tcBorders>
              <w:top w:val="single" w:sz="4" w:space="0" w:color="auto"/>
              <w:left w:val="nil"/>
              <w:bottom w:val="nil"/>
              <w:right w:val="single" w:sz="4" w:space="0" w:color="auto"/>
            </w:tcBorders>
            <w:shd w:val="clear" w:color="auto" w:fill="002395"/>
            <w:hideMark/>
          </w:tcPr>
          <w:p w:rsidR="00EA45F9" w:rsidRPr="009B5734" w:rsidRDefault="00EA45F9" w:rsidP="00981615">
            <w:pPr>
              <w:jc w:val="center"/>
              <w:rPr>
                <w:rFonts w:ascii="Calibri" w:hAnsi="Calibri" w:cs="Calibri"/>
                <w:b/>
                <w:bCs/>
                <w:noProof/>
                <w:color w:val="FFFFFF"/>
                <w:sz w:val="18"/>
                <w:szCs w:val="18"/>
              </w:rPr>
            </w:pPr>
            <w:r w:rsidRPr="009B5734">
              <w:rPr>
                <w:rFonts w:ascii="Calibri" w:hAnsi="Calibri" w:cs="Calibri"/>
                <w:b/>
                <w:bCs/>
                <w:noProof/>
                <w:color w:val="FFFFFF"/>
                <w:sz w:val="18"/>
                <w:szCs w:val="18"/>
              </w:rPr>
              <w:t>Effectiveness 45%, Efficiency 45% and Coherence 10%</w:t>
            </w:r>
          </w:p>
        </w:tc>
        <w:tc>
          <w:tcPr>
            <w:tcW w:w="1591" w:type="dxa"/>
            <w:tcBorders>
              <w:top w:val="single" w:sz="4" w:space="0" w:color="auto"/>
              <w:left w:val="nil"/>
              <w:bottom w:val="nil"/>
              <w:right w:val="single" w:sz="4" w:space="0" w:color="auto"/>
            </w:tcBorders>
            <w:shd w:val="clear" w:color="auto" w:fill="002395"/>
            <w:hideMark/>
          </w:tcPr>
          <w:p w:rsidR="00EA45F9" w:rsidRPr="009B5734" w:rsidRDefault="00EA45F9" w:rsidP="00981615">
            <w:pPr>
              <w:jc w:val="center"/>
              <w:rPr>
                <w:rFonts w:ascii="Calibri" w:hAnsi="Calibri" w:cs="Calibri"/>
                <w:b/>
                <w:bCs/>
                <w:noProof/>
                <w:color w:val="FFFFFF"/>
                <w:sz w:val="18"/>
                <w:szCs w:val="18"/>
              </w:rPr>
            </w:pPr>
            <w:r w:rsidRPr="009B5734">
              <w:rPr>
                <w:rFonts w:ascii="Calibri" w:hAnsi="Calibri" w:cs="Calibri"/>
                <w:b/>
                <w:bCs/>
                <w:noProof/>
                <w:color w:val="FFFFFF"/>
                <w:sz w:val="18"/>
                <w:szCs w:val="18"/>
              </w:rPr>
              <w:t>Effectiveness 20%, Efficiency 70% and Coherence 10%</w:t>
            </w:r>
          </w:p>
        </w:tc>
        <w:tc>
          <w:tcPr>
            <w:tcW w:w="1591" w:type="dxa"/>
            <w:tcBorders>
              <w:top w:val="single" w:sz="4" w:space="0" w:color="auto"/>
              <w:left w:val="nil"/>
              <w:bottom w:val="nil"/>
              <w:right w:val="single" w:sz="4" w:space="0" w:color="auto"/>
            </w:tcBorders>
            <w:shd w:val="clear" w:color="auto" w:fill="002395"/>
            <w:hideMark/>
          </w:tcPr>
          <w:p w:rsidR="00EA45F9" w:rsidRPr="009B5734" w:rsidRDefault="00EA45F9" w:rsidP="00981615">
            <w:pPr>
              <w:jc w:val="center"/>
              <w:rPr>
                <w:rFonts w:ascii="Calibri" w:hAnsi="Calibri" w:cs="Calibri"/>
                <w:b/>
                <w:bCs/>
                <w:noProof/>
                <w:color w:val="FFFFFF"/>
                <w:sz w:val="18"/>
                <w:szCs w:val="18"/>
              </w:rPr>
            </w:pPr>
            <w:r w:rsidRPr="009B5734">
              <w:rPr>
                <w:rFonts w:ascii="Calibri" w:hAnsi="Calibri" w:cs="Calibri"/>
                <w:b/>
                <w:bCs/>
                <w:noProof/>
                <w:color w:val="FFFFFF"/>
                <w:sz w:val="18"/>
                <w:szCs w:val="18"/>
              </w:rPr>
              <w:t>Effectiveness 10%, Efficiency 80% and Coherence 10%</w:t>
            </w:r>
          </w:p>
        </w:tc>
        <w:tc>
          <w:tcPr>
            <w:tcW w:w="1591" w:type="dxa"/>
            <w:tcBorders>
              <w:top w:val="single" w:sz="4" w:space="0" w:color="auto"/>
              <w:left w:val="nil"/>
              <w:bottom w:val="nil"/>
              <w:right w:val="single" w:sz="4" w:space="0" w:color="auto"/>
            </w:tcBorders>
            <w:shd w:val="clear" w:color="auto" w:fill="002395"/>
            <w:hideMark/>
          </w:tcPr>
          <w:p w:rsidR="00EA45F9" w:rsidRPr="009B5734" w:rsidRDefault="00EA45F9" w:rsidP="00981615">
            <w:pPr>
              <w:jc w:val="center"/>
              <w:rPr>
                <w:rFonts w:ascii="Calibri" w:hAnsi="Calibri" w:cs="Calibri"/>
                <w:b/>
                <w:bCs/>
                <w:noProof/>
                <w:color w:val="FFFFFF"/>
                <w:sz w:val="18"/>
                <w:szCs w:val="18"/>
              </w:rPr>
            </w:pPr>
            <w:r w:rsidRPr="009B5734">
              <w:rPr>
                <w:rFonts w:ascii="Calibri" w:hAnsi="Calibri" w:cs="Calibri"/>
                <w:b/>
                <w:bCs/>
                <w:noProof/>
                <w:color w:val="FFFFFF"/>
                <w:sz w:val="18"/>
                <w:szCs w:val="18"/>
              </w:rPr>
              <w:t>Effectiveness 0%, Efficiency 90% and Coherence 10%</w:t>
            </w:r>
          </w:p>
        </w:tc>
        <w:tc>
          <w:tcPr>
            <w:tcW w:w="1496" w:type="dxa"/>
            <w:tcBorders>
              <w:top w:val="single" w:sz="4" w:space="0" w:color="auto"/>
              <w:left w:val="nil"/>
              <w:bottom w:val="nil"/>
              <w:right w:val="single" w:sz="4" w:space="0" w:color="auto"/>
            </w:tcBorders>
            <w:shd w:val="clear" w:color="auto" w:fill="002395"/>
            <w:hideMark/>
          </w:tcPr>
          <w:p w:rsidR="00EA45F9" w:rsidRPr="009B5734" w:rsidRDefault="00EA45F9" w:rsidP="00981615">
            <w:pPr>
              <w:jc w:val="center"/>
              <w:rPr>
                <w:rFonts w:ascii="Calibri" w:hAnsi="Calibri" w:cs="Calibri"/>
                <w:b/>
                <w:bCs/>
                <w:noProof/>
                <w:color w:val="FFFFFF"/>
                <w:sz w:val="18"/>
                <w:szCs w:val="18"/>
              </w:rPr>
            </w:pPr>
            <w:r w:rsidRPr="009B5734">
              <w:rPr>
                <w:rFonts w:ascii="Calibri" w:hAnsi="Calibri" w:cs="Calibri"/>
                <w:b/>
                <w:bCs/>
                <w:noProof/>
                <w:color w:val="FFFFFF"/>
                <w:sz w:val="18"/>
                <w:szCs w:val="18"/>
              </w:rPr>
              <w:t>Experts</w:t>
            </w:r>
          </w:p>
        </w:tc>
        <w:tc>
          <w:tcPr>
            <w:tcW w:w="1885" w:type="dxa"/>
            <w:tcBorders>
              <w:top w:val="single" w:sz="4" w:space="0" w:color="auto"/>
              <w:left w:val="nil"/>
              <w:bottom w:val="nil"/>
              <w:right w:val="single" w:sz="4" w:space="0" w:color="auto"/>
            </w:tcBorders>
            <w:shd w:val="clear" w:color="auto" w:fill="002395"/>
            <w:hideMark/>
          </w:tcPr>
          <w:p w:rsidR="00EA45F9" w:rsidRPr="009B5734" w:rsidRDefault="00EA45F9" w:rsidP="00981615">
            <w:pPr>
              <w:jc w:val="center"/>
              <w:rPr>
                <w:rFonts w:ascii="Calibri" w:hAnsi="Calibri" w:cs="Calibri"/>
                <w:b/>
                <w:bCs/>
                <w:noProof/>
                <w:color w:val="FFFFFF"/>
                <w:sz w:val="18"/>
                <w:szCs w:val="18"/>
              </w:rPr>
            </w:pPr>
            <w:r w:rsidRPr="009B5734">
              <w:rPr>
                <w:rFonts w:ascii="Arial" w:hAnsi="Arial" w:cs="Arial"/>
                <w:b/>
                <w:bCs/>
                <w:noProof/>
                <w:color w:val="FFFFFF"/>
                <w:sz w:val="16"/>
                <w:szCs w:val="16"/>
              </w:rPr>
              <w:t>Worst-case scenario: Efficiency 100% (of which 60% allocated to costs and 40% to benefits)</w:t>
            </w:r>
          </w:p>
        </w:tc>
      </w:tr>
      <w:tr w:rsidR="00EA45F9" w:rsidRPr="009B5734" w:rsidTr="00C84A99">
        <w:trPr>
          <w:trHeight w:val="288"/>
          <w:jc w:val="center"/>
        </w:trPr>
        <w:tc>
          <w:tcPr>
            <w:tcW w:w="11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rPr>
                <w:rFonts w:ascii="Calibri" w:hAnsi="Calibri" w:cs="Calibri"/>
                <w:noProof/>
                <w:color w:val="000000"/>
              </w:rPr>
            </w:pPr>
            <w:r w:rsidRPr="009B5734">
              <w:rPr>
                <w:rFonts w:ascii="Calibri" w:hAnsi="Calibri" w:cs="Calibri"/>
                <w:noProof/>
                <w:color w:val="000000"/>
              </w:rPr>
              <w:t>0ABC</w:t>
            </w:r>
          </w:p>
        </w:tc>
        <w:tc>
          <w:tcPr>
            <w:tcW w:w="159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72</w:t>
            </w:r>
          </w:p>
        </w:tc>
        <w:tc>
          <w:tcPr>
            <w:tcW w:w="154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43</w:t>
            </w:r>
          </w:p>
        </w:tc>
        <w:tc>
          <w:tcPr>
            <w:tcW w:w="159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58</w:t>
            </w:r>
          </w:p>
        </w:tc>
        <w:tc>
          <w:tcPr>
            <w:tcW w:w="159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81</w:t>
            </w:r>
          </w:p>
        </w:tc>
        <w:tc>
          <w:tcPr>
            <w:tcW w:w="159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91</w:t>
            </w:r>
          </w:p>
        </w:tc>
        <w:tc>
          <w:tcPr>
            <w:tcW w:w="159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100</w:t>
            </w:r>
          </w:p>
        </w:tc>
        <w:tc>
          <w:tcPr>
            <w:tcW w:w="1496"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80</w:t>
            </w:r>
          </w:p>
        </w:tc>
        <w:tc>
          <w:tcPr>
            <w:tcW w:w="1885"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116</w:t>
            </w:r>
          </w:p>
        </w:tc>
      </w:tr>
      <w:tr w:rsidR="00EA45F9" w:rsidRPr="009B5734" w:rsidTr="00C84A99">
        <w:trPr>
          <w:trHeight w:val="288"/>
          <w:jc w:val="center"/>
        </w:trPr>
        <w:tc>
          <w:tcPr>
            <w:tcW w:w="1139"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rPr>
                <w:rFonts w:ascii="Calibri" w:hAnsi="Calibri" w:cs="Calibri"/>
                <w:noProof/>
                <w:color w:val="000000"/>
              </w:rPr>
            </w:pPr>
            <w:r w:rsidRPr="009B5734">
              <w:rPr>
                <w:rFonts w:ascii="Calibri" w:hAnsi="Calibri" w:cs="Calibri"/>
                <w:noProof/>
                <w:color w:val="000000"/>
              </w:rPr>
              <w:t>A0BC</w:t>
            </w:r>
          </w:p>
        </w:tc>
        <w:tc>
          <w:tcPr>
            <w:tcW w:w="1592"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108</w:t>
            </w:r>
          </w:p>
        </w:tc>
        <w:tc>
          <w:tcPr>
            <w:tcW w:w="1547"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80</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108</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109</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109</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110</w:t>
            </w:r>
          </w:p>
        </w:tc>
        <w:tc>
          <w:tcPr>
            <w:tcW w:w="1496"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125</w:t>
            </w:r>
          </w:p>
        </w:tc>
        <w:tc>
          <w:tcPr>
            <w:tcW w:w="18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122</w:t>
            </w:r>
          </w:p>
        </w:tc>
      </w:tr>
      <w:tr w:rsidR="00EA45F9" w:rsidRPr="009B5734" w:rsidTr="00C84A99">
        <w:trPr>
          <w:trHeight w:val="288"/>
          <w:jc w:val="center"/>
        </w:trPr>
        <w:tc>
          <w:tcPr>
            <w:tcW w:w="1139"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rPr>
                <w:rFonts w:ascii="Calibri" w:hAnsi="Calibri" w:cs="Calibri"/>
                <w:noProof/>
                <w:color w:val="000000"/>
              </w:rPr>
            </w:pPr>
            <w:r w:rsidRPr="009B5734">
              <w:rPr>
                <w:rFonts w:ascii="Calibri" w:hAnsi="Calibri" w:cs="Calibri"/>
                <w:noProof/>
                <w:color w:val="000000"/>
              </w:rPr>
              <w:t>B0AC</w:t>
            </w:r>
          </w:p>
        </w:tc>
        <w:tc>
          <w:tcPr>
            <w:tcW w:w="1592"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90</w:t>
            </w:r>
          </w:p>
        </w:tc>
        <w:tc>
          <w:tcPr>
            <w:tcW w:w="1547"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67</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90</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90</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90</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90</w:t>
            </w:r>
          </w:p>
        </w:tc>
        <w:tc>
          <w:tcPr>
            <w:tcW w:w="1496"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98</w:t>
            </w:r>
          </w:p>
        </w:tc>
        <w:tc>
          <w:tcPr>
            <w:tcW w:w="18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102</w:t>
            </w:r>
          </w:p>
        </w:tc>
      </w:tr>
      <w:tr w:rsidR="00EA45F9" w:rsidRPr="009B5734" w:rsidTr="00C84A99">
        <w:trPr>
          <w:trHeight w:val="288"/>
          <w:jc w:val="center"/>
        </w:trPr>
        <w:tc>
          <w:tcPr>
            <w:tcW w:w="1139"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rPr>
                <w:rFonts w:ascii="Calibri" w:hAnsi="Calibri" w:cs="Calibri"/>
                <w:noProof/>
                <w:color w:val="000000"/>
              </w:rPr>
            </w:pPr>
            <w:r w:rsidRPr="009B5734">
              <w:rPr>
                <w:rFonts w:ascii="Calibri" w:hAnsi="Calibri" w:cs="Calibri"/>
                <w:noProof/>
                <w:color w:val="000000"/>
              </w:rPr>
              <w:t>0BAC</w:t>
            </w:r>
          </w:p>
        </w:tc>
        <w:tc>
          <w:tcPr>
            <w:tcW w:w="1592"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53</w:t>
            </w:r>
          </w:p>
        </w:tc>
        <w:tc>
          <w:tcPr>
            <w:tcW w:w="1547"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30</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40</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62</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71</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80</w:t>
            </w:r>
          </w:p>
        </w:tc>
        <w:tc>
          <w:tcPr>
            <w:tcW w:w="1496"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53</w:t>
            </w:r>
          </w:p>
        </w:tc>
        <w:tc>
          <w:tcPr>
            <w:tcW w:w="18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96</w:t>
            </w:r>
          </w:p>
        </w:tc>
      </w:tr>
      <w:tr w:rsidR="00EA45F9" w:rsidRPr="009B5734" w:rsidTr="00C84A99">
        <w:trPr>
          <w:trHeight w:val="288"/>
          <w:jc w:val="center"/>
        </w:trPr>
        <w:tc>
          <w:tcPr>
            <w:tcW w:w="1139"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rPr>
                <w:rFonts w:ascii="Calibri" w:hAnsi="Calibri" w:cs="Calibri"/>
                <w:noProof/>
                <w:color w:val="000000"/>
              </w:rPr>
            </w:pPr>
            <w:r w:rsidRPr="009B5734">
              <w:rPr>
                <w:rFonts w:ascii="Calibri" w:hAnsi="Calibri" w:cs="Calibri"/>
                <w:noProof/>
                <w:color w:val="000000"/>
              </w:rPr>
              <w:t>AB0C</w:t>
            </w:r>
          </w:p>
        </w:tc>
        <w:tc>
          <w:tcPr>
            <w:tcW w:w="1592"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145</w:t>
            </w:r>
          </w:p>
        </w:tc>
        <w:tc>
          <w:tcPr>
            <w:tcW w:w="1547"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117</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158</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137</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128</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120</w:t>
            </w:r>
          </w:p>
        </w:tc>
        <w:tc>
          <w:tcPr>
            <w:tcW w:w="1496"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171</w:t>
            </w:r>
          </w:p>
        </w:tc>
        <w:tc>
          <w:tcPr>
            <w:tcW w:w="18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128</w:t>
            </w:r>
          </w:p>
        </w:tc>
      </w:tr>
      <w:tr w:rsidR="00EA45F9" w:rsidRPr="009B5734" w:rsidTr="00C84A99">
        <w:trPr>
          <w:trHeight w:val="288"/>
          <w:jc w:val="center"/>
        </w:trPr>
        <w:tc>
          <w:tcPr>
            <w:tcW w:w="1139"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rPr>
                <w:rFonts w:ascii="Calibri" w:hAnsi="Calibri" w:cs="Calibri"/>
                <w:noProof/>
                <w:color w:val="000000"/>
              </w:rPr>
            </w:pPr>
            <w:r w:rsidRPr="009B5734">
              <w:rPr>
                <w:rFonts w:ascii="Calibri" w:hAnsi="Calibri" w:cs="Calibri"/>
                <w:noProof/>
                <w:color w:val="000000"/>
              </w:rPr>
              <w:t>BA0C</w:t>
            </w:r>
          </w:p>
        </w:tc>
        <w:tc>
          <w:tcPr>
            <w:tcW w:w="1592"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127</w:t>
            </w:r>
          </w:p>
        </w:tc>
        <w:tc>
          <w:tcPr>
            <w:tcW w:w="1547"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104</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140</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118</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109</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100</w:t>
            </w:r>
          </w:p>
        </w:tc>
        <w:tc>
          <w:tcPr>
            <w:tcW w:w="1496"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144</w:t>
            </w:r>
          </w:p>
        </w:tc>
        <w:tc>
          <w:tcPr>
            <w:tcW w:w="18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108</w:t>
            </w:r>
          </w:p>
        </w:tc>
      </w:tr>
      <w:tr w:rsidR="00EA45F9" w:rsidRPr="009B5734" w:rsidTr="00C84A99">
        <w:trPr>
          <w:trHeight w:val="288"/>
          <w:jc w:val="center"/>
        </w:trPr>
        <w:tc>
          <w:tcPr>
            <w:tcW w:w="1139"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rPr>
                <w:rFonts w:ascii="Calibri" w:hAnsi="Calibri" w:cs="Calibri"/>
                <w:noProof/>
                <w:color w:val="000000"/>
              </w:rPr>
            </w:pPr>
            <w:r w:rsidRPr="009B5734">
              <w:rPr>
                <w:rFonts w:ascii="Calibri" w:hAnsi="Calibri" w:cs="Calibri"/>
                <w:noProof/>
                <w:color w:val="000000"/>
              </w:rPr>
              <w:t>CA0B</w:t>
            </w:r>
          </w:p>
        </w:tc>
        <w:tc>
          <w:tcPr>
            <w:tcW w:w="1592"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200</w:t>
            </w:r>
          </w:p>
        </w:tc>
        <w:tc>
          <w:tcPr>
            <w:tcW w:w="1547"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167</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225</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183</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167</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150</w:t>
            </w:r>
          </w:p>
        </w:tc>
        <w:tc>
          <w:tcPr>
            <w:tcW w:w="1496"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232</w:t>
            </w:r>
          </w:p>
        </w:tc>
        <w:tc>
          <w:tcPr>
            <w:tcW w:w="1885"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154</w:t>
            </w:r>
          </w:p>
        </w:tc>
      </w:tr>
      <w:tr w:rsidR="00EA45F9" w:rsidRPr="009B5734" w:rsidTr="00C84A99">
        <w:trPr>
          <w:trHeight w:val="288"/>
          <w:jc w:val="center"/>
        </w:trPr>
        <w:tc>
          <w:tcPr>
            <w:tcW w:w="1139"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rPr>
                <w:rFonts w:ascii="Calibri" w:hAnsi="Calibri" w:cs="Calibri"/>
                <w:noProof/>
                <w:color w:val="000000"/>
              </w:rPr>
            </w:pPr>
            <w:r w:rsidRPr="009B5734">
              <w:rPr>
                <w:rFonts w:ascii="Calibri" w:hAnsi="Calibri" w:cs="Calibri"/>
                <w:noProof/>
                <w:color w:val="000000"/>
              </w:rPr>
              <w:t>AC0B</w:t>
            </w:r>
          </w:p>
        </w:tc>
        <w:tc>
          <w:tcPr>
            <w:tcW w:w="1592"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178</w:t>
            </w:r>
          </w:p>
        </w:tc>
        <w:tc>
          <w:tcPr>
            <w:tcW w:w="1547"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146</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198</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166</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153</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140</w:t>
            </w:r>
          </w:p>
        </w:tc>
        <w:tc>
          <w:tcPr>
            <w:tcW w:w="1496"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212</w:t>
            </w:r>
          </w:p>
        </w:tc>
        <w:tc>
          <w:tcPr>
            <w:tcW w:w="1885"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146</w:t>
            </w:r>
          </w:p>
        </w:tc>
      </w:tr>
      <w:tr w:rsidR="00EA45F9" w:rsidRPr="009B5734" w:rsidTr="00C84A99">
        <w:trPr>
          <w:trHeight w:val="288"/>
          <w:jc w:val="center"/>
        </w:trPr>
        <w:tc>
          <w:tcPr>
            <w:tcW w:w="1139"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rPr>
                <w:rFonts w:ascii="Calibri" w:hAnsi="Calibri" w:cs="Calibri"/>
                <w:noProof/>
                <w:color w:val="000000"/>
              </w:rPr>
            </w:pPr>
            <w:r w:rsidRPr="009B5734">
              <w:rPr>
                <w:rFonts w:ascii="Calibri" w:hAnsi="Calibri" w:cs="Calibri"/>
                <w:noProof/>
                <w:color w:val="000000"/>
              </w:rPr>
              <w:t>0CAB</w:t>
            </w:r>
          </w:p>
        </w:tc>
        <w:tc>
          <w:tcPr>
            <w:tcW w:w="1592"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127</w:t>
            </w:r>
          </w:p>
        </w:tc>
        <w:tc>
          <w:tcPr>
            <w:tcW w:w="1547"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93</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125</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128</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129</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130</w:t>
            </w:r>
          </w:p>
        </w:tc>
        <w:tc>
          <w:tcPr>
            <w:tcW w:w="1496"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141</w:t>
            </w:r>
          </w:p>
        </w:tc>
        <w:tc>
          <w:tcPr>
            <w:tcW w:w="1885"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142</w:t>
            </w:r>
          </w:p>
        </w:tc>
      </w:tr>
      <w:tr w:rsidR="00EA45F9" w:rsidRPr="009B5734" w:rsidTr="00C84A99">
        <w:trPr>
          <w:trHeight w:val="288"/>
          <w:jc w:val="center"/>
        </w:trPr>
        <w:tc>
          <w:tcPr>
            <w:tcW w:w="1139"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rPr>
                <w:rFonts w:ascii="Calibri" w:hAnsi="Calibri" w:cs="Calibri"/>
                <w:noProof/>
                <w:color w:val="000000"/>
              </w:rPr>
            </w:pPr>
            <w:r w:rsidRPr="009B5734">
              <w:rPr>
                <w:rFonts w:ascii="Calibri" w:hAnsi="Calibri" w:cs="Calibri"/>
                <w:noProof/>
                <w:color w:val="000000"/>
              </w:rPr>
              <w:t>C0AB</w:t>
            </w:r>
          </w:p>
        </w:tc>
        <w:tc>
          <w:tcPr>
            <w:tcW w:w="1592"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163</w:t>
            </w:r>
          </w:p>
        </w:tc>
        <w:tc>
          <w:tcPr>
            <w:tcW w:w="1547"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130</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175</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156</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148</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140</w:t>
            </w:r>
          </w:p>
        </w:tc>
        <w:tc>
          <w:tcPr>
            <w:tcW w:w="1496"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187</w:t>
            </w:r>
          </w:p>
        </w:tc>
        <w:tc>
          <w:tcPr>
            <w:tcW w:w="1885"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148</w:t>
            </w:r>
          </w:p>
        </w:tc>
      </w:tr>
      <w:tr w:rsidR="00EA45F9" w:rsidRPr="009B5734" w:rsidTr="00C84A99">
        <w:trPr>
          <w:trHeight w:val="288"/>
          <w:jc w:val="center"/>
        </w:trPr>
        <w:tc>
          <w:tcPr>
            <w:tcW w:w="1139"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rPr>
                <w:rFonts w:ascii="Calibri" w:hAnsi="Calibri" w:cs="Calibri"/>
                <w:noProof/>
                <w:color w:val="000000"/>
              </w:rPr>
            </w:pPr>
            <w:r w:rsidRPr="009B5734">
              <w:rPr>
                <w:rFonts w:ascii="Calibri" w:hAnsi="Calibri" w:cs="Calibri"/>
                <w:noProof/>
                <w:color w:val="000000"/>
              </w:rPr>
              <w:t>A0CB</w:t>
            </w:r>
          </w:p>
        </w:tc>
        <w:tc>
          <w:tcPr>
            <w:tcW w:w="1592"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142</w:t>
            </w:r>
          </w:p>
        </w:tc>
        <w:tc>
          <w:tcPr>
            <w:tcW w:w="1547"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109</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148</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138</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134</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130</w:t>
            </w:r>
          </w:p>
        </w:tc>
        <w:tc>
          <w:tcPr>
            <w:tcW w:w="1496"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166</w:t>
            </w:r>
          </w:p>
        </w:tc>
        <w:tc>
          <w:tcPr>
            <w:tcW w:w="1885"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140</w:t>
            </w:r>
          </w:p>
        </w:tc>
      </w:tr>
      <w:tr w:rsidR="00EA45F9" w:rsidRPr="009B5734" w:rsidTr="00C84A99">
        <w:trPr>
          <w:trHeight w:val="288"/>
          <w:jc w:val="center"/>
        </w:trPr>
        <w:tc>
          <w:tcPr>
            <w:tcW w:w="1139"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rPr>
                <w:rFonts w:ascii="Calibri" w:hAnsi="Calibri" w:cs="Calibri"/>
                <w:noProof/>
                <w:color w:val="000000"/>
              </w:rPr>
            </w:pPr>
            <w:r w:rsidRPr="009B5734">
              <w:rPr>
                <w:rFonts w:ascii="Calibri" w:hAnsi="Calibri" w:cs="Calibri"/>
                <w:noProof/>
                <w:color w:val="000000"/>
              </w:rPr>
              <w:t>0ACB</w:t>
            </w:r>
          </w:p>
        </w:tc>
        <w:tc>
          <w:tcPr>
            <w:tcW w:w="1592"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105</w:t>
            </w:r>
          </w:p>
        </w:tc>
        <w:tc>
          <w:tcPr>
            <w:tcW w:w="1547"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72</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98</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110</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115</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120</w:t>
            </w:r>
          </w:p>
        </w:tc>
        <w:tc>
          <w:tcPr>
            <w:tcW w:w="1496"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120</w:t>
            </w:r>
          </w:p>
        </w:tc>
        <w:tc>
          <w:tcPr>
            <w:tcW w:w="1885"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134</w:t>
            </w:r>
          </w:p>
        </w:tc>
      </w:tr>
      <w:tr w:rsidR="00EA45F9" w:rsidRPr="009B5734" w:rsidTr="00C84A99">
        <w:trPr>
          <w:trHeight w:val="288"/>
          <w:jc w:val="center"/>
        </w:trPr>
        <w:tc>
          <w:tcPr>
            <w:tcW w:w="1139"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rPr>
                <w:rFonts w:ascii="Calibri" w:hAnsi="Calibri" w:cs="Calibri"/>
                <w:noProof/>
                <w:color w:val="000000"/>
              </w:rPr>
            </w:pPr>
            <w:r w:rsidRPr="009B5734">
              <w:rPr>
                <w:rFonts w:ascii="Calibri" w:hAnsi="Calibri" w:cs="Calibri"/>
                <w:noProof/>
                <w:color w:val="000000"/>
              </w:rPr>
              <w:t>0BCA</w:t>
            </w:r>
          </w:p>
        </w:tc>
        <w:tc>
          <w:tcPr>
            <w:tcW w:w="1592"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75</w:t>
            </w:r>
          </w:p>
        </w:tc>
        <w:tc>
          <w:tcPr>
            <w:tcW w:w="1547"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50</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68</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80</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85</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90</w:t>
            </w:r>
          </w:p>
        </w:tc>
        <w:tc>
          <w:tcPr>
            <w:tcW w:w="1496"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73</w:t>
            </w:r>
          </w:p>
        </w:tc>
        <w:tc>
          <w:tcPr>
            <w:tcW w:w="1885"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104</w:t>
            </w:r>
          </w:p>
        </w:tc>
      </w:tr>
      <w:tr w:rsidR="00EA45F9" w:rsidRPr="009B5734" w:rsidTr="00C84A99">
        <w:trPr>
          <w:trHeight w:val="288"/>
          <w:jc w:val="center"/>
        </w:trPr>
        <w:tc>
          <w:tcPr>
            <w:tcW w:w="1139"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rPr>
                <w:rFonts w:ascii="Calibri" w:hAnsi="Calibri" w:cs="Calibri"/>
                <w:noProof/>
                <w:color w:val="000000"/>
              </w:rPr>
            </w:pPr>
            <w:r w:rsidRPr="009B5734">
              <w:rPr>
                <w:rFonts w:ascii="Calibri" w:hAnsi="Calibri" w:cs="Calibri"/>
                <w:noProof/>
                <w:color w:val="000000"/>
              </w:rPr>
              <w:t>B0CA</w:t>
            </w:r>
          </w:p>
        </w:tc>
        <w:tc>
          <w:tcPr>
            <w:tcW w:w="1592"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112</w:t>
            </w:r>
          </w:p>
        </w:tc>
        <w:tc>
          <w:tcPr>
            <w:tcW w:w="1547"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87</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118</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108</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104</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100</w:t>
            </w:r>
          </w:p>
        </w:tc>
        <w:tc>
          <w:tcPr>
            <w:tcW w:w="1496"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119</w:t>
            </w:r>
          </w:p>
        </w:tc>
        <w:tc>
          <w:tcPr>
            <w:tcW w:w="1885"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110</w:t>
            </w:r>
          </w:p>
        </w:tc>
      </w:tr>
      <w:tr w:rsidR="00EA45F9" w:rsidRPr="009B5734" w:rsidTr="00C84A99">
        <w:trPr>
          <w:trHeight w:val="288"/>
          <w:jc w:val="center"/>
        </w:trPr>
        <w:tc>
          <w:tcPr>
            <w:tcW w:w="1139"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rPr>
                <w:rFonts w:ascii="Calibri" w:hAnsi="Calibri" w:cs="Calibri"/>
                <w:noProof/>
                <w:color w:val="000000"/>
              </w:rPr>
            </w:pPr>
            <w:r w:rsidRPr="009B5734">
              <w:rPr>
                <w:rFonts w:ascii="Calibri" w:hAnsi="Calibri" w:cs="Calibri"/>
                <w:noProof/>
                <w:color w:val="000000"/>
              </w:rPr>
              <w:t>C0BA</w:t>
            </w:r>
          </w:p>
        </w:tc>
        <w:tc>
          <w:tcPr>
            <w:tcW w:w="1592"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145</w:t>
            </w:r>
          </w:p>
        </w:tc>
        <w:tc>
          <w:tcPr>
            <w:tcW w:w="1547"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117</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158</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137</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128</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120</w:t>
            </w:r>
          </w:p>
        </w:tc>
        <w:tc>
          <w:tcPr>
            <w:tcW w:w="1496"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160</w:t>
            </w:r>
          </w:p>
        </w:tc>
        <w:tc>
          <w:tcPr>
            <w:tcW w:w="1885"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128</w:t>
            </w:r>
          </w:p>
        </w:tc>
      </w:tr>
      <w:tr w:rsidR="00EA45F9" w:rsidRPr="009B5734" w:rsidTr="00C84A99">
        <w:trPr>
          <w:trHeight w:val="288"/>
          <w:jc w:val="center"/>
        </w:trPr>
        <w:tc>
          <w:tcPr>
            <w:tcW w:w="1139"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rPr>
                <w:rFonts w:ascii="Calibri" w:hAnsi="Calibri" w:cs="Calibri"/>
                <w:noProof/>
                <w:color w:val="000000"/>
              </w:rPr>
            </w:pPr>
            <w:r w:rsidRPr="009B5734">
              <w:rPr>
                <w:rFonts w:ascii="Calibri" w:hAnsi="Calibri" w:cs="Calibri"/>
                <w:noProof/>
                <w:color w:val="000000"/>
              </w:rPr>
              <w:t>0CBA</w:t>
            </w:r>
          </w:p>
        </w:tc>
        <w:tc>
          <w:tcPr>
            <w:tcW w:w="1592"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108</w:t>
            </w:r>
          </w:p>
        </w:tc>
        <w:tc>
          <w:tcPr>
            <w:tcW w:w="1547"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80</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108</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109</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109</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110</w:t>
            </w:r>
          </w:p>
        </w:tc>
        <w:tc>
          <w:tcPr>
            <w:tcW w:w="1496"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114</w:t>
            </w:r>
          </w:p>
        </w:tc>
        <w:tc>
          <w:tcPr>
            <w:tcW w:w="1885"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122</w:t>
            </w:r>
          </w:p>
        </w:tc>
      </w:tr>
      <w:tr w:rsidR="00EA45F9" w:rsidRPr="009B5734" w:rsidTr="00C84A99">
        <w:trPr>
          <w:trHeight w:val="288"/>
          <w:jc w:val="center"/>
        </w:trPr>
        <w:tc>
          <w:tcPr>
            <w:tcW w:w="1139"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rPr>
                <w:rFonts w:ascii="Calibri" w:hAnsi="Calibri" w:cs="Calibri"/>
                <w:noProof/>
                <w:color w:val="000000"/>
              </w:rPr>
            </w:pPr>
            <w:r w:rsidRPr="009B5734">
              <w:rPr>
                <w:rFonts w:ascii="Calibri" w:hAnsi="Calibri" w:cs="Calibri"/>
                <w:noProof/>
                <w:color w:val="000000"/>
              </w:rPr>
              <w:t>BC0A</w:t>
            </w:r>
          </w:p>
        </w:tc>
        <w:tc>
          <w:tcPr>
            <w:tcW w:w="1592"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148</w:t>
            </w:r>
          </w:p>
        </w:tc>
        <w:tc>
          <w:tcPr>
            <w:tcW w:w="1547"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124</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168</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136</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123</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110</w:t>
            </w:r>
          </w:p>
        </w:tc>
        <w:tc>
          <w:tcPr>
            <w:tcW w:w="1496"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164</w:t>
            </w:r>
          </w:p>
        </w:tc>
        <w:tc>
          <w:tcPr>
            <w:tcW w:w="1885"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116</w:t>
            </w:r>
          </w:p>
        </w:tc>
      </w:tr>
      <w:tr w:rsidR="00EA45F9" w:rsidRPr="009B5734" w:rsidTr="00C84A99">
        <w:trPr>
          <w:trHeight w:val="288"/>
          <w:jc w:val="center"/>
        </w:trPr>
        <w:tc>
          <w:tcPr>
            <w:tcW w:w="1139"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rPr>
                <w:rFonts w:ascii="Calibri" w:hAnsi="Calibri" w:cs="Calibri"/>
                <w:noProof/>
                <w:color w:val="000000"/>
              </w:rPr>
            </w:pPr>
            <w:r w:rsidRPr="009B5734">
              <w:rPr>
                <w:rFonts w:ascii="Calibri" w:hAnsi="Calibri" w:cs="Calibri"/>
                <w:noProof/>
                <w:color w:val="000000"/>
              </w:rPr>
              <w:t>CB0A</w:t>
            </w:r>
          </w:p>
        </w:tc>
        <w:tc>
          <w:tcPr>
            <w:tcW w:w="1592"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182</w:t>
            </w:r>
          </w:p>
        </w:tc>
        <w:tc>
          <w:tcPr>
            <w:tcW w:w="1547"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154</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208</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164</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147</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130</w:t>
            </w:r>
          </w:p>
        </w:tc>
        <w:tc>
          <w:tcPr>
            <w:tcW w:w="1496"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205</w:t>
            </w:r>
          </w:p>
        </w:tc>
        <w:tc>
          <w:tcPr>
            <w:tcW w:w="18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134</w:t>
            </w:r>
          </w:p>
        </w:tc>
      </w:tr>
      <w:tr w:rsidR="00EA45F9" w:rsidRPr="009B5734" w:rsidTr="00C84A99">
        <w:trPr>
          <w:trHeight w:val="288"/>
          <w:jc w:val="center"/>
        </w:trPr>
        <w:tc>
          <w:tcPr>
            <w:tcW w:w="1139"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rPr>
                <w:rFonts w:ascii="Calibri" w:hAnsi="Calibri" w:cs="Calibri"/>
                <w:noProof/>
                <w:color w:val="000000"/>
              </w:rPr>
            </w:pPr>
            <w:r w:rsidRPr="009B5734">
              <w:rPr>
                <w:rFonts w:ascii="Calibri" w:hAnsi="Calibri" w:cs="Calibri"/>
                <w:noProof/>
                <w:color w:val="000000"/>
              </w:rPr>
              <w:t>CBA0</w:t>
            </w:r>
          </w:p>
        </w:tc>
        <w:tc>
          <w:tcPr>
            <w:tcW w:w="1592"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218</w:t>
            </w:r>
          </w:p>
        </w:tc>
        <w:tc>
          <w:tcPr>
            <w:tcW w:w="1547"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191</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258</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192</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166</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140</w:t>
            </w:r>
          </w:p>
        </w:tc>
        <w:tc>
          <w:tcPr>
            <w:tcW w:w="1496"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251</w:t>
            </w:r>
          </w:p>
        </w:tc>
        <w:tc>
          <w:tcPr>
            <w:tcW w:w="18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140</w:t>
            </w:r>
          </w:p>
        </w:tc>
      </w:tr>
      <w:tr w:rsidR="00EA45F9" w:rsidRPr="009B5734" w:rsidTr="00C84A99">
        <w:trPr>
          <w:trHeight w:val="288"/>
          <w:jc w:val="center"/>
        </w:trPr>
        <w:tc>
          <w:tcPr>
            <w:tcW w:w="1139"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rPr>
                <w:rFonts w:ascii="Calibri" w:hAnsi="Calibri" w:cs="Calibri"/>
                <w:noProof/>
                <w:color w:val="000000"/>
              </w:rPr>
            </w:pPr>
            <w:r w:rsidRPr="009B5734">
              <w:rPr>
                <w:rFonts w:ascii="Calibri" w:hAnsi="Calibri" w:cs="Calibri"/>
                <w:noProof/>
                <w:color w:val="000000"/>
              </w:rPr>
              <w:t>BCA0</w:t>
            </w:r>
          </w:p>
        </w:tc>
        <w:tc>
          <w:tcPr>
            <w:tcW w:w="1592"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185</w:t>
            </w:r>
          </w:p>
        </w:tc>
        <w:tc>
          <w:tcPr>
            <w:tcW w:w="1547"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161</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218</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163</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142</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120</w:t>
            </w:r>
          </w:p>
        </w:tc>
        <w:tc>
          <w:tcPr>
            <w:tcW w:w="1496"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210</w:t>
            </w:r>
          </w:p>
        </w:tc>
        <w:tc>
          <w:tcPr>
            <w:tcW w:w="18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122</w:t>
            </w:r>
          </w:p>
        </w:tc>
      </w:tr>
      <w:tr w:rsidR="00EA45F9" w:rsidRPr="009B5734" w:rsidTr="00C84A99">
        <w:trPr>
          <w:trHeight w:val="288"/>
          <w:jc w:val="center"/>
        </w:trPr>
        <w:tc>
          <w:tcPr>
            <w:tcW w:w="1139"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rPr>
                <w:rFonts w:ascii="Calibri" w:hAnsi="Calibri" w:cs="Calibri"/>
                <w:noProof/>
                <w:color w:val="000000"/>
              </w:rPr>
            </w:pPr>
            <w:r w:rsidRPr="009B5734">
              <w:rPr>
                <w:rFonts w:ascii="Calibri" w:hAnsi="Calibri" w:cs="Calibri"/>
                <w:noProof/>
                <w:color w:val="000000"/>
              </w:rPr>
              <w:t>ACB0</w:t>
            </w:r>
          </w:p>
        </w:tc>
        <w:tc>
          <w:tcPr>
            <w:tcW w:w="1592"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215</w:t>
            </w:r>
          </w:p>
        </w:tc>
        <w:tc>
          <w:tcPr>
            <w:tcW w:w="1547"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183</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248</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193</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172</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150</w:t>
            </w:r>
          </w:p>
        </w:tc>
        <w:tc>
          <w:tcPr>
            <w:tcW w:w="1496"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257</w:t>
            </w:r>
          </w:p>
        </w:tc>
        <w:tc>
          <w:tcPr>
            <w:tcW w:w="18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152</w:t>
            </w:r>
          </w:p>
        </w:tc>
      </w:tr>
      <w:tr w:rsidR="00EA45F9" w:rsidRPr="009B5734" w:rsidTr="00C84A99">
        <w:trPr>
          <w:trHeight w:val="288"/>
          <w:jc w:val="center"/>
        </w:trPr>
        <w:tc>
          <w:tcPr>
            <w:tcW w:w="1139"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rPr>
                <w:rFonts w:ascii="Calibri" w:hAnsi="Calibri" w:cs="Calibri"/>
                <w:noProof/>
                <w:color w:val="000000"/>
              </w:rPr>
            </w:pPr>
            <w:r w:rsidRPr="009B5734">
              <w:rPr>
                <w:rFonts w:ascii="Calibri" w:hAnsi="Calibri" w:cs="Calibri"/>
                <w:noProof/>
                <w:color w:val="000000"/>
              </w:rPr>
              <w:t>CAB0</w:t>
            </w:r>
          </w:p>
        </w:tc>
        <w:tc>
          <w:tcPr>
            <w:tcW w:w="1592" w:type="dxa"/>
            <w:tcBorders>
              <w:top w:val="nil"/>
              <w:left w:val="nil"/>
              <w:bottom w:val="single" w:sz="4" w:space="0" w:color="D9D9D9" w:themeColor="background1" w:themeShade="D9"/>
              <w:right w:val="single" w:sz="4" w:space="0" w:color="D9D9D9" w:themeColor="background1" w:themeShade="D9"/>
            </w:tcBorders>
            <w:shd w:val="clear" w:color="auto" w:fill="C6EFCE"/>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6100"/>
              </w:rPr>
              <w:t>237</w:t>
            </w:r>
          </w:p>
        </w:tc>
        <w:tc>
          <w:tcPr>
            <w:tcW w:w="1547" w:type="dxa"/>
            <w:tcBorders>
              <w:top w:val="nil"/>
              <w:left w:val="nil"/>
              <w:bottom w:val="single" w:sz="4" w:space="0" w:color="D9D9D9" w:themeColor="background1" w:themeShade="D9"/>
              <w:right w:val="single" w:sz="4" w:space="0" w:color="D9D9D9" w:themeColor="background1" w:themeShade="D9"/>
            </w:tcBorders>
            <w:shd w:val="clear" w:color="auto" w:fill="C6EFCE"/>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6100"/>
              </w:rPr>
              <w:t>204</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C6EFCE"/>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6100"/>
              </w:rPr>
              <w:t>275</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C6EFCE"/>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6100"/>
              </w:rPr>
              <w:t>211</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C6EFCE"/>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6100"/>
              </w:rPr>
              <w:t>186</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C6EFCE"/>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6100"/>
              </w:rPr>
              <w:t>160</w:t>
            </w:r>
          </w:p>
        </w:tc>
        <w:tc>
          <w:tcPr>
            <w:tcW w:w="1496" w:type="dxa"/>
            <w:tcBorders>
              <w:top w:val="nil"/>
              <w:left w:val="nil"/>
              <w:bottom w:val="single" w:sz="4" w:space="0" w:color="D9D9D9" w:themeColor="background1" w:themeShade="D9"/>
              <w:right w:val="single" w:sz="4" w:space="0" w:color="D9D9D9" w:themeColor="background1" w:themeShade="D9"/>
            </w:tcBorders>
            <w:shd w:val="clear" w:color="auto" w:fill="C6EFCE"/>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6100"/>
              </w:rPr>
              <w:t>278</w:t>
            </w:r>
          </w:p>
        </w:tc>
        <w:tc>
          <w:tcPr>
            <w:tcW w:w="1885" w:type="dxa"/>
            <w:tcBorders>
              <w:top w:val="nil"/>
              <w:left w:val="nil"/>
              <w:bottom w:val="single" w:sz="4" w:space="0" w:color="D9D9D9" w:themeColor="background1" w:themeShade="D9"/>
              <w:right w:val="single" w:sz="4" w:space="0" w:color="D9D9D9" w:themeColor="background1" w:themeShade="D9"/>
            </w:tcBorders>
            <w:shd w:val="clear" w:color="auto" w:fill="C6EFCE"/>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6100"/>
              </w:rPr>
              <w:t>160</w:t>
            </w:r>
          </w:p>
        </w:tc>
      </w:tr>
      <w:tr w:rsidR="00EA45F9" w:rsidRPr="009B5734" w:rsidTr="00C84A99">
        <w:trPr>
          <w:trHeight w:val="288"/>
          <w:jc w:val="center"/>
        </w:trPr>
        <w:tc>
          <w:tcPr>
            <w:tcW w:w="1139"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rPr>
                <w:rFonts w:ascii="Calibri" w:hAnsi="Calibri" w:cs="Calibri"/>
                <w:noProof/>
                <w:color w:val="000000"/>
              </w:rPr>
            </w:pPr>
            <w:r w:rsidRPr="009B5734">
              <w:rPr>
                <w:rFonts w:ascii="Calibri" w:hAnsi="Calibri" w:cs="Calibri"/>
                <w:noProof/>
                <w:color w:val="000000"/>
              </w:rPr>
              <w:t>BAC0</w:t>
            </w:r>
          </w:p>
        </w:tc>
        <w:tc>
          <w:tcPr>
            <w:tcW w:w="1592"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163</w:t>
            </w:r>
          </w:p>
        </w:tc>
        <w:tc>
          <w:tcPr>
            <w:tcW w:w="1547"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141</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190</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146</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128</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110</w:t>
            </w:r>
          </w:p>
        </w:tc>
        <w:tc>
          <w:tcPr>
            <w:tcW w:w="1496"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189</w:t>
            </w:r>
          </w:p>
        </w:tc>
        <w:tc>
          <w:tcPr>
            <w:tcW w:w="18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114</w:t>
            </w:r>
          </w:p>
        </w:tc>
      </w:tr>
      <w:tr w:rsidR="00EA45F9" w:rsidRPr="009B5734" w:rsidTr="00C84A99">
        <w:trPr>
          <w:trHeight w:val="288"/>
          <w:jc w:val="center"/>
        </w:trPr>
        <w:tc>
          <w:tcPr>
            <w:tcW w:w="1139"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EA45F9" w:rsidRPr="009B5734" w:rsidRDefault="00EA45F9" w:rsidP="00981615">
            <w:pPr>
              <w:rPr>
                <w:rFonts w:ascii="Calibri" w:hAnsi="Calibri" w:cs="Calibri"/>
                <w:noProof/>
                <w:color w:val="000000"/>
              </w:rPr>
            </w:pPr>
            <w:r w:rsidRPr="009B5734">
              <w:rPr>
                <w:rFonts w:ascii="Calibri" w:hAnsi="Calibri" w:cs="Calibri"/>
                <w:noProof/>
                <w:color w:val="000000"/>
              </w:rPr>
              <w:t>ABC0</w:t>
            </w:r>
          </w:p>
        </w:tc>
        <w:tc>
          <w:tcPr>
            <w:tcW w:w="1592"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182</w:t>
            </w:r>
          </w:p>
        </w:tc>
        <w:tc>
          <w:tcPr>
            <w:tcW w:w="1547"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154</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208</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164</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147</w:t>
            </w:r>
          </w:p>
        </w:tc>
        <w:tc>
          <w:tcPr>
            <w:tcW w:w="1591"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130</w:t>
            </w:r>
          </w:p>
        </w:tc>
        <w:tc>
          <w:tcPr>
            <w:tcW w:w="1496"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216</w:t>
            </w:r>
          </w:p>
        </w:tc>
        <w:tc>
          <w:tcPr>
            <w:tcW w:w="18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EA45F9" w:rsidRPr="009B5734" w:rsidRDefault="00EA45F9" w:rsidP="00981615">
            <w:pPr>
              <w:jc w:val="center"/>
              <w:rPr>
                <w:rFonts w:ascii="Calibri" w:hAnsi="Calibri" w:cs="Calibri"/>
                <w:noProof/>
                <w:color w:val="000000"/>
              </w:rPr>
            </w:pPr>
            <w:r w:rsidRPr="009B5734">
              <w:rPr>
                <w:rFonts w:ascii="Calibri" w:hAnsi="Calibri" w:cs="Calibri"/>
                <w:noProof/>
                <w:color w:val="000000"/>
              </w:rPr>
              <w:t>134</w:t>
            </w:r>
          </w:p>
        </w:tc>
      </w:tr>
    </w:tbl>
    <w:p w:rsidR="00EA45F9" w:rsidRPr="009B5734" w:rsidRDefault="00EA45F9" w:rsidP="00EA45F9">
      <w:pPr>
        <w:ind w:left="0" w:firstLine="0"/>
        <w:rPr>
          <w:rFonts w:ascii="Times New Roman" w:hAnsi="Times New Roman" w:cs="Times New Roman"/>
          <w:b/>
          <w:noProof/>
          <w:sz w:val="24"/>
          <w:szCs w:val="24"/>
        </w:rPr>
      </w:pPr>
    </w:p>
    <w:p w:rsidR="00EA45F9" w:rsidRPr="009B5734" w:rsidRDefault="00EA45F9" w:rsidP="00EA45F9">
      <w:pPr>
        <w:ind w:left="0" w:firstLine="0"/>
        <w:rPr>
          <w:rFonts w:ascii="Times New Roman" w:hAnsi="Times New Roman" w:cs="Times New Roman"/>
          <w:b/>
          <w:noProof/>
          <w:sz w:val="24"/>
          <w:szCs w:val="24"/>
        </w:rPr>
      </w:pPr>
    </w:p>
    <w:p w:rsidR="00FE7CEC" w:rsidRPr="009B5734" w:rsidRDefault="00FE7CEC" w:rsidP="00FE7CEC">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When comparing monetisable costs and benefits using the Cost-Benefit analysis approach</w:t>
      </w:r>
      <w:r w:rsidRPr="009B5734">
        <w:rPr>
          <w:rFonts w:ascii="Times New Roman" w:hAnsi="Times New Roman" w:cs="Times New Roman"/>
          <w:noProof/>
          <w:sz w:val="24"/>
          <w:szCs w:val="24"/>
          <w:vertAlign w:val="superscript"/>
        </w:rPr>
        <w:footnoteReference w:id="249"/>
      </w:r>
      <w:r w:rsidRPr="009B5734">
        <w:rPr>
          <w:rFonts w:ascii="Times New Roman" w:hAnsi="Times New Roman" w:cs="Times New Roman"/>
          <w:noProof/>
          <w:sz w:val="24"/>
          <w:szCs w:val="24"/>
        </w:rPr>
        <w:t xml:space="preserve"> described in </w:t>
      </w:r>
      <w:hyperlink w:anchor="_General_approach_to" w:history="1">
        <w:r w:rsidRPr="009B5734">
          <w:rPr>
            <w:rStyle w:val="Hyperlink"/>
            <w:rFonts w:ascii="Times New Roman" w:hAnsi="Times New Roman" w:cs="Times New Roman"/>
            <w:noProof/>
            <w:sz w:val="24"/>
            <w:szCs w:val="24"/>
          </w:rPr>
          <w:t>Annex 9.1</w:t>
        </w:r>
      </w:hyperlink>
      <w:r w:rsidRPr="009B5734">
        <w:rPr>
          <w:rFonts w:ascii="Times New Roman" w:hAnsi="Times New Roman" w:cs="Times New Roman"/>
          <w:noProof/>
          <w:sz w:val="24"/>
          <w:szCs w:val="24"/>
        </w:rPr>
        <w:t xml:space="preserve"> above, </w:t>
      </w:r>
      <w:r w:rsidR="004555D8">
        <w:rPr>
          <w:rFonts w:ascii="Times New Roman" w:hAnsi="Times New Roman" w:cs="Times New Roman"/>
          <w:noProof/>
          <w:sz w:val="24"/>
          <w:szCs w:val="24"/>
        </w:rPr>
        <w:t>it was concluded</w:t>
      </w:r>
      <w:r w:rsidRPr="009B5734" w:rsidDel="00532494">
        <w:rPr>
          <w:rFonts w:ascii="Times New Roman" w:hAnsi="Times New Roman" w:cs="Times New Roman"/>
          <w:noProof/>
          <w:sz w:val="24"/>
          <w:szCs w:val="24"/>
        </w:rPr>
        <w:t xml:space="preserve"> </w:t>
      </w:r>
      <w:r w:rsidRPr="009B5734">
        <w:rPr>
          <w:rFonts w:ascii="Times New Roman" w:hAnsi="Times New Roman" w:cs="Times New Roman"/>
          <w:noProof/>
          <w:sz w:val="24"/>
          <w:szCs w:val="24"/>
        </w:rPr>
        <w:t>that Option 2.2.C clearly brings net benefits to society, while this is not necessarily the case for options 2.2.A and 2.2.B considered independently.</w:t>
      </w:r>
    </w:p>
    <w:p w:rsidR="00FE7CEC" w:rsidRPr="009B5734" w:rsidRDefault="00FE7CEC" w:rsidP="00FE7CEC">
      <w:pPr>
        <w:rPr>
          <w:rFonts w:ascii="Times New Roman" w:hAnsi="Times New Roman"/>
          <w:b/>
          <w:noProof/>
          <w:sz w:val="24"/>
        </w:rPr>
      </w:pPr>
    </w:p>
    <w:p w:rsidR="00FE7CEC" w:rsidRPr="009B5734" w:rsidRDefault="00FE7CEC" w:rsidP="00FE7CEC">
      <w:pPr>
        <w:rPr>
          <w:rFonts w:ascii="Times New Roman" w:hAnsi="Times New Roman" w:cs="Times New Roman"/>
          <w:i/>
          <w:noProof/>
          <w:sz w:val="24"/>
          <w:szCs w:val="24"/>
        </w:rPr>
      </w:pPr>
      <w:r w:rsidRPr="009B5734">
        <w:rPr>
          <w:rFonts w:ascii="Times New Roman" w:hAnsi="Times New Roman" w:cs="Times New Roman"/>
          <w:i/>
          <w:noProof/>
          <w:sz w:val="24"/>
          <w:szCs w:val="24"/>
        </w:rPr>
        <w:t xml:space="preserve">Problem 2.2.: CBA of the various options (present value (@4%) at prices of 2019, millions of euros) </w:t>
      </w:r>
    </w:p>
    <w:p w:rsidR="00FE7CEC" w:rsidRPr="009B5734" w:rsidRDefault="00FE7CEC" w:rsidP="00FE7CEC">
      <w:pPr>
        <w:rPr>
          <w:rFonts w:ascii="Times New Roman" w:hAnsi="Times New Roman"/>
          <w:b/>
          <w:noProof/>
          <w:sz w:val="24"/>
        </w:rPr>
      </w:pPr>
    </w:p>
    <w:tbl>
      <w:tblPr>
        <w:tblW w:w="8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2"/>
        <w:gridCol w:w="1706"/>
        <w:gridCol w:w="1707"/>
        <w:gridCol w:w="1707"/>
      </w:tblGrid>
      <w:tr w:rsidR="00FE7CEC" w:rsidRPr="009B5734" w:rsidTr="70D97C89">
        <w:trPr>
          <w:trHeight w:val="288"/>
          <w:jc w:val="center"/>
        </w:trPr>
        <w:tc>
          <w:tcPr>
            <w:tcW w:w="3392" w:type="dxa"/>
            <w:shd w:val="clear" w:color="auto" w:fill="5B9BD5"/>
            <w:tcMar>
              <w:top w:w="0" w:type="dxa"/>
              <w:left w:w="108" w:type="dxa"/>
              <w:bottom w:w="0" w:type="dxa"/>
              <w:right w:w="108" w:type="dxa"/>
            </w:tcMar>
          </w:tcPr>
          <w:p w:rsidR="00FE7CEC" w:rsidRPr="009B5734" w:rsidRDefault="00FE7CEC" w:rsidP="003665DD">
            <w:pPr>
              <w:spacing w:before="120" w:after="120"/>
              <w:jc w:val="center"/>
              <w:rPr>
                <w:rFonts w:ascii="Times New Roman" w:hAnsi="Times New Roman" w:cs="Times New Roman"/>
                <w:b/>
                <w:bCs/>
                <w:noProof/>
                <w:color w:val="FFFFFF"/>
                <w:sz w:val="20"/>
                <w:szCs w:val="20"/>
              </w:rPr>
            </w:pPr>
          </w:p>
        </w:tc>
        <w:tc>
          <w:tcPr>
            <w:tcW w:w="5120" w:type="dxa"/>
            <w:gridSpan w:val="3"/>
            <w:shd w:val="clear" w:color="auto" w:fill="5B9BD5"/>
            <w:noWrap/>
            <w:tcMar>
              <w:top w:w="0" w:type="dxa"/>
              <w:left w:w="108" w:type="dxa"/>
              <w:bottom w:w="0" w:type="dxa"/>
              <w:right w:w="108" w:type="dxa"/>
            </w:tcMar>
            <w:vAlign w:val="center"/>
          </w:tcPr>
          <w:p w:rsidR="00FE7CEC" w:rsidRPr="009B5734" w:rsidRDefault="00FE7CEC" w:rsidP="003665DD">
            <w:pPr>
              <w:spacing w:before="120" w:after="120"/>
              <w:jc w:val="center"/>
              <w:rPr>
                <w:rFonts w:ascii="Times New Roman" w:hAnsi="Times New Roman" w:cs="Times New Roman"/>
                <w:b/>
                <w:bCs/>
                <w:noProof/>
                <w:color w:val="FFFFFF"/>
                <w:sz w:val="20"/>
                <w:szCs w:val="20"/>
              </w:rPr>
            </w:pPr>
            <w:r w:rsidRPr="009B5734">
              <w:rPr>
                <w:rFonts w:ascii="Times New Roman" w:hAnsi="Times New Roman" w:cs="Times New Roman"/>
                <w:b/>
                <w:bCs/>
                <w:noProof/>
                <w:color w:val="FFFFFF"/>
                <w:sz w:val="20"/>
                <w:szCs w:val="20"/>
              </w:rPr>
              <w:t>Average  ± One Standard deviation</w:t>
            </w:r>
          </w:p>
        </w:tc>
      </w:tr>
      <w:tr w:rsidR="00FE7CEC" w:rsidRPr="009B5734" w:rsidTr="00C84A99">
        <w:trPr>
          <w:trHeight w:val="288"/>
          <w:jc w:val="center"/>
        </w:trPr>
        <w:tc>
          <w:tcPr>
            <w:tcW w:w="3392" w:type="dxa"/>
            <w:tcBorders>
              <w:top w:val="single" w:sz="4" w:space="0" w:color="auto"/>
              <w:left w:val="single" w:sz="4" w:space="0" w:color="auto"/>
              <w:bottom w:val="single" w:sz="4" w:space="0" w:color="auto"/>
              <w:right w:val="single" w:sz="4" w:space="0" w:color="auto"/>
            </w:tcBorders>
            <w:shd w:val="clear" w:color="auto" w:fill="5B9BD5"/>
            <w:tcMar>
              <w:top w:w="0" w:type="dxa"/>
              <w:left w:w="108" w:type="dxa"/>
              <w:bottom w:w="0" w:type="dxa"/>
              <w:right w:w="108" w:type="dxa"/>
            </w:tcMar>
            <w:hideMark/>
          </w:tcPr>
          <w:p w:rsidR="00FE7CEC" w:rsidRPr="009B5734" w:rsidRDefault="00FE7CEC" w:rsidP="003665DD">
            <w:pPr>
              <w:spacing w:before="120" w:after="120"/>
              <w:jc w:val="center"/>
              <w:rPr>
                <w:rFonts w:ascii="Times New Roman" w:hAnsi="Times New Roman" w:cs="Times New Roman"/>
                <w:b/>
                <w:bCs/>
                <w:noProof/>
                <w:color w:val="FFFFFF"/>
                <w:sz w:val="20"/>
                <w:szCs w:val="20"/>
              </w:rPr>
            </w:pPr>
          </w:p>
        </w:tc>
        <w:tc>
          <w:tcPr>
            <w:tcW w:w="1706" w:type="dxa"/>
            <w:tcBorders>
              <w:top w:val="single" w:sz="4" w:space="0" w:color="auto"/>
              <w:left w:val="single" w:sz="4" w:space="0" w:color="auto"/>
              <w:bottom w:val="single" w:sz="4" w:space="0" w:color="auto"/>
              <w:right w:val="single" w:sz="4" w:space="0" w:color="auto"/>
            </w:tcBorders>
            <w:shd w:val="clear" w:color="auto" w:fill="5B9BD5"/>
            <w:noWrap/>
            <w:tcMar>
              <w:top w:w="0" w:type="dxa"/>
              <w:left w:w="108" w:type="dxa"/>
              <w:bottom w:w="0" w:type="dxa"/>
              <w:right w:w="108" w:type="dxa"/>
            </w:tcMar>
            <w:vAlign w:val="center"/>
            <w:hideMark/>
          </w:tcPr>
          <w:p w:rsidR="00FE7CEC" w:rsidRPr="009B5734" w:rsidRDefault="00FE7CEC" w:rsidP="003665DD">
            <w:pPr>
              <w:spacing w:before="120" w:after="120"/>
              <w:jc w:val="center"/>
              <w:rPr>
                <w:rFonts w:ascii="Times New Roman" w:hAnsi="Times New Roman" w:cs="Times New Roman"/>
                <w:b/>
                <w:bCs/>
                <w:noProof/>
                <w:color w:val="FFFFFF"/>
                <w:sz w:val="20"/>
                <w:szCs w:val="20"/>
              </w:rPr>
            </w:pPr>
            <w:r w:rsidRPr="009B5734">
              <w:rPr>
                <w:rFonts w:ascii="Times New Roman" w:hAnsi="Times New Roman" w:cs="Times New Roman"/>
                <w:b/>
                <w:bCs/>
                <w:noProof/>
                <w:color w:val="FFFFFF"/>
                <w:sz w:val="20"/>
                <w:szCs w:val="20"/>
              </w:rPr>
              <w:t>2.2.A</w:t>
            </w:r>
          </w:p>
        </w:tc>
        <w:tc>
          <w:tcPr>
            <w:tcW w:w="1707" w:type="dxa"/>
            <w:tcBorders>
              <w:top w:val="single" w:sz="4" w:space="0" w:color="auto"/>
              <w:left w:val="single" w:sz="4" w:space="0" w:color="auto"/>
              <w:bottom w:val="single" w:sz="4" w:space="0" w:color="auto"/>
              <w:right w:val="single" w:sz="4" w:space="0" w:color="auto"/>
            </w:tcBorders>
            <w:shd w:val="clear" w:color="auto" w:fill="5B9BD5"/>
            <w:vAlign w:val="center"/>
          </w:tcPr>
          <w:p w:rsidR="00FE7CEC" w:rsidRPr="009B5734" w:rsidRDefault="00FE7CEC" w:rsidP="003665DD">
            <w:pPr>
              <w:spacing w:before="120" w:after="120"/>
              <w:jc w:val="center"/>
              <w:rPr>
                <w:rFonts w:ascii="Times New Roman" w:hAnsi="Times New Roman" w:cs="Times New Roman"/>
                <w:b/>
                <w:bCs/>
                <w:noProof/>
                <w:color w:val="FFFFFF"/>
                <w:sz w:val="20"/>
                <w:szCs w:val="20"/>
              </w:rPr>
            </w:pPr>
            <w:r w:rsidRPr="009B5734">
              <w:rPr>
                <w:rFonts w:ascii="Times New Roman" w:hAnsi="Times New Roman" w:cs="Times New Roman"/>
                <w:b/>
                <w:bCs/>
                <w:noProof/>
                <w:color w:val="FFFFFF"/>
                <w:sz w:val="20"/>
                <w:szCs w:val="20"/>
              </w:rPr>
              <w:t>2.2.B</w:t>
            </w:r>
          </w:p>
        </w:tc>
        <w:tc>
          <w:tcPr>
            <w:tcW w:w="1707" w:type="dxa"/>
            <w:tcBorders>
              <w:top w:val="single" w:sz="4" w:space="0" w:color="auto"/>
              <w:left w:val="single" w:sz="4" w:space="0" w:color="auto"/>
              <w:bottom w:val="single" w:sz="4" w:space="0" w:color="auto"/>
              <w:right w:val="single" w:sz="4" w:space="0" w:color="auto"/>
            </w:tcBorders>
            <w:shd w:val="clear" w:color="auto" w:fill="5B9BD5"/>
          </w:tcPr>
          <w:p w:rsidR="00FE7CEC" w:rsidRPr="009B5734" w:rsidRDefault="00FE7CEC" w:rsidP="003665DD">
            <w:pPr>
              <w:spacing w:before="120" w:after="120"/>
              <w:jc w:val="center"/>
              <w:rPr>
                <w:rFonts w:ascii="Times New Roman" w:hAnsi="Times New Roman" w:cs="Times New Roman"/>
                <w:b/>
                <w:bCs/>
                <w:noProof/>
                <w:color w:val="FFFFFF"/>
                <w:sz w:val="20"/>
                <w:szCs w:val="20"/>
              </w:rPr>
            </w:pPr>
            <w:r w:rsidRPr="009B5734">
              <w:rPr>
                <w:rFonts w:ascii="Times New Roman" w:hAnsi="Times New Roman" w:cs="Times New Roman"/>
                <w:b/>
                <w:bCs/>
                <w:noProof/>
                <w:color w:val="FFFFFF"/>
                <w:sz w:val="20"/>
                <w:szCs w:val="20"/>
              </w:rPr>
              <w:t>2.2.C</w:t>
            </w:r>
          </w:p>
        </w:tc>
      </w:tr>
      <w:tr w:rsidR="00FE7CEC" w:rsidRPr="009B5734" w:rsidTr="00C84A99">
        <w:trPr>
          <w:trHeight w:val="288"/>
          <w:jc w:val="center"/>
        </w:trPr>
        <w:tc>
          <w:tcPr>
            <w:tcW w:w="3392" w:type="dxa"/>
            <w:tcBorders>
              <w:top w:val="single" w:sz="4" w:space="0" w:color="auto"/>
              <w:left w:val="single" w:sz="4" w:space="0" w:color="auto"/>
              <w:bottom w:val="single" w:sz="4" w:space="0" w:color="auto"/>
              <w:right w:val="single" w:sz="4" w:space="0" w:color="auto"/>
            </w:tcBorders>
            <w:shd w:val="clear" w:color="auto" w:fill="5B9BD5"/>
            <w:tcMar>
              <w:top w:w="0" w:type="dxa"/>
              <w:left w:w="108" w:type="dxa"/>
              <w:bottom w:w="0" w:type="dxa"/>
              <w:right w:w="108" w:type="dxa"/>
            </w:tcMar>
            <w:hideMark/>
          </w:tcPr>
          <w:p w:rsidR="00FE7CEC" w:rsidRPr="009B5734" w:rsidRDefault="00FE7CEC" w:rsidP="003665DD">
            <w:pPr>
              <w:spacing w:before="120" w:after="120"/>
              <w:jc w:val="center"/>
              <w:rPr>
                <w:rFonts w:ascii="Times New Roman" w:hAnsi="Times New Roman" w:cs="Times New Roman"/>
                <w:b/>
                <w:bCs/>
                <w:noProof/>
                <w:color w:val="FFFFFF"/>
                <w:sz w:val="20"/>
                <w:szCs w:val="20"/>
              </w:rPr>
            </w:pPr>
            <w:r w:rsidRPr="009B5734">
              <w:rPr>
                <w:rFonts w:ascii="Times New Roman" w:hAnsi="Times New Roman" w:cs="Times New Roman"/>
                <w:b/>
                <w:bCs/>
                <w:noProof/>
                <w:color w:val="FFFFFF"/>
                <w:sz w:val="20"/>
                <w:szCs w:val="20"/>
              </w:rPr>
              <w:t>2025 - 2040</w:t>
            </w:r>
          </w:p>
        </w:tc>
        <w:tc>
          <w:tcPr>
            <w:tcW w:w="1706" w:type="dxa"/>
            <w:tcBorders>
              <w:top w:val="single" w:sz="4" w:space="0" w:color="auto"/>
              <w:left w:val="single" w:sz="4" w:space="0" w:color="auto"/>
              <w:bottom w:val="single" w:sz="4" w:space="0" w:color="auto"/>
              <w:right w:val="single" w:sz="4" w:space="0" w:color="auto"/>
            </w:tcBorders>
            <w:shd w:val="clear" w:color="auto" w:fill="BDD6EE"/>
            <w:noWrap/>
            <w:tcMar>
              <w:top w:w="0" w:type="dxa"/>
              <w:left w:w="108" w:type="dxa"/>
              <w:bottom w:w="0" w:type="dxa"/>
              <w:right w:w="108" w:type="dxa"/>
            </w:tcMar>
            <w:vAlign w:val="center"/>
          </w:tcPr>
          <w:p w:rsidR="00FE7CEC" w:rsidRPr="009B5734" w:rsidRDefault="00FE7CEC" w:rsidP="003665DD">
            <w:pPr>
              <w:spacing w:before="120" w:after="120"/>
              <w:rPr>
                <w:rFonts w:ascii="Times New Roman" w:hAnsi="Times New Roman" w:cs="Times New Roman"/>
                <w:noProof/>
                <w:color w:val="000000"/>
                <w:sz w:val="20"/>
                <w:szCs w:val="20"/>
              </w:rPr>
            </w:pPr>
            <w:r w:rsidRPr="009B5734">
              <w:rPr>
                <w:rFonts w:ascii="Times New Roman" w:hAnsi="Times New Roman" w:cs="Times New Roman"/>
                <w:noProof/>
                <w:color w:val="000000"/>
                <w:sz w:val="20"/>
                <w:szCs w:val="20"/>
              </w:rPr>
              <w:t>23 ± 1005</w:t>
            </w:r>
          </w:p>
        </w:tc>
        <w:tc>
          <w:tcPr>
            <w:tcW w:w="1707" w:type="dxa"/>
            <w:tcBorders>
              <w:top w:val="single" w:sz="4" w:space="0" w:color="auto"/>
              <w:left w:val="single" w:sz="4" w:space="0" w:color="auto"/>
              <w:bottom w:val="single" w:sz="4" w:space="0" w:color="auto"/>
              <w:right w:val="single" w:sz="4" w:space="0" w:color="auto"/>
            </w:tcBorders>
            <w:shd w:val="clear" w:color="auto" w:fill="BDD6EE"/>
            <w:vAlign w:val="center"/>
          </w:tcPr>
          <w:p w:rsidR="00FE7CEC" w:rsidRPr="009B5734" w:rsidRDefault="00FE7CEC" w:rsidP="003665DD">
            <w:pPr>
              <w:spacing w:before="120" w:after="120"/>
              <w:jc w:val="center"/>
              <w:rPr>
                <w:rFonts w:ascii="Times New Roman" w:hAnsi="Times New Roman" w:cs="Times New Roman"/>
                <w:noProof/>
                <w:color w:val="000000"/>
                <w:sz w:val="20"/>
                <w:szCs w:val="20"/>
              </w:rPr>
            </w:pPr>
            <w:r w:rsidRPr="009B5734">
              <w:rPr>
                <w:rFonts w:ascii="Times New Roman" w:hAnsi="Times New Roman" w:cs="Times New Roman"/>
                <w:noProof/>
                <w:color w:val="000000"/>
                <w:sz w:val="20"/>
                <w:szCs w:val="20"/>
              </w:rPr>
              <w:t>-789 ± 986</w:t>
            </w:r>
          </w:p>
        </w:tc>
        <w:tc>
          <w:tcPr>
            <w:tcW w:w="1707" w:type="dxa"/>
            <w:tcBorders>
              <w:top w:val="single" w:sz="4" w:space="0" w:color="auto"/>
              <w:left w:val="single" w:sz="4" w:space="0" w:color="auto"/>
              <w:bottom w:val="single" w:sz="4" w:space="0" w:color="auto"/>
              <w:right w:val="single" w:sz="4" w:space="0" w:color="auto"/>
            </w:tcBorders>
            <w:shd w:val="clear" w:color="auto" w:fill="BDD6EE"/>
          </w:tcPr>
          <w:p w:rsidR="00FE7CEC" w:rsidRPr="009B5734" w:rsidRDefault="00FE7CEC" w:rsidP="003665DD">
            <w:pPr>
              <w:spacing w:before="120" w:after="120"/>
              <w:jc w:val="center"/>
              <w:rPr>
                <w:rFonts w:ascii="Times New Roman" w:hAnsi="Times New Roman" w:cs="Times New Roman"/>
                <w:noProof/>
                <w:color w:val="000000"/>
                <w:sz w:val="20"/>
                <w:szCs w:val="20"/>
              </w:rPr>
            </w:pPr>
            <w:r w:rsidRPr="009B5734">
              <w:rPr>
                <w:rFonts w:ascii="Times New Roman" w:hAnsi="Times New Roman" w:cs="Times New Roman"/>
                <w:noProof/>
                <w:color w:val="000000"/>
                <w:sz w:val="20"/>
                <w:szCs w:val="20"/>
              </w:rPr>
              <w:t>1893 ± 1005</w:t>
            </w:r>
          </w:p>
        </w:tc>
      </w:tr>
      <w:tr w:rsidR="00FE7CEC" w:rsidRPr="009B5734" w:rsidTr="00C84A99">
        <w:trPr>
          <w:trHeight w:val="288"/>
          <w:jc w:val="center"/>
        </w:trPr>
        <w:tc>
          <w:tcPr>
            <w:tcW w:w="3392" w:type="dxa"/>
            <w:tcBorders>
              <w:top w:val="single" w:sz="4" w:space="0" w:color="auto"/>
              <w:left w:val="single" w:sz="4" w:space="0" w:color="auto"/>
              <w:bottom w:val="single" w:sz="4" w:space="0" w:color="auto"/>
              <w:right w:val="single" w:sz="4" w:space="0" w:color="auto"/>
            </w:tcBorders>
            <w:shd w:val="clear" w:color="auto" w:fill="5B9BD5"/>
            <w:tcMar>
              <w:top w:w="0" w:type="dxa"/>
              <w:left w:w="108" w:type="dxa"/>
              <w:bottom w:w="0" w:type="dxa"/>
              <w:right w:w="108" w:type="dxa"/>
            </w:tcMar>
          </w:tcPr>
          <w:p w:rsidR="00FE7CEC" w:rsidRPr="009B5734" w:rsidRDefault="00FE7CEC" w:rsidP="003665DD">
            <w:pPr>
              <w:spacing w:before="120" w:after="120"/>
              <w:jc w:val="center"/>
              <w:rPr>
                <w:rFonts w:ascii="Times New Roman" w:hAnsi="Times New Roman" w:cs="Times New Roman"/>
                <w:b/>
                <w:bCs/>
                <w:noProof/>
                <w:color w:val="FFFFFF"/>
                <w:sz w:val="20"/>
                <w:szCs w:val="20"/>
              </w:rPr>
            </w:pPr>
            <w:r w:rsidRPr="009B5734">
              <w:rPr>
                <w:rFonts w:ascii="Times New Roman" w:hAnsi="Times New Roman" w:cs="Times New Roman"/>
                <w:b/>
                <w:bCs/>
                <w:noProof/>
                <w:color w:val="FFFFFF"/>
                <w:sz w:val="20"/>
                <w:szCs w:val="20"/>
              </w:rPr>
              <w:t>2025 - 2050</w:t>
            </w:r>
          </w:p>
        </w:tc>
        <w:tc>
          <w:tcPr>
            <w:tcW w:w="1706" w:type="dxa"/>
            <w:tcBorders>
              <w:top w:val="single" w:sz="4" w:space="0" w:color="auto"/>
              <w:left w:val="single" w:sz="4" w:space="0" w:color="auto"/>
              <w:bottom w:val="single" w:sz="4" w:space="0" w:color="auto"/>
              <w:right w:val="single" w:sz="4" w:space="0" w:color="auto"/>
            </w:tcBorders>
            <w:shd w:val="clear" w:color="auto" w:fill="BDD6EE"/>
            <w:noWrap/>
            <w:tcMar>
              <w:top w:w="0" w:type="dxa"/>
              <w:left w:w="108" w:type="dxa"/>
              <w:bottom w:w="0" w:type="dxa"/>
              <w:right w:w="108" w:type="dxa"/>
            </w:tcMar>
            <w:vAlign w:val="center"/>
          </w:tcPr>
          <w:p w:rsidR="00FE7CEC" w:rsidRPr="009B5734" w:rsidRDefault="00FE7CEC" w:rsidP="003665DD">
            <w:pPr>
              <w:spacing w:before="120" w:after="120"/>
              <w:rPr>
                <w:rFonts w:ascii="Times New Roman" w:hAnsi="Times New Roman" w:cs="Times New Roman"/>
                <w:noProof/>
                <w:color w:val="000000"/>
                <w:sz w:val="20"/>
                <w:szCs w:val="20"/>
              </w:rPr>
            </w:pPr>
            <w:r w:rsidRPr="009B5734">
              <w:rPr>
                <w:rFonts w:ascii="Times New Roman" w:hAnsi="Times New Roman" w:cs="Times New Roman"/>
                <w:noProof/>
                <w:color w:val="000000"/>
                <w:sz w:val="20"/>
                <w:szCs w:val="20"/>
              </w:rPr>
              <w:t>1067 ± 1156</w:t>
            </w:r>
          </w:p>
        </w:tc>
        <w:tc>
          <w:tcPr>
            <w:tcW w:w="1707" w:type="dxa"/>
            <w:tcBorders>
              <w:top w:val="single" w:sz="4" w:space="0" w:color="auto"/>
              <w:left w:val="single" w:sz="4" w:space="0" w:color="auto"/>
              <w:bottom w:val="single" w:sz="4" w:space="0" w:color="auto"/>
              <w:right w:val="single" w:sz="4" w:space="0" w:color="auto"/>
            </w:tcBorders>
            <w:shd w:val="clear" w:color="auto" w:fill="BDD6EE"/>
            <w:vAlign w:val="center"/>
          </w:tcPr>
          <w:p w:rsidR="00FE7CEC" w:rsidRPr="009B5734" w:rsidRDefault="00FE7CEC" w:rsidP="003665DD">
            <w:pPr>
              <w:spacing w:before="120" w:after="120"/>
              <w:jc w:val="center"/>
              <w:rPr>
                <w:rFonts w:ascii="Times New Roman" w:hAnsi="Times New Roman" w:cs="Times New Roman"/>
                <w:noProof/>
                <w:color w:val="000000"/>
                <w:sz w:val="20"/>
                <w:szCs w:val="20"/>
              </w:rPr>
            </w:pPr>
            <w:r w:rsidRPr="009B5734">
              <w:rPr>
                <w:rFonts w:ascii="Times New Roman" w:hAnsi="Times New Roman" w:cs="Times New Roman"/>
                <w:noProof/>
                <w:color w:val="000000"/>
                <w:sz w:val="20"/>
                <w:szCs w:val="20"/>
              </w:rPr>
              <w:t>978 ± 1067</w:t>
            </w:r>
          </w:p>
        </w:tc>
        <w:tc>
          <w:tcPr>
            <w:tcW w:w="1707" w:type="dxa"/>
            <w:tcBorders>
              <w:top w:val="single" w:sz="4" w:space="0" w:color="auto"/>
              <w:left w:val="single" w:sz="4" w:space="0" w:color="auto"/>
              <w:bottom w:val="single" w:sz="4" w:space="0" w:color="auto"/>
              <w:right w:val="single" w:sz="4" w:space="0" w:color="auto"/>
            </w:tcBorders>
            <w:shd w:val="clear" w:color="auto" w:fill="BDD6EE"/>
          </w:tcPr>
          <w:p w:rsidR="00FE7CEC" w:rsidRPr="009B5734" w:rsidRDefault="00FE7CEC" w:rsidP="003665DD">
            <w:pPr>
              <w:spacing w:before="120" w:after="120"/>
              <w:jc w:val="center"/>
              <w:rPr>
                <w:rFonts w:ascii="Times New Roman" w:hAnsi="Times New Roman" w:cs="Times New Roman"/>
                <w:noProof/>
                <w:color w:val="000000"/>
                <w:sz w:val="20"/>
                <w:szCs w:val="20"/>
              </w:rPr>
            </w:pPr>
            <w:r w:rsidRPr="009B5734">
              <w:rPr>
                <w:rFonts w:ascii="Times New Roman" w:hAnsi="Times New Roman" w:cs="Times New Roman"/>
                <w:noProof/>
                <w:color w:val="000000"/>
                <w:sz w:val="20"/>
                <w:szCs w:val="20"/>
              </w:rPr>
              <w:t>3916 ± 2153</w:t>
            </w:r>
          </w:p>
        </w:tc>
      </w:tr>
    </w:tbl>
    <w:p w:rsidR="00EA45F9" w:rsidRPr="009B5734" w:rsidRDefault="00EA45F9" w:rsidP="00EA45F9">
      <w:pPr>
        <w:ind w:left="0" w:firstLine="0"/>
        <w:rPr>
          <w:rFonts w:ascii="Times New Roman" w:hAnsi="Times New Roman" w:cs="Times New Roman"/>
          <w:b/>
          <w:noProof/>
          <w:sz w:val="24"/>
          <w:szCs w:val="24"/>
        </w:rPr>
      </w:pPr>
    </w:p>
    <w:p w:rsidR="00EA45F9" w:rsidRPr="009B5734" w:rsidRDefault="00EA45F9" w:rsidP="00EA45F9">
      <w:pPr>
        <w:ind w:left="0" w:firstLine="0"/>
        <w:rPr>
          <w:rFonts w:ascii="Times New Roman" w:hAnsi="Times New Roman" w:cs="Times New Roman"/>
          <w:b/>
          <w:noProof/>
          <w:sz w:val="24"/>
          <w:szCs w:val="24"/>
        </w:rPr>
      </w:pPr>
    </w:p>
    <w:p w:rsidR="00EA45F9" w:rsidRPr="009B5734" w:rsidRDefault="00A00208" w:rsidP="00A00208">
      <w:pPr>
        <w:pStyle w:val="Heading4"/>
        <w:rPr>
          <w:noProof/>
        </w:rPr>
      </w:pPr>
      <w:bookmarkStart w:id="781" w:name="_Sub-problem_2.3:_Sustainability"/>
      <w:bookmarkStart w:id="782" w:name="_Ref60649658"/>
      <w:bookmarkStart w:id="783" w:name="_Toc75441457"/>
      <w:bookmarkStart w:id="784" w:name="_Toc75447023"/>
      <w:bookmarkStart w:id="785" w:name="_Toc75448896"/>
      <w:bookmarkEnd w:id="781"/>
      <w:r w:rsidRPr="00A00208">
        <w:t>2.5.</w:t>
      </w:r>
      <w:r w:rsidRPr="00A00208">
        <w:tab/>
      </w:r>
      <w:r w:rsidR="00EA45F9" w:rsidRPr="009B5734">
        <w:rPr>
          <w:noProof/>
        </w:rPr>
        <w:t xml:space="preserve">Sub-problem 2.3: Sustainability labels and </w:t>
      </w:r>
      <w:bookmarkEnd w:id="782"/>
      <w:bookmarkEnd w:id="783"/>
      <w:bookmarkEnd w:id="784"/>
      <w:bookmarkEnd w:id="785"/>
      <w:r w:rsidR="00993C5A" w:rsidRPr="009B5734">
        <w:rPr>
          <w:noProof/>
        </w:rPr>
        <w:t>digital information tools</w:t>
      </w:r>
    </w:p>
    <w:p w:rsidR="00EA45F9" w:rsidRPr="009B5734" w:rsidRDefault="00EA45F9" w:rsidP="00EA45F9">
      <w:pPr>
        <w:rPr>
          <w:rFonts w:ascii="Times New Roman" w:hAnsi="Times New Roman"/>
          <w:b/>
          <w:noProof/>
          <w:color w:val="000000" w:themeColor="text1"/>
          <w:sz w:val="24"/>
        </w:rPr>
      </w:pP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Three options were selected for analysis:</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 Option 2.3.A: Development of principles promoting the transparency and credibility of sustainability labels </w:t>
      </w:r>
      <w:r w:rsidR="00993C5A" w:rsidRPr="009B5734">
        <w:rPr>
          <w:rFonts w:ascii="Times New Roman" w:hAnsi="Times New Roman" w:cs="Times New Roman"/>
          <w:noProof/>
          <w:sz w:val="24"/>
          <w:szCs w:val="24"/>
        </w:rPr>
        <w:t xml:space="preserve">and information tools </w:t>
      </w:r>
      <w:r w:rsidRPr="009B5734">
        <w:rPr>
          <w:rFonts w:ascii="Times New Roman" w:hAnsi="Times New Roman" w:cs="Times New Roman"/>
          <w:noProof/>
          <w:sz w:val="24"/>
          <w:szCs w:val="24"/>
        </w:rPr>
        <w:t>for voluntary uptake</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 Option 2.3.B: </w:t>
      </w:r>
      <w:r w:rsidR="00B9711D" w:rsidRPr="009B5734">
        <w:rPr>
          <w:rFonts w:ascii="Times New Roman" w:hAnsi="Times New Roman" w:cs="Times New Roman"/>
          <w:noProof/>
          <w:sz w:val="24"/>
          <w:szCs w:val="24"/>
        </w:rPr>
        <w:t xml:space="preserve">Prohibition of sustainability labels and digital information tools not meeting minimum transparency and credibility requirements  </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 Option 2.3.C: </w:t>
      </w:r>
      <w:r w:rsidR="00993C5A" w:rsidRPr="009B5734">
        <w:rPr>
          <w:rFonts w:ascii="Times New Roman" w:hAnsi="Times New Roman" w:cs="Times New Roman"/>
          <w:noProof/>
          <w:sz w:val="24"/>
          <w:szCs w:val="24"/>
        </w:rPr>
        <w:t>Pre-approval of sustainability labels and digital information tools via an EU body</w:t>
      </w:r>
    </w:p>
    <w:p w:rsidR="00EA45F9" w:rsidRPr="009B5734" w:rsidRDefault="00EA45F9" w:rsidP="00611D38">
      <w:pPr>
        <w:ind w:left="0" w:firstLine="0"/>
        <w:rPr>
          <w:rFonts w:ascii="Times New Roman" w:hAnsi="Times New Roman"/>
          <w:b/>
          <w:noProof/>
          <w:color w:val="000000" w:themeColor="text1"/>
          <w:sz w:val="24"/>
        </w:rPr>
      </w:pP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The table below summarises the assessment of the baseline and of each option against each assessment criterion (the assessment of their impacts is described in detail in </w:t>
      </w:r>
      <w:hyperlink w:anchor="_Annex_8:_Impacts" w:history="1">
        <w:r w:rsidRPr="009B5734">
          <w:rPr>
            <w:rStyle w:val="Hyperlink"/>
            <w:rFonts w:ascii="Times New Roman" w:hAnsi="Times New Roman" w:cs="Times New Roman"/>
            <w:noProof/>
            <w:sz w:val="24"/>
            <w:szCs w:val="24"/>
          </w:rPr>
          <w:t>Annex 8</w:t>
        </w:r>
      </w:hyperlink>
      <w:r w:rsidRPr="009B5734">
        <w:rPr>
          <w:rFonts w:ascii="Times New Roman" w:hAnsi="Times New Roman" w:cs="Times New Roman"/>
          <w:noProof/>
          <w:sz w:val="24"/>
          <w:szCs w:val="24"/>
        </w:rPr>
        <w:t>).</w:t>
      </w:r>
    </w:p>
    <w:p w:rsidR="00EA45F9" w:rsidRPr="009B5734" w:rsidRDefault="00EA45F9" w:rsidP="00EA45F9">
      <w:pPr>
        <w:ind w:left="0" w:firstLine="0"/>
        <w:rPr>
          <w:rFonts w:ascii="Times New Roman" w:hAnsi="Times New Roman" w:cs="Times New Roman"/>
          <w:noProof/>
          <w:sz w:val="24"/>
          <w:szCs w:val="24"/>
        </w:rPr>
      </w:pP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comparison of the options using a multi-criteria analysis shows that in the default scenario where Effectiveness has a weight of 30 points, Efficiency 60 points and Coherence 10 points:</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 </w:t>
      </w:r>
      <w:r w:rsidRPr="009B5734" w:rsidDel="00E7093B">
        <w:rPr>
          <w:rFonts w:ascii="Times New Roman" w:hAnsi="Times New Roman" w:cs="Times New Roman"/>
          <w:noProof/>
          <w:sz w:val="24"/>
          <w:szCs w:val="24"/>
        </w:rPr>
        <w:t xml:space="preserve">Option </w:t>
      </w:r>
      <w:r w:rsidRPr="009B5734">
        <w:rPr>
          <w:rFonts w:ascii="Times New Roman" w:hAnsi="Times New Roman" w:cs="Times New Roman"/>
          <w:noProof/>
          <w:sz w:val="24"/>
          <w:szCs w:val="24"/>
        </w:rPr>
        <w:t>B (2.3.B) ranks the highest, followed by Option C (2.3.C). Option A (2.3.A) is tied with the baseline</w:t>
      </w:r>
      <w:r w:rsidRPr="009B5734" w:rsidDel="00E7093B">
        <w:rPr>
          <w:rFonts w:ascii="Times New Roman" w:hAnsi="Times New Roman" w:cs="Times New Roman"/>
          <w:noProof/>
          <w:sz w:val="24"/>
          <w:szCs w:val="24"/>
        </w:rPr>
        <w:t>.</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The results of the sensitivity analysis show that Option B (2.3.B) ranks the highest in all 8 of the scenarios considered. The final scores for each scenario and for all possible option rankings are presented in the table below.</w:t>
      </w:r>
    </w:p>
    <w:p w:rsidR="00EA45F9" w:rsidRPr="009B5734" w:rsidRDefault="00EA45F9" w:rsidP="00EA45F9">
      <w:pPr>
        <w:rPr>
          <w:rFonts w:ascii="Times New Roman" w:hAnsi="Times New Roman"/>
          <w:b/>
          <w:noProof/>
          <w:color w:val="000000" w:themeColor="text1"/>
          <w:sz w:val="24"/>
        </w:rPr>
      </w:pPr>
    </w:p>
    <w:p w:rsidR="00EA45F9" w:rsidRPr="009B5734" w:rsidRDefault="00EA45F9" w:rsidP="00EA45F9">
      <w:pPr>
        <w:rPr>
          <w:rFonts w:ascii="Times New Roman" w:hAnsi="Times New Roman"/>
          <w:b/>
          <w:noProof/>
          <w:color w:val="000000" w:themeColor="text1"/>
          <w:sz w:val="24"/>
        </w:rPr>
      </w:pPr>
    </w:p>
    <w:p w:rsidR="00EA45F9" w:rsidRPr="009B5734" w:rsidRDefault="00EA45F9" w:rsidP="00EA45F9">
      <w:pPr>
        <w:ind w:left="0" w:firstLine="0"/>
        <w:rPr>
          <w:rFonts w:ascii="Times New Roman" w:hAnsi="Times New Roman" w:cs="Times New Roman"/>
          <w:b/>
          <w:noProof/>
          <w:sz w:val="24"/>
          <w:szCs w:val="24"/>
        </w:rPr>
      </w:pPr>
      <w:r w:rsidRPr="009B5734">
        <w:rPr>
          <w:rFonts w:ascii="Times New Roman" w:hAnsi="Times New Roman" w:cs="Times New Roman"/>
          <w:b/>
          <w:noProof/>
          <w:sz w:val="24"/>
          <w:szCs w:val="24"/>
        </w:rPr>
        <w:t>Results of the sensitivity analysis for the options for Sub-Problem 2.3</w:t>
      </w:r>
    </w:p>
    <w:p w:rsidR="00EA45F9" w:rsidRPr="009B5734" w:rsidRDefault="00EA45F9" w:rsidP="00EA45F9">
      <w:pPr>
        <w:rPr>
          <w:rFonts w:ascii="Times New Roman" w:hAnsi="Times New Roman"/>
          <w:b/>
          <w:noProof/>
          <w:color w:val="000000" w:themeColor="text1"/>
          <w:sz w:val="24"/>
        </w:rPr>
      </w:pPr>
    </w:p>
    <w:tbl>
      <w:tblPr>
        <w:tblW w:w="14786" w:type="dxa"/>
        <w:tblLook w:val="04A0" w:firstRow="1" w:lastRow="0" w:firstColumn="1" w:lastColumn="0" w:noHBand="0" w:noVBand="1"/>
      </w:tblPr>
      <w:tblGrid>
        <w:gridCol w:w="1140"/>
        <w:gridCol w:w="1686"/>
        <w:gridCol w:w="1638"/>
        <w:gridCol w:w="1685"/>
        <w:gridCol w:w="1685"/>
        <w:gridCol w:w="1685"/>
        <w:gridCol w:w="1685"/>
        <w:gridCol w:w="1583"/>
        <w:gridCol w:w="1999"/>
      </w:tblGrid>
      <w:tr w:rsidR="00B30A0F" w:rsidRPr="009B5734" w:rsidTr="00C84A99">
        <w:trPr>
          <w:trHeight w:val="1034"/>
        </w:trPr>
        <w:tc>
          <w:tcPr>
            <w:tcW w:w="1140" w:type="dxa"/>
            <w:tcBorders>
              <w:top w:val="single" w:sz="4" w:space="0" w:color="auto"/>
              <w:left w:val="single" w:sz="4" w:space="0" w:color="auto"/>
              <w:bottom w:val="nil"/>
              <w:right w:val="single" w:sz="4" w:space="0" w:color="auto"/>
            </w:tcBorders>
            <w:shd w:val="clear" w:color="auto" w:fill="002395"/>
            <w:hideMark/>
          </w:tcPr>
          <w:p w:rsidR="00EA45F9" w:rsidRPr="009B5734" w:rsidRDefault="00EA45F9" w:rsidP="00981615">
            <w:pPr>
              <w:rPr>
                <w:rFonts w:ascii="Calibri" w:hAnsi="Calibri" w:cs="Calibri"/>
                <w:b/>
                <w:bCs/>
                <w:noProof/>
                <w:color w:val="FFFFFF"/>
                <w:sz w:val="18"/>
                <w:szCs w:val="18"/>
              </w:rPr>
            </w:pPr>
            <w:r w:rsidRPr="009B5734">
              <w:rPr>
                <w:rFonts w:ascii="Calibri" w:hAnsi="Calibri" w:cs="Calibri"/>
                <w:b/>
                <w:bCs/>
                <w:noProof/>
                <w:color w:val="FFFFFF"/>
                <w:sz w:val="18"/>
                <w:szCs w:val="18"/>
              </w:rPr>
              <w:t>Ranking of options</w:t>
            </w:r>
          </w:p>
        </w:tc>
        <w:tc>
          <w:tcPr>
            <w:tcW w:w="1686" w:type="dxa"/>
            <w:tcBorders>
              <w:top w:val="single" w:sz="4" w:space="0" w:color="auto"/>
              <w:left w:val="nil"/>
              <w:bottom w:val="nil"/>
              <w:right w:val="single" w:sz="4" w:space="0" w:color="auto"/>
            </w:tcBorders>
            <w:shd w:val="clear" w:color="auto" w:fill="002395"/>
          </w:tcPr>
          <w:p w:rsidR="00EA45F9" w:rsidRPr="009B5734" w:rsidRDefault="00EA45F9" w:rsidP="00981615">
            <w:pPr>
              <w:rPr>
                <w:rFonts w:ascii="Calibri" w:hAnsi="Calibri" w:cs="Calibri"/>
                <w:b/>
                <w:bCs/>
                <w:noProof/>
                <w:color w:val="FFFFFF"/>
                <w:sz w:val="18"/>
                <w:szCs w:val="18"/>
              </w:rPr>
            </w:pPr>
            <w:r w:rsidRPr="009B5734">
              <w:rPr>
                <w:rFonts w:ascii="Calibri" w:hAnsi="Calibri" w:cs="Calibri"/>
                <w:b/>
                <w:bCs/>
                <w:noProof/>
                <w:color w:val="FFFFFF"/>
                <w:sz w:val="18"/>
                <w:szCs w:val="18"/>
              </w:rPr>
              <w:t>Default: Effectiveness 30%, Efficiency 60% and Coherence 10%</w:t>
            </w:r>
          </w:p>
        </w:tc>
        <w:tc>
          <w:tcPr>
            <w:tcW w:w="1638" w:type="dxa"/>
            <w:tcBorders>
              <w:top w:val="single" w:sz="4" w:space="0" w:color="auto"/>
              <w:left w:val="nil"/>
              <w:bottom w:val="nil"/>
              <w:right w:val="single" w:sz="4" w:space="0" w:color="auto"/>
            </w:tcBorders>
            <w:shd w:val="clear" w:color="auto" w:fill="002395"/>
          </w:tcPr>
          <w:p w:rsidR="00EA45F9" w:rsidRPr="009B5734" w:rsidRDefault="00EA45F9" w:rsidP="00981615">
            <w:pPr>
              <w:rPr>
                <w:rFonts w:ascii="Calibri" w:hAnsi="Calibri" w:cs="Calibri"/>
                <w:b/>
                <w:bCs/>
                <w:noProof/>
                <w:color w:val="FFFFFF"/>
                <w:sz w:val="18"/>
                <w:szCs w:val="18"/>
              </w:rPr>
            </w:pPr>
            <w:r w:rsidRPr="009B5734">
              <w:rPr>
                <w:rFonts w:ascii="Calibri" w:hAnsi="Calibri" w:cs="Calibri"/>
                <w:b/>
                <w:bCs/>
                <w:noProof/>
                <w:color w:val="FFFFFF"/>
                <w:sz w:val="18"/>
                <w:szCs w:val="18"/>
              </w:rPr>
              <w:t>Effectiveness 1/3, Efficiency 1/3 and Coherence 1/3</w:t>
            </w:r>
          </w:p>
        </w:tc>
        <w:tc>
          <w:tcPr>
            <w:tcW w:w="1685" w:type="dxa"/>
            <w:tcBorders>
              <w:top w:val="single" w:sz="4" w:space="0" w:color="auto"/>
              <w:left w:val="nil"/>
              <w:bottom w:val="nil"/>
              <w:right w:val="single" w:sz="4" w:space="0" w:color="auto"/>
            </w:tcBorders>
            <w:shd w:val="clear" w:color="auto" w:fill="002395"/>
          </w:tcPr>
          <w:p w:rsidR="00EA45F9" w:rsidRPr="009B5734" w:rsidRDefault="00EA45F9" w:rsidP="00981615">
            <w:pPr>
              <w:rPr>
                <w:rFonts w:ascii="Calibri" w:hAnsi="Calibri" w:cs="Calibri"/>
                <w:b/>
                <w:bCs/>
                <w:noProof/>
                <w:color w:val="FFFFFF"/>
                <w:sz w:val="18"/>
                <w:szCs w:val="18"/>
              </w:rPr>
            </w:pPr>
            <w:r w:rsidRPr="009B5734">
              <w:rPr>
                <w:rFonts w:ascii="Calibri" w:hAnsi="Calibri" w:cs="Calibri"/>
                <w:b/>
                <w:bCs/>
                <w:noProof/>
                <w:color w:val="FFFFFF"/>
                <w:sz w:val="18"/>
                <w:szCs w:val="18"/>
              </w:rPr>
              <w:t>Effectiveness 45%, Efficiency 45% and Coherence 10%</w:t>
            </w:r>
          </w:p>
        </w:tc>
        <w:tc>
          <w:tcPr>
            <w:tcW w:w="1685" w:type="dxa"/>
            <w:tcBorders>
              <w:top w:val="single" w:sz="4" w:space="0" w:color="auto"/>
              <w:left w:val="nil"/>
              <w:bottom w:val="nil"/>
              <w:right w:val="single" w:sz="4" w:space="0" w:color="auto"/>
            </w:tcBorders>
            <w:shd w:val="clear" w:color="auto" w:fill="002395"/>
          </w:tcPr>
          <w:p w:rsidR="00EA45F9" w:rsidRPr="009B5734" w:rsidRDefault="00EA45F9" w:rsidP="00981615">
            <w:pPr>
              <w:rPr>
                <w:rFonts w:ascii="Calibri" w:hAnsi="Calibri" w:cs="Calibri"/>
                <w:b/>
                <w:bCs/>
                <w:noProof/>
                <w:color w:val="FFFFFF"/>
                <w:sz w:val="18"/>
                <w:szCs w:val="18"/>
              </w:rPr>
            </w:pPr>
            <w:r w:rsidRPr="009B5734">
              <w:rPr>
                <w:rFonts w:ascii="Calibri" w:hAnsi="Calibri" w:cs="Calibri"/>
                <w:b/>
                <w:bCs/>
                <w:noProof/>
                <w:color w:val="FFFFFF"/>
                <w:sz w:val="18"/>
                <w:szCs w:val="18"/>
              </w:rPr>
              <w:t>Effectiveness 20%, Efficiency 70% and Coherence 10%</w:t>
            </w:r>
          </w:p>
        </w:tc>
        <w:tc>
          <w:tcPr>
            <w:tcW w:w="1685" w:type="dxa"/>
            <w:tcBorders>
              <w:top w:val="single" w:sz="4" w:space="0" w:color="auto"/>
              <w:left w:val="nil"/>
              <w:bottom w:val="nil"/>
              <w:right w:val="single" w:sz="4" w:space="0" w:color="auto"/>
            </w:tcBorders>
            <w:shd w:val="clear" w:color="auto" w:fill="002395"/>
          </w:tcPr>
          <w:p w:rsidR="00EA45F9" w:rsidRPr="009B5734" w:rsidRDefault="00EA45F9" w:rsidP="00981615">
            <w:pPr>
              <w:rPr>
                <w:rFonts w:ascii="Calibri" w:hAnsi="Calibri" w:cs="Calibri"/>
                <w:b/>
                <w:bCs/>
                <w:noProof/>
                <w:color w:val="FFFFFF"/>
                <w:sz w:val="18"/>
                <w:szCs w:val="18"/>
              </w:rPr>
            </w:pPr>
            <w:r w:rsidRPr="009B5734">
              <w:rPr>
                <w:rFonts w:ascii="Calibri" w:hAnsi="Calibri" w:cs="Calibri"/>
                <w:b/>
                <w:bCs/>
                <w:noProof/>
                <w:color w:val="FFFFFF"/>
                <w:sz w:val="18"/>
                <w:szCs w:val="18"/>
              </w:rPr>
              <w:t>Effectiveness 10%, Efficiency 80% and Coherence 10%</w:t>
            </w:r>
          </w:p>
        </w:tc>
        <w:tc>
          <w:tcPr>
            <w:tcW w:w="1685" w:type="dxa"/>
            <w:tcBorders>
              <w:top w:val="single" w:sz="4" w:space="0" w:color="auto"/>
              <w:left w:val="nil"/>
              <w:bottom w:val="nil"/>
              <w:right w:val="single" w:sz="4" w:space="0" w:color="auto"/>
            </w:tcBorders>
            <w:shd w:val="clear" w:color="auto" w:fill="002395"/>
          </w:tcPr>
          <w:p w:rsidR="00EA45F9" w:rsidRPr="009B5734" w:rsidRDefault="00EA45F9" w:rsidP="00981615">
            <w:pPr>
              <w:rPr>
                <w:rFonts w:ascii="Calibri" w:hAnsi="Calibri" w:cs="Calibri"/>
                <w:b/>
                <w:bCs/>
                <w:noProof/>
                <w:color w:val="FFFFFF"/>
                <w:sz w:val="18"/>
                <w:szCs w:val="18"/>
              </w:rPr>
            </w:pPr>
            <w:r w:rsidRPr="009B5734">
              <w:rPr>
                <w:rFonts w:ascii="Calibri" w:hAnsi="Calibri" w:cs="Calibri"/>
                <w:b/>
                <w:bCs/>
                <w:noProof/>
                <w:color w:val="FFFFFF"/>
                <w:sz w:val="18"/>
                <w:szCs w:val="18"/>
              </w:rPr>
              <w:t>Effectiveness 0%, Efficiency 90% and Coherence 10%</w:t>
            </w:r>
          </w:p>
        </w:tc>
        <w:tc>
          <w:tcPr>
            <w:tcW w:w="1583" w:type="dxa"/>
            <w:tcBorders>
              <w:top w:val="single" w:sz="4" w:space="0" w:color="auto"/>
              <w:left w:val="nil"/>
              <w:bottom w:val="nil"/>
              <w:right w:val="single" w:sz="4" w:space="0" w:color="auto"/>
            </w:tcBorders>
            <w:shd w:val="clear" w:color="auto" w:fill="002395"/>
          </w:tcPr>
          <w:p w:rsidR="00EA45F9" w:rsidRPr="009B5734" w:rsidRDefault="00EA45F9" w:rsidP="00981615">
            <w:pPr>
              <w:rPr>
                <w:rFonts w:ascii="Calibri" w:hAnsi="Calibri" w:cs="Calibri"/>
                <w:b/>
                <w:bCs/>
                <w:noProof/>
                <w:color w:val="FFFFFF"/>
                <w:sz w:val="18"/>
                <w:szCs w:val="18"/>
              </w:rPr>
            </w:pPr>
            <w:r w:rsidRPr="009B5734">
              <w:rPr>
                <w:rFonts w:ascii="Calibri" w:hAnsi="Calibri" w:cs="Calibri"/>
                <w:b/>
                <w:bCs/>
                <w:noProof/>
                <w:color w:val="FFFFFF"/>
                <w:sz w:val="18"/>
                <w:szCs w:val="18"/>
              </w:rPr>
              <w:t>Experts</w:t>
            </w:r>
          </w:p>
        </w:tc>
        <w:tc>
          <w:tcPr>
            <w:tcW w:w="1999" w:type="dxa"/>
            <w:tcBorders>
              <w:top w:val="single" w:sz="4" w:space="0" w:color="auto"/>
              <w:left w:val="nil"/>
              <w:bottom w:val="nil"/>
              <w:right w:val="single" w:sz="4" w:space="0" w:color="auto"/>
            </w:tcBorders>
            <w:shd w:val="clear" w:color="auto" w:fill="002395"/>
          </w:tcPr>
          <w:p w:rsidR="00EA45F9" w:rsidRPr="009B5734" w:rsidRDefault="00EA45F9" w:rsidP="00981615">
            <w:pPr>
              <w:rPr>
                <w:rFonts w:ascii="Calibri" w:hAnsi="Calibri" w:cs="Calibri"/>
                <w:b/>
                <w:bCs/>
                <w:noProof/>
                <w:color w:val="FFFFFF"/>
                <w:sz w:val="18"/>
                <w:szCs w:val="18"/>
              </w:rPr>
            </w:pPr>
            <w:r w:rsidRPr="009B5734">
              <w:rPr>
                <w:rFonts w:ascii="Arial" w:hAnsi="Arial" w:cs="Arial"/>
                <w:b/>
                <w:bCs/>
                <w:noProof/>
                <w:color w:val="FFFFFF"/>
                <w:sz w:val="16"/>
                <w:szCs w:val="16"/>
              </w:rPr>
              <w:t>Worst-case scenario: Efficiency 100% (of which 60% allocated to costs and 40% to benefits)</w:t>
            </w:r>
          </w:p>
        </w:tc>
      </w:tr>
      <w:tr w:rsidR="00B30A0F" w:rsidRPr="009B5734" w:rsidTr="00C84A99">
        <w:trPr>
          <w:trHeight w:val="288"/>
        </w:trPr>
        <w:tc>
          <w:tcPr>
            <w:tcW w:w="1140" w:type="dxa"/>
            <w:noWrap/>
            <w:vAlign w:val="bottom"/>
            <w:hideMark/>
          </w:tcPr>
          <w:p w:rsidR="006E3D3A" w:rsidRPr="009B5734" w:rsidRDefault="006E3D3A" w:rsidP="006E3D3A">
            <w:pPr>
              <w:rPr>
                <w:rFonts w:ascii="Calibri" w:hAnsi="Calibri" w:cs="Calibri"/>
                <w:noProof/>
                <w:color w:val="000000"/>
              </w:rPr>
            </w:pPr>
            <w:r w:rsidRPr="009B5734">
              <w:rPr>
                <w:rFonts w:ascii="Calibri" w:hAnsi="Calibri" w:cs="Calibri"/>
                <w:noProof/>
                <w:color w:val="000000"/>
              </w:rPr>
              <w:t>0ABC</w:t>
            </w:r>
          </w:p>
        </w:tc>
        <w:tc>
          <w:tcPr>
            <w:tcW w:w="1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120</w:t>
            </w:r>
          </w:p>
        </w:tc>
        <w:tc>
          <w:tcPr>
            <w:tcW w:w="16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67</w:t>
            </w:r>
          </w:p>
        </w:tc>
        <w:tc>
          <w:tcPr>
            <w:tcW w:w="1685"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90</w:t>
            </w:r>
          </w:p>
        </w:tc>
        <w:tc>
          <w:tcPr>
            <w:tcW w:w="1685"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140</w:t>
            </w:r>
          </w:p>
        </w:tc>
        <w:tc>
          <w:tcPr>
            <w:tcW w:w="1685"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160</w:t>
            </w:r>
          </w:p>
        </w:tc>
        <w:tc>
          <w:tcPr>
            <w:tcW w:w="1685"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180</w:t>
            </w:r>
          </w:p>
        </w:tc>
        <w:tc>
          <w:tcPr>
            <w:tcW w:w="158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97</w:t>
            </w:r>
          </w:p>
        </w:tc>
        <w:tc>
          <w:tcPr>
            <w:tcW w:w="199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216</w:t>
            </w:r>
          </w:p>
        </w:tc>
      </w:tr>
      <w:tr w:rsidR="00B30A0F" w:rsidRPr="009B5734" w:rsidTr="00C84A99">
        <w:trPr>
          <w:trHeight w:val="288"/>
        </w:trPr>
        <w:tc>
          <w:tcPr>
            <w:tcW w:w="1140" w:type="dxa"/>
            <w:noWrap/>
            <w:vAlign w:val="bottom"/>
            <w:hideMark/>
          </w:tcPr>
          <w:p w:rsidR="006E3D3A" w:rsidRPr="009B5734" w:rsidRDefault="006E3D3A" w:rsidP="006E3D3A">
            <w:pPr>
              <w:rPr>
                <w:rFonts w:ascii="Calibri" w:hAnsi="Calibri" w:cs="Calibri"/>
                <w:noProof/>
                <w:color w:val="000000"/>
              </w:rPr>
            </w:pPr>
            <w:r w:rsidRPr="009B5734">
              <w:rPr>
                <w:rFonts w:ascii="Calibri" w:hAnsi="Calibri" w:cs="Calibri"/>
                <w:noProof/>
                <w:color w:val="000000"/>
              </w:rPr>
              <w:t>A0BC</w:t>
            </w:r>
          </w:p>
        </w:tc>
        <w:tc>
          <w:tcPr>
            <w:tcW w:w="168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120</w:t>
            </w:r>
          </w:p>
        </w:tc>
        <w:tc>
          <w:tcPr>
            <w:tcW w:w="1638"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67</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90</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140</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160</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180</w:t>
            </w:r>
          </w:p>
        </w:tc>
        <w:tc>
          <w:tcPr>
            <w:tcW w:w="1583"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92</w:t>
            </w:r>
          </w:p>
        </w:tc>
        <w:tc>
          <w:tcPr>
            <w:tcW w:w="1999"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214</w:t>
            </w:r>
          </w:p>
        </w:tc>
      </w:tr>
      <w:tr w:rsidR="00B30A0F" w:rsidRPr="009B5734" w:rsidTr="00AB7BD8">
        <w:trPr>
          <w:trHeight w:val="288"/>
        </w:trPr>
        <w:tc>
          <w:tcPr>
            <w:tcW w:w="1140" w:type="dxa"/>
            <w:noWrap/>
            <w:vAlign w:val="bottom"/>
            <w:hideMark/>
          </w:tcPr>
          <w:p w:rsidR="006E3D3A" w:rsidRPr="009B5734" w:rsidRDefault="006E3D3A" w:rsidP="006E3D3A">
            <w:pPr>
              <w:rPr>
                <w:rFonts w:ascii="Calibri" w:hAnsi="Calibri" w:cs="Calibri"/>
                <w:noProof/>
                <w:color w:val="000000"/>
              </w:rPr>
            </w:pPr>
            <w:r w:rsidRPr="009B5734">
              <w:rPr>
                <w:rFonts w:ascii="Calibri" w:hAnsi="Calibri" w:cs="Calibri"/>
                <w:noProof/>
                <w:color w:val="000000"/>
              </w:rPr>
              <w:t>B0AC</w:t>
            </w:r>
          </w:p>
        </w:tc>
        <w:tc>
          <w:tcPr>
            <w:tcW w:w="168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193</w:t>
            </w:r>
          </w:p>
        </w:tc>
        <w:tc>
          <w:tcPr>
            <w:tcW w:w="1638"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141</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190</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196</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198</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C6EFCE"/>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6100"/>
              </w:rPr>
              <w:t>200</w:t>
            </w:r>
          </w:p>
        </w:tc>
        <w:tc>
          <w:tcPr>
            <w:tcW w:w="1583"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190</w:t>
            </w:r>
          </w:p>
        </w:tc>
        <w:tc>
          <w:tcPr>
            <w:tcW w:w="1999" w:type="dxa"/>
            <w:tcBorders>
              <w:top w:val="nil"/>
              <w:left w:val="nil"/>
              <w:bottom w:val="single" w:sz="4" w:space="0" w:color="D9D9D9" w:themeColor="background1" w:themeShade="D9"/>
              <w:right w:val="single" w:sz="4" w:space="0" w:color="D9D9D9" w:themeColor="background1" w:themeShade="D9"/>
            </w:tcBorders>
            <w:shd w:val="clear" w:color="auto" w:fill="C6EFCE"/>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6100"/>
              </w:rPr>
              <w:t>224</w:t>
            </w:r>
          </w:p>
        </w:tc>
      </w:tr>
      <w:tr w:rsidR="00B30A0F" w:rsidRPr="009B5734" w:rsidTr="00C84A99">
        <w:trPr>
          <w:trHeight w:val="288"/>
        </w:trPr>
        <w:tc>
          <w:tcPr>
            <w:tcW w:w="1140" w:type="dxa"/>
            <w:noWrap/>
            <w:vAlign w:val="bottom"/>
            <w:hideMark/>
          </w:tcPr>
          <w:p w:rsidR="006E3D3A" w:rsidRPr="009B5734" w:rsidRDefault="006E3D3A" w:rsidP="006E3D3A">
            <w:pPr>
              <w:rPr>
                <w:rFonts w:ascii="Calibri" w:hAnsi="Calibri" w:cs="Calibri"/>
                <w:noProof/>
                <w:color w:val="000000"/>
              </w:rPr>
            </w:pPr>
            <w:r w:rsidRPr="009B5734">
              <w:rPr>
                <w:rFonts w:ascii="Calibri" w:hAnsi="Calibri" w:cs="Calibri"/>
                <w:noProof/>
                <w:color w:val="000000"/>
              </w:rPr>
              <w:t>0BAC</w:t>
            </w:r>
          </w:p>
        </w:tc>
        <w:tc>
          <w:tcPr>
            <w:tcW w:w="168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157</w:t>
            </w:r>
          </w:p>
        </w:tc>
        <w:tc>
          <w:tcPr>
            <w:tcW w:w="1638"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104</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140</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168</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179</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190</w:t>
            </w:r>
          </w:p>
        </w:tc>
        <w:tc>
          <w:tcPr>
            <w:tcW w:w="1583"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143</w:t>
            </w:r>
          </w:p>
        </w:tc>
        <w:tc>
          <w:tcPr>
            <w:tcW w:w="1999"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220</w:t>
            </w:r>
          </w:p>
        </w:tc>
      </w:tr>
      <w:tr w:rsidR="00B30A0F" w:rsidRPr="009B5734" w:rsidTr="00C84A99">
        <w:trPr>
          <w:trHeight w:val="288"/>
        </w:trPr>
        <w:tc>
          <w:tcPr>
            <w:tcW w:w="1140" w:type="dxa"/>
            <w:noWrap/>
            <w:vAlign w:val="bottom"/>
            <w:hideMark/>
          </w:tcPr>
          <w:p w:rsidR="006E3D3A" w:rsidRPr="009B5734" w:rsidRDefault="006E3D3A" w:rsidP="006E3D3A">
            <w:pPr>
              <w:rPr>
                <w:rFonts w:ascii="Calibri" w:hAnsi="Calibri" w:cs="Calibri"/>
                <w:noProof/>
                <w:color w:val="000000"/>
              </w:rPr>
            </w:pPr>
            <w:r w:rsidRPr="009B5734">
              <w:rPr>
                <w:rFonts w:ascii="Calibri" w:hAnsi="Calibri" w:cs="Calibri"/>
                <w:noProof/>
                <w:color w:val="000000"/>
              </w:rPr>
              <w:t>AB0C</w:t>
            </w:r>
          </w:p>
        </w:tc>
        <w:tc>
          <w:tcPr>
            <w:tcW w:w="168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157</w:t>
            </w:r>
          </w:p>
        </w:tc>
        <w:tc>
          <w:tcPr>
            <w:tcW w:w="1638"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104</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140</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168</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179</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190</w:t>
            </w:r>
          </w:p>
        </w:tc>
        <w:tc>
          <w:tcPr>
            <w:tcW w:w="1583"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139</w:t>
            </w:r>
          </w:p>
        </w:tc>
        <w:tc>
          <w:tcPr>
            <w:tcW w:w="1999"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218</w:t>
            </w:r>
          </w:p>
        </w:tc>
      </w:tr>
      <w:tr w:rsidR="00B30A0F" w:rsidRPr="009B5734" w:rsidTr="00AB7BD8">
        <w:trPr>
          <w:trHeight w:val="288"/>
        </w:trPr>
        <w:tc>
          <w:tcPr>
            <w:tcW w:w="1140" w:type="dxa"/>
            <w:noWrap/>
            <w:vAlign w:val="bottom"/>
            <w:hideMark/>
          </w:tcPr>
          <w:p w:rsidR="006E3D3A" w:rsidRPr="009B5734" w:rsidRDefault="006E3D3A" w:rsidP="006E3D3A">
            <w:pPr>
              <w:rPr>
                <w:rFonts w:ascii="Calibri" w:hAnsi="Calibri" w:cs="Calibri"/>
                <w:noProof/>
                <w:color w:val="000000"/>
              </w:rPr>
            </w:pPr>
            <w:r w:rsidRPr="009B5734">
              <w:rPr>
                <w:rFonts w:ascii="Calibri" w:hAnsi="Calibri" w:cs="Calibri"/>
                <w:noProof/>
                <w:color w:val="000000"/>
              </w:rPr>
              <w:t>BA0C</w:t>
            </w:r>
          </w:p>
        </w:tc>
        <w:tc>
          <w:tcPr>
            <w:tcW w:w="168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193</w:t>
            </w:r>
          </w:p>
        </w:tc>
        <w:tc>
          <w:tcPr>
            <w:tcW w:w="1638"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141</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190</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196</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198</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C6EFCE"/>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6100"/>
              </w:rPr>
              <w:t>200</w:t>
            </w:r>
          </w:p>
        </w:tc>
        <w:tc>
          <w:tcPr>
            <w:tcW w:w="1583"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185</w:t>
            </w:r>
          </w:p>
        </w:tc>
        <w:tc>
          <w:tcPr>
            <w:tcW w:w="1999"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222</w:t>
            </w:r>
          </w:p>
        </w:tc>
      </w:tr>
      <w:tr w:rsidR="00B30A0F" w:rsidRPr="009B5734" w:rsidTr="00C84A99">
        <w:trPr>
          <w:trHeight w:val="288"/>
        </w:trPr>
        <w:tc>
          <w:tcPr>
            <w:tcW w:w="1140" w:type="dxa"/>
            <w:noWrap/>
            <w:vAlign w:val="bottom"/>
            <w:hideMark/>
          </w:tcPr>
          <w:p w:rsidR="006E3D3A" w:rsidRPr="009B5734" w:rsidRDefault="006E3D3A" w:rsidP="006E3D3A">
            <w:pPr>
              <w:rPr>
                <w:rFonts w:ascii="Calibri" w:hAnsi="Calibri" w:cs="Calibri"/>
                <w:noProof/>
                <w:color w:val="000000"/>
              </w:rPr>
            </w:pPr>
            <w:r w:rsidRPr="009B5734">
              <w:rPr>
                <w:rFonts w:ascii="Calibri" w:hAnsi="Calibri" w:cs="Calibri"/>
                <w:noProof/>
                <w:color w:val="000000"/>
              </w:rPr>
              <w:t>CA0B</w:t>
            </w:r>
          </w:p>
        </w:tc>
        <w:tc>
          <w:tcPr>
            <w:tcW w:w="168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165</w:t>
            </w:r>
          </w:p>
        </w:tc>
        <w:tc>
          <w:tcPr>
            <w:tcW w:w="1638"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128</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173</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160</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155</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150</w:t>
            </w:r>
          </w:p>
        </w:tc>
        <w:tc>
          <w:tcPr>
            <w:tcW w:w="1583"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175</w:t>
            </w:r>
          </w:p>
        </w:tc>
        <w:tc>
          <w:tcPr>
            <w:tcW w:w="1999"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162</w:t>
            </w:r>
          </w:p>
        </w:tc>
      </w:tr>
      <w:tr w:rsidR="00B30A0F" w:rsidRPr="009B5734" w:rsidTr="00C84A99">
        <w:trPr>
          <w:trHeight w:val="288"/>
        </w:trPr>
        <w:tc>
          <w:tcPr>
            <w:tcW w:w="1140" w:type="dxa"/>
            <w:noWrap/>
            <w:vAlign w:val="bottom"/>
            <w:hideMark/>
          </w:tcPr>
          <w:p w:rsidR="006E3D3A" w:rsidRPr="009B5734" w:rsidRDefault="006E3D3A" w:rsidP="006E3D3A">
            <w:pPr>
              <w:rPr>
                <w:rFonts w:ascii="Calibri" w:hAnsi="Calibri" w:cs="Calibri"/>
                <w:noProof/>
                <w:color w:val="000000"/>
              </w:rPr>
            </w:pPr>
            <w:r w:rsidRPr="009B5734">
              <w:rPr>
                <w:rFonts w:ascii="Calibri" w:hAnsi="Calibri" w:cs="Calibri"/>
                <w:noProof/>
                <w:color w:val="000000"/>
              </w:rPr>
              <w:t>AC0B</w:t>
            </w:r>
          </w:p>
        </w:tc>
        <w:tc>
          <w:tcPr>
            <w:tcW w:w="168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135</w:t>
            </w:r>
          </w:p>
        </w:tc>
        <w:tc>
          <w:tcPr>
            <w:tcW w:w="1638"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94</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128</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140</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145</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150</w:t>
            </w:r>
          </w:p>
        </w:tc>
        <w:tc>
          <w:tcPr>
            <w:tcW w:w="1583"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129</w:t>
            </w:r>
          </w:p>
        </w:tc>
        <w:tc>
          <w:tcPr>
            <w:tcW w:w="1999"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170</w:t>
            </w:r>
          </w:p>
        </w:tc>
      </w:tr>
      <w:tr w:rsidR="00B30A0F" w:rsidRPr="009B5734" w:rsidTr="00C84A99">
        <w:trPr>
          <w:trHeight w:val="288"/>
        </w:trPr>
        <w:tc>
          <w:tcPr>
            <w:tcW w:w="1140" w:type="dxa"/>
            <w:noWrap/>
            <w:vAlign w:val="bottom"/>
            <w:hideMark/>
          </w:tcPr>
          <w:p w:rsidR="006E3D3A" w:rsidRPr="009B5734" w:rsidRDefault="006E3D3A" w:rsidP="006E3D3A">
            <w:pPr>
              <w:rPr>
                <w:rFonts w:ascii="Calibri" w:hAnsi="Calibri" w:cs="Calibri"/>
                <w:noProof/>
                <w:color w:val="000000"/>
              </w:rPr>
            </w:pPr>
            <w:r w:rsidRPr="009B5734">
              <w:rPr>
                <w:rFonts w:ascii="Calibri" w:hAnsi="Calibri" w:cs="Calibri"/>
                <w:noProof/>
                <w:color w:val="000000"/>
              </w:rPr>
              <w:t>0CAB</w:t>
            </w:r>
          </w:p>
        </w:tc>
        <w:tc>
          <w:tcPr>
            <w:tcW w:w="168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135</w:t>
            </w:r>
          </w:p>
        </w:tc>
        <w:tc>
          <w:tcPr>
            <w:tcW w:w="1638"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94</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128</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140</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145</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150</w:t>
            </w:r>
          </w:p>
        </w:tc>
        <w:tc>
          <w:tcPr>
            <w:tcW w:w="1583"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133</w:t>
            </w:r>
          </w:p>
        </w:tc>
        <w:tc>
          <w:tcPr>
            <w:tcW w:w="1999"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172</w:t>
            </w:r>
          </w:p>
        </w:tc>
      </w:tr>
      <w:tr w:rsidR="00B30A0F" w:rsidRPr="009B5734" w:rsidTr="00C84A99">
        <w:trPr>
          <w:trHeight w:val="288"/>
        </w:trPr>
        <w:tc>
          <w:tcPr>
            <w:tcW w:w="1140" w:type="dxa"/>
            <w:noWrap/>
            <w:vAlign w:val="bottom"/>
            <w:hideMark/>
          </w:tcPr>
          <w:p w:rsidR="006E3D3A" w:rsidRPr="009B5734" w:rsidRDefault="006E3D3A" w:rsidP="006E3D3A">
            <w:pPr>
              <w:rPr>
                <w:rFonts w:ascii="Calibri" w:hAnsi="Calibri" w:cs="Calibri"/>
                <w:noProof/>
                <w:color w:val="000000"/>
              </w:rPr>
            </w:pPr>
            <w:r w:rsidRPr="009B5734">
              <w:rPr>
                <w:rFonts w:ascii="Calibri" w:hAnsi="Calibri" w:cs="Calibri"/>
                <w:noProof/>
                <w:color w:val="000000"/>
              </w:rPr>
              <w:t>C0AB</w:t>
            </w:r>
          </w:p>
        </w:tc>
        <w:tc>
          <w:tcPr>
            <w:tcW w:w="168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165</w:t>
            </w:r>
          </w:p>
        </w:tc>
        <w:tc>
          <w:tcPr>
            <w:tcW w:w="1638"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128</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173</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160</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155</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150</w:t>
            </w:r>
          </w:p>
        </w:tc>
        <w:tc>
          <w:tcPr>
            <w:tcW w:w="1583"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180</w:t>
            </w:r>
          </w:p>
        </w:tc>
        <w:tc>
          <w:tcPr>
            <w:tcW w:w="1999"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164</w:t>
            </w:r>
          </w:p>
        </w:tc>
      </w:tr>
      <w:tr w:rsidR="00B30A0F" w:rsidRPr="009B5734" w:rsidTr="00C84A99">
        <w:trPr>
          <w:trHeight w:val="288"/>
        </w:trPr>
        <w:tc>
          <w:tcPr>
            <w:tcW w:w="1140" w:type="dxa"/>
            <w:noWrap/>
            <w:vAlign w:val="bottom"/>
            <w:hideMark/>
          </w:tcPr>
          <w:p w:rsidR="006E3D3A" w:rsidRPr="009B5734" w:rsidRDefault="006E3D3A" w:rsidP="006E3D3A">
            <w:pPr>
              <w:rPr>
                <w:rFonts w:ascii="Calibri" w:hAnsi="Calibri" w:cs="Calibri"/>
                <w:noProof/>
                <w:color w:val="000000"/>
              </w:rPr>
            </w:pPr>
            <w:r w:rsidRPr="009B5734">
              <w:rPr>
                <w:rFonts w:ascii="Calibri" w:hAnsi="Calibri" w:cs="Calibri"/>
                <w:noProof/>
                <w:color w:val="000000"/>
              </w:rPr>
              <w:t>A0CB</w:t>
            </w:r>
          </w:p>
        </w:tc>
        <w:tc>
          <w:tcPr>
            <w:tcW w:w="168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105</w:t>
            </w:r>
          </w:p>
        </w:tc>
        <w:tc>
          <w:tcPr>
            <w:tcW w:w="1638"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61</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83</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120</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135</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150</w:t>
            </w:r>
          </w:p>
        </w:tc>
        <w:tc>
          <w:tcPr>
            <w:tcW w:w="1583"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82</w:t>
            </w:r>
          </w:p>
        </w:tc>
        <w:tc>
          <w:tcPr>
            <w:tcW w:w="1999"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178</w:t>
            </w:r>
          </w:p>
        </w:tc>
      </w:tr>
      <w:tr w:rsidR="00B30A0F" w:rsidRPr="009B5734" w:rsidTr="00C84A99">
        <w:trPr>
          <w:trHeight w:val="288"/>
        </w:trPr>
        <w:tc>
          <w:tcPr>
            <w:tcW w:w="1140" w:type="dxa"/>
            <w:noWrap/>
            <w:vAlign w:val="bottom"/>
            <w:hideMark/>
          </w:tcPr>
          <w:p w:rsidR="006E3D3A" w:rsidRPr="009B5734" w:rsidRDefault="006E3D3A" w:rsidP="006E3D3A">
            <w:pPr>
              <w:rPr>
                <w:rFonts w:ascii="Calibri" w:hAnsi="Calibri" w:cs="Calibri"/>
                <w:noProof/>
                <w:color w:val="000000"/>
              </w:rPr>
            </w:pPr>
            <w:r w:rsidRPr="009B5734">
              <w:rPr>
                <w:rFonts w:ascii="Calibri" w:hAnsi="Calibri" w:cs="Calibri"/>
                <w:noProof/>
                <w:color w:val="000000"/>
              </w:rPr>
              <w:t>0ACB</w:t>
            </w:r>
          </w:p>
        </w:tc>
        <w:tc>
          <w:tcPr>
            <w:tcW w:w="168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105</w:t>
            </w:r>
          </w:p>
        </w:tc>
        <w:tc>
          <w:tcPr>
            <w:tcW w:w="1638"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61</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83</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120</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135</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150</w:t>
            </w:r>
          </w:p>
        </w:tc>
        <w:tc>
          <w:tcPr>
            <w:tcW w:w="1583"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87</w:t>
            </w:r>
          </w:p>
        </w:tc>
        <w:tc>
          <w:tcPr>
            <w:tcW w:w="1999"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180</w:t>
            </w:r>
          </w:p>
        </w:tc>
      </w:tr>
      <w:tr w:rsidR="00B30A0F" w:rsidRPr="009B5734" w:rsidTr="00C84A99">
        <w:trPr>
          <w:trHeight w:val="288"/>
        </w:trPr>
        <w:tc>
          <w:tcPr>
            <w:tcW w:w="1140" w:type="dxa"/>
            <w:noWrap/>
            <w:vAlign w:val="bottom"/>
            <w:hideMark/>
          </w:tcPr>
          <w:p w:rsidR="006E3D3A" w:rsidRPr="009B5734" w:rsidRDefault="006E3D3A" w:rsidP="006E3D3A">
            <w:pPr>
              <w:rPr>
                <w:rFonts w:ascii="Calibri" w:hAnsi="Calibri" w:cs="Calibri"/>
                <w:noProof/>
                <w:color w:val="000000"/>
              </w:rPr>
            </w:pPr>
            <w:r w:rsidRPr="009B5734">
              <w:rPr>
                <w:rFonts w:ascii="Calibri" w:hAnsi="Calibri" w:cs="Calibri"/>
                <w:noProof/>
                <w:color w:val="000000"/>
              </w:rPr>
              <w:t>0BCA</w:t>
            </w:r>
          </w:p>
        </w:tc>
        <w:tc>
          <w:tcPr>
            <w:tcW w:w="168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187</w:t>
            </w:r>
          </w:p>
        </w:tc>
        <w:tc>
          <w:tcPr>
            <w:tcW w:w="1638"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137</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185</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188</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189</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190</w:t>
            </w:r>
          </w:p>
        </w:tc>
        <w:tc>
          <w:tcPr>
            <w:tcW w:w="1583"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190</w:t>
            </w:r>
          </w:p>
        </w:tc>
        <w:tc>
          <w:tcPr>
            <w:tcW w:w="1999"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212</w:t>
            </w:r>
          </w:p>
        </w:tc>
      </w:tr>
      <w:tr w:rsidR="00B30A0F" w:rsidRPr="009B5734" w:rsidTr="00AB7BD8">
        <w:trPr>
          <w:trHeight w:val="288"/>
        </w:trPr>
        <w:tc>
          <w:tcPr>
            <w:tcW w:w="1140" w:type="dxa"/>
            <w:noWrap/>
            <w:vAlign w:val="bottom"/>
            <w:hideMark/>
          </w:tcPr>
          <w:p w:rsidR="006E3D3A" w:rsidRPr="009B5734" w:rsidRDefault="006E3D3A" w:rsidP="006E3D3A">
            <w:pPr>
              <w:rPr>
                <w:rFonts w:ascii="Calibri" w:hAnsi="Calibri" w:cs="Calibri"/>
                <w:noProof/>
                <w:color w:val="000000"/>
              </w:rPr>
            </w:pPr>
            <w:r w:rsidRPr="009B5734">
              <w:rPr>
                <w:rFonts w:ascii="Calibri" w:hAnsi="Calibri" w:cs="Calibri"/>
                <w:noProof/>
                <w:color w:val="000000"/>
              </w:rPr>
              <w:t>B0CA</w:t>
            </w:r>
          </w:p>
        </w:tc>
        <w:tc>
          <w:tcPr>
            <w:tcW w:w="168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223</w:t>
            </w:r>
          </w:p>
        </w:tc>
        <w:tc>
          <w:tcPr>
            <w:tcW w:w="1638"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174</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235</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216</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208</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C6EFCE"/>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6100"/>
              </w:rPr>
              <w:t>200</w:t>
            </w:r>
          </w:p>
        </w:tc>
        <w:tc>
          <w:tcPr>
            <w:tcW w:w="1583"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237</w:t>
            </w:r>
          </w:p>
        </w:tc>
        <w:tc>
          <w:tcPr>
            <w:tcW w:w="1999"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216</w:t>
            </w:r>
          </w:p>
        </w:tc>
      </w:tr>
      <w:tr w:rsidR="00B30A0F" w:rsidRPr="009B5734" w:rsidTr="00C84A99">
        <w:trPr>
          <w:trHeight w:val="288"/>
        </w:trPr>
        <w:tc>
          <w:tcPr>
            <w:tcW w:w="1140" w:type="dxa"/>
            <w:noWrap/>
            <w:vAlign w:val="bottom"/>
            <w:hideMark/>
          </w:tcPr>
          <w:p w:rsidR="006E3D3A" w:rsidRPr="009B5734" w:rsidRDefault="006E3D3A" w:rsidP="006E3D3A">
            <w:pPr>
              <w:rPr>
                <w:rFonts w:ascii="Calibri" w:hAnsi="Calibri" w:cs="Calibri"/>
                <w:noProof/>
                <w:color w:val="000000"/>
              </w:rPr>
            </w:pPr>
            <w:r w:rsidRPr="009B5734">
              <w:rPr>
                <w:rFonts w:ascii="Calibri" w:hAnsi="Calibri" w:cs="Calibri"/>
                <w:noProof/>
                <w:color w:val="000000"/>
              </w:rPr>
              <w:t>C0BA</w:t>
            </w:r>
          </w:p>
        </w:tc>
        <w:tc>
          <w:tcPr>
            <w:tcW w:w="168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202</w:t>
            </w:r>
          </w:p>
        </w:tc>
        <w:tc>
          <w:tcPr>
            <w:tcW w:w="1638"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165</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223</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188</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174</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160</w:t>
            </w:r>
          </w:p>
        </w:tc>
        <w:tc>
          <w:tcPr>
            <w:tcW w:w="1583"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227</w:t>
            </w:r>
          </w:p>
        </w:tc>
        <w:tc>
          <w:tcPr>
            <w:tcW w:w="1999"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168</w:t>
            </w:r>
          </w:p>
        </w:tc>
      </w:tr>
      <w:tr w:rsidR="00B30A0F" w:rsidRPr="009B5734" w:rsidTr="00C84A99">
        <w:trPr>
          <w:trHeight w:val="288"/>
        </w:trPr>
        <w:tc>
          <w:tcPr>
            <w:tcW w:w="1140" w:type="dxa"/>
            <w:noWrap/>
            <w:vAlign w:val="bottom"/>
            <w:hideMark/>
          </w:tcPr>
          <w:p w:rsidR="006E3D3A" w:rsidRPr="009B5734" w:rsidRDefault="006E3D3A" w:rsidP="006E3D3A">
            <w:pPr>
              <w:rPr>
                <w:rFonts w:ascii="Calibri" w:hAnsi="Calibri" w:cs="Calibri"/>
                <w:noProof/>
                <w:color w:val="000000"/>
              </w:rPr>
            </w:pPr>
            <w:r w:rsidRPr="009B5734">
              <w:rPr>
                <w:rFonts w:ascii="Calibri" w:hAnsi="Calibri" w:cs="Calibri"/>
                <w:noProof/>
                <w:color w:val="000000"/>
              </w:rPr>
              <w:t>0CBA</w:t>
            </w:r>
          </w:p>
        </w:tc>
        <w:tc>
          <w:tcPr>
            <w:tcW w:w="168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172</w:t>
            </w:r>
          </w:p>
        </w:tc>
        <w:tc>
          <w:tcPr>
            <w:tcW w:w="1638"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131</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178</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168</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164</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160</w:t>
            </w:r>
          </w:p>
        </w:tc>
        <w:tc>
          <w:tcPr>
            <w:tcW w:w="1583"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180</w:t>
            </w:r>
          </w:p>
        </w:tc>
        <w:tc>
          <w:tcPr>
            <w:tcW w:w="1999"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176</w:t>
            </w:r>
          </w:p>
        </w:tc>
      </w:tr>
      <w:tr w:rsidR="00B30A0F" w:rsidRPr="009B5734" w:rsidTr="00AB7BD8">
        <w:trPr>
          <w:trHeight w:val="288"/>
        </w:trPr>
        <w:tc>
          <w:tcPr>
            <w:tcW w:w="1140" w:type="dxa"/>
            <w:noWrap/>
            <w:vAlign w:val="bottom"/>
            <w:hideMark/>
          </w:tcPr>
          <w:p w:rsidR="006E3D3A" w:rsidRPr="009B5734" w:rsidRDefault="006E3D3A" w:rsidP="006E3D3A">
            <w:pPr>
              <w:rPr>
                <w:rFonts w:ascii="Calibri" w:hAnsi="Calibri" w:cs="Calibri"/>
                <w:noProof/>
                <w:color w:val="000000"/>
              </w:rPr>
            </w:pPr>
            <w:r w:rsidRPr="009B5734">
              <w:rPr>
                <w:rFonts w:ascii="Calibri" w:hAnsi="Calibri" w:cs="Calibri"/>
                <w:noProof/>
                <w:color w:val="000000"/>
              </w:rPr>
              <w:t>BC0A</w:t>
            </w:r>
          </w:p>
        </w:tc>
        <w:tc>
          <w:tcPr>
            <w:tcW w:w="168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C6EFCE"/>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6100"/>
              </w:rPr>
              <w:t>253</w:t>
            </w:r>
          </w:p>
        </w:tc>
        <w:tc>
          <w:tcPr>
            <w:tcW w:w="1638" w:type="dxa"/>
            <w:tcBorders>
              <w:top w:val="nil"/>
              <w:left w:val="nil"/>
              <w:bottom w:val="single" w:sz="4" w:space="0" w:color="D9D9D9" w:themeColor="background1" w:themeShade="D9"/>
              <w:right w:val="single" w:sz="4" w:space="0" w:color="D9D9D9" w:themeColor="background1" w:themeShade="D9"/>
            </w:tcBorders>
            <w:shd w:val="clear" w:color="auto" w:fill="C6EFCE"/>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6100"/>
              </w:rPr>
              <w:t>207</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C6EFCE"/>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6100"/>
              </w:rPr>
              <w:t>280</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C6EFCE"/>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6100"/>
              </w:rPr>
              <w:t>236</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C6EFCE"/>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6100"/>
              </w:rPr>
              <w:t>218</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C6EFCE"/>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6100"/>
              </w:rPr>
              <w:t>200</w:t>
            </w:r>
          </w:p>
        </w:tc>
        <w:tc>
          <w:tcPr>
            <w:tcW w:w="1583" w:type="dxa"/>
            <w:tcBorders>
              <w:top w:val="nil"/>
              <w:left w:val="nil"/>
              <w:bottom w:val="single" w:sz="4" w:space="0" w:color="D9D9D9" w:themeColor="background1" w:themeShade="D9"/>
              <w:right w:val="single" w:sz="4" w:space="0" w:color="D9D9D9" w:themeColor="background1" w:themeShade="D9"/>
            </w:tcBorders>
            <w:shd w:val="clear" w:color="auto" w:fill="C6EFCE"/>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6100"/>
              </w:rPr>
              <w:t>283</w:t>
            </w:r>
          </w:p>
        </w:tc>
        <w:tc>
          <w:tcPr>
            <w:tcW w:w="1999"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208</w:t>
            </w:r>
          </w:p>
        </w:tc>
      </w:tr>
      <w:tr w:rsidR="00B30A0F" w:rsidRPr="009B5734" w:rsidTr="00C84A99">
        <w:trPr>
          <w:trHeight w:val="288"/>
        </w:trPr>
        <w:tc>
          <w:tcPr>
            <w:tcW w:w="1140" w:type="dxa"/>
            <w:noWrap/>
            <w:vAlign w:val="bottom"/>
            <w:hideMark/>
          </w:tcPr>
          <w:p w:rsidR="006E3D3A" w:rsidRPr="009B5734" w:rsidRDefault="006E3D3A" w:rsidP="006E3D3A">
            <w:pPr>
              <w:rPr>
                <w:rFonts w:ascii="Calibri" w:hAnsi="Calibri" w:cs="Calibri"/>
                <w:noProof/>
                <w:color w:val="000000"/>
              </w:rPr>
            </w:pPr>
            <w:r w:rsidRPr="009B5734">
              <w:rPr>
                <w:rFonts w:ascii="Calibri" w:hAnsi="Calibri" w:cs="Calibri"/>
                <w:noProof/>
                <w:color w:val="000000"/>
              </w:rPr>
              <w:t>CB0A</w:t>
            </w:r>
          </w:p>
        </w:tc>
        <w:tc>
          <w:tcPr>
            <w:tcW w:w="168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238</w:t>
            </w:r>
          </w:p>
        </w:tc>
        <w:tc>
          <w:tcPr>
            <w:tcW w:w="1638"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202</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273</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216</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193</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170</w:t>
            </w:r>
          </w:p>
        </w:tc>
        <w:tc>
          <w:tcPr>
            <w:tcW w:w="1583"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273</w:t>
            </w:r>
          </w:p>
        </w:tc>
        <w:tc>
          <w:tcPr>
            <w:tcW w:w="1999"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172</w:t>
            </w:r>
          </w:p>
        </w:tc>
      </w:tr>
      <w:tr w:rsidR="00B30A0F" w:rsidRPr="009B5734" w:rsidTr="00C84A99">
        <w:trPr>
          <w:trHeight w:val="288"/>
        </w:trPr>
        <w:tc>
          <w:tcPr>
            <w:tcW w:w="1140" w:type="dxa"/>
            <w:noWrap/>
            <w:vAlign w:val="bottom"/>
            <w:hideMark/>
          </w:tcPr>
          <w:p w:rsidR="006E3D3A" w:rsidRPr="009B5734" w:rsidRDefault="006E3D3A" w:rsidP="006E3D3A">
            <w:pPr>
              <w:rPr>
                <w:rFonts w:ascii="Calibri" w:hAnsi="Calibri" w:cs="Calibri"/>
                <w:noProof/>
                <w:color w:val="000000"/>
              </w:rPr>
            </w:pPr>
            <w:r w:rsidRPr="009B5734">
              <w:rPr>
                <w:rFonts w:ascii="Calibri" w:hAnsi="Calibri" w:cs="Calibri"/>
                <w:noProof/>
                <w:color w:val="000000"/>
              </w:rPr>
              <w:t>CBA0</w:t>
            </w:r>
          </w:p>
        </w:tc>
        <w:tc>
          <w:tcPr>
            <w:tcW w:w="168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238</w:t>
            </w:r>
          </w:p>
        </w:tc>
        <w:tc>
          <w:tcPr>
            <w:tcW w:w="1638"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202</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273</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216</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193</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170</w:t>
            </w:r>
          </w:p>
        </w:tc>
        <w:tc>
          <w:tcPr>
            <w:tcW w:w="1583"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269</w:t>
            </w:r>
          </w:p>
        </w:tc>
        <w:tc>
          <w:tcPr>
            <w:tcW w:w="1999"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170</w:t>
            </w:r>
          </w:p>
        </w:tc>
      </w:tr>
      <w:tr w:rsidR="00B30A0F" w:rsidRPr="009B5734" w:rsidTr="00AB7BD8">
        <w:trPr>
          <w:trHeight w:val="288"/>
        </w:trPr>
        <w:tc>
          <w:tcPr>
            <w:tcW w:w="1140" w:type="dxa"/>
            <w:noWrap/>
            <w:vAlign w:val="bottom"/>
            <w:hideMark/>
          </w:tcPr>
          <w:p w:rsidR="006E3D3A" w:rsidRPr="009B5734" w:rsidRDefault="006E3D3A" w:rsidP="006E3D3A">
            <w:pPr>
              <w:rPr>
                <w:rFonts w:ascii="Calibri" w:hAnsi="Calibri" w:cs="Calibri"/>
                <w:noProof/>
                <w:color w:val="000000"/>
              </w:rPr>
            </w:pPr>
            <w:r w:rsidRPr="009B5734">
              <w:rPr>
                <w:rFonts w:ascii="Calibri" w:hAnsi="Calibri" w:cs="Calibri"/>
                <w:noProof/>
                <w:color w:val="000000"/>
              </w:rPr>
              <w:t>BCA0</w:t>
            </w:r>
          </w:p>
        </w:tc>
        <w:tc>
          <w:tcPr>
            <w:tcW w:w="168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C6EFCE"/>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6100"/>
              </w:rPr>
              <w:t>253</w:t>
            </w:r>
          </w:p>
        </w:tc>
        <w:tc>
          <w:tcPr>
            <w:tcW w:w="1638" w:type="dxa"/>
            <w:tcBorders>
              <w:top w:val="nil"/>
              <w:left w:val="nil"/>
              <w:bottom w:val="single" w:sz="4" w:space="0" w:color="D9D9D9" w:themeColor="background1" w:themeShade="D9"/>
              <w:right w:val="single" w:sz="4" w:space="0" w:color="D9D9D9" w:themeColor="background1" w:themeShade="D9"/>
            </w:tcBorders>
            <w:shd w:val="clear" w:color="auto" w:fill="C6EFCE"/>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6100"/>
              </w:rPr>
              <w:t>207</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C6EFCE"/>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6100"/>
              </w:rPr>
              <w:t>280</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C6EFCE"/>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6100"/>
              </w:rPr>
              <w:t>236</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C6EFCE"/>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6100"/>
              </w:rPr>
              <w:t>218</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C6EFCE"/>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6100"/>
              </w:rPr>
              <w:t>200</w:t>
            </w:r>
          </w:p>
        </w:tc>
        <w:tc>
          <w:tcPr>
            <w:tcW w:w="1583"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279</w:t>
            </w:r>
          </w:p>
        </w:tc>
        <w:tc>
          <w:tcPr>
            <w:tcW w:w="1999"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206</w:t>
            </w:r>
          </w:p>
        </w:tc>
      </w:tr>
      <w:tr w:rsidR="00B30A0F" w:rsidRPr="009B5734" w:rsidTr="00C84A99">
        <w:trPr>
          <w:trHeight w:val="288"/>
        </w:trPr>
        <w:tc>
          <w:tcPr>
            <w:tcW w:w="1140" w:type="dxa"/>
            <w:noWrap/>
            <w:vAlign w:val="bottom"/>
            <w:hideMark/>
          </w:tcPr>
          <w:p w:rsidR="006E3D3A" w:rsidRPr="009B5734" w:rsidRDefault="006E3D3A" w:rsidP="006E3D3A">
            <w:pPr>
              <w:rPr>
                <w:rFonts w:ascii="Calibri" w:hAnsi="Calibri" w:cs="Calibri"/>
                <w:noProof/>
                <w:color w:val="000000"/>
              </w:rPr>
            </w:pPr>
            <w:r w:rsidRPr="009B5734">
              <w:rPr>
                <w:rFonts w:ascii="Calibri" w:hAnsi="Calibri" w:cs="Calibri"/>
                <w:noProof/>
                <w:color w:val="000000"/>
              </w:rPr>
              <w:t>ACB0</w:t>
            </w:r>
          </w:p>
        </w:tc>
        <w:tc>
          <w:tcPr>
            <w:tcW w:w="168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172</w:t>
            </w:r>
          </w:p>
        </w:tc>
        <w:tc>
          <w:tcPr>
            <w:tcW w:w="1638"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131</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178</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168</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164</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160</w:t>
            </w:r>
          </w:p>
        </w:tc>
        <w:tc>
          <w:tcPr>
            <w:tcW w:w="1583"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175</w:t>
            </w:r>
          </w:p>
        </w:tc>
        <w:tc>
          <w:tcPr>
            <w:tcW w:w="1999"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174</w:t>
            </w:r>
          </w:p>
        </w:tc>
      </w:tr>
      <w:tr w:rsidR="00B30A0F" w:rsidRPr="009B5734" w:rsidTr="00C84A99">
        <w:trPr>
          <w:trHeight w:val="288"/>
        </w:trPr>
        <w:tc>
          <w:tcPr>
            <w:tcW w:w="1140" w:type="dxa"/>
            <w:noWrap/>
            <w:vAlign w:val="bottom"/>
            <w:hideMark/>
          </w:tcPr>
          <w:p w:rsidR="006E3D3A" w:rsidRPr="009B5734" w:rsidRDefault="006E3D3A" w:rsidP="006E3D3A">
            <w:pPr>
              <w:rPr>
                <w:rFonts w:ascii="Calibri" w:hAnsi="Calibri" w:cs="Calibri"/>
                <w:noProof/>
                <w:color w:val="000000"/>
              </w:rPr>
            </w:pPr>
            <w:r w:rsidRPr="009B5734">
              <w:rPr>
                <w:rFonts w:ascii="Calibri" w:hAnsi="Calibri" w:cs="Calibri"/>
                <w:noProof/>
                <w:color w:val="000000"/>
              </w:rPr>
              <w:t>CAB0</w:t>
            </w:r>
          </w:p>
        </w:tc>
        <w:tc>
          <w:tcPr>
            <w:tcW w:w="168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202</w:t>
            </w:r>
          </w:p>
        </w:tc>
        <w:tc>
          <w:tcPr>
            <w:tcW w:w="1638"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165</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223</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188</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174</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160</w:t>
            </w:r>
          </w:p>
        </w:tc>
        <w:tc>
          <w:tcPr>
            <w:tcW w:w="1583"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222</w:t>
            </w:r>
          </w:p>
        </w:tc>
        <w:tc>
          <w:tcPr>
            <w:tcW w:w="1999"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166</w:t>
            </w:r>
          </w:p>
        </w:tc>
      </w:tr>
      <w:tr w:rsidR="00B30A0F" w:rsidRPr="009B5734" w:rsidTr="00AB7BD8">
        <w:trPr>
          <w:trHeight w:val="288"/>
        </w:trPr>
        <w:tc>
          <w:tcPr>
            <w:tcW w:w="1140" w:type="dxa"/>
            <w:noWrap/>
            <w:vAlign w:val="bottom"/>
            <w:hideMark/>
          </w:tcPr>
          <w:p w:rsidR="006E3D3A" w:rsidRPr="009B5734" w:rsidRDefault="006E3D3A" w:rsidP="006E3D3A">
            <w:pPr>
              <w:rPr>
                <w:rFonts w:ascii="Calibri" w:hAnsi="Calibri" w:cs="Calibri"/>
                <w:noProof/>
                <w:color w:val="000000"/>
              </w:rPr>
            </w:pPr>
            <w:r w:rsidRPr="009B5734">
              <w:rPr>
                <w:rFonts w:ascii="Calibri" w:hAnsi="Calibri" w:cs="Calibri"/>
                <w:noProof/>
                <w:color w:val="000000"/>
              </w:rPr>
              <w:t>BAC0</w:t>
            </w:r>
          </w:p>
        </w:tc>
        <w:tc>
          <w:tcPr>
            <w:tcW w:w="168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223</w:t>
            </w:r>
          </w:p>
        </w:tc>
        <w:tc>
          <w:tcPr>
            <w:tcW w:w="1638"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174</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235</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216</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208</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C6EFCE"/>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6100"/>
              </w:rPr>
              <w:t>200</w:t>
            </w:r>
          </w:p>
        </w:tc>
        <w:tc>
          <w:tcPr>
            <w:tcW w:w="1583"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232</w:t>
            </w:r>
          </w:p>
        </w:tc>
        <w:tc>
          <w:tcPr>
            <w:tcW w:w="1999"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214</w:t>
            </w:r>
          </w:p>
        </w:tc>
      </w:tr>
      <w:tr w:rsidR="00B30A0F" w:rsidRPr="009B5734" w:rsidTr="00C84A99">
        <w:trPr>
          <w:trHeight w:val="288"/>
        </w:trPr>
        <w:tc>
          <w:tcPr>
            <w:tcW w:w="1140" w:type="dxa"/>
            <w:noWrap/>
            <w:vAlign w:val="bottom"/>
            <w:hideMark/>
          </w:tcPr>
          <w:p w:rsidR="006E3D3A" w:rsidRPr="009B5734" w:rsidRDefault="006E3D3A" w:rsidP="006E3D3A">
            <w:pPr>
              <w:rPr>
                <w:rFonts w:ascii="Calibri" w:hAnsi="Calibri" w:cs="Calibri"/>
                <w:noProof/>
                <w:color w:val="000000"/>
              </w:rPr>
            </w:pPr>
            <w:r w:rsidRPr="009B5734">
              <w:rPr>
                <w:rFonts w:ascii="Calibri" w:hAnsi="Calibri" w:cs="Calibri"/>
                <w:noProof/>
                <w:color w:val="000000"/>
              </w:rPr>
              <w:t>ABC0</w:t>
            </w:r>
          </w:p>
        </w:tc>
        <w:tc>
          <w:tcPr>
            <w:tcW w:w="168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187</w:t>
            </w:r>
          </w:p>
        </w:tc>
        <w:tc>
          <w:tcPr>
            <w:tcW w:w="1638"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137</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185</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188</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189</w:t>
            </w:r>
          </w:p>
        </w:tc>
        <w:tc>
          <w:tcPr>
            <w:tcW w:w="1685"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190</w:t>
            </w:r>
          </w:p>
        </w:tc>
        <w:tc>
          <w:tcPr>
            <w:tcW w:w="1583"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185</w:t>
            </w:r>
          </w:p>
        </w:tc>
        <w:tc>
          <w:tcPr>
            <w:tcW w:w="1999"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tcPr>
          <w:p w:rsidR="006E3D3A" w:rsidRPr="009B5734" w:rsidRDefault="006E3D3A" w:rsidP="006E3D3A">
            <w:pPr>
              <w:rPr>
                <w:rFonts w:ascii="Calibri" w:hAnsi="Calibri" w:cs="Calibri"/>
                <w:noProof/>
                <w:color w:val="000000"/>
              </w:rPr>
            </w:pPr>
            <w:r w:rsidRPr="009B5734">
              <w:rPr>
                <w:rFonts w:ascii="Calibri" w:hAnsi="Calibri" w:cs="Calibri"/>
                <w:noProof/>
                <w:color w:val="000000"/>
              </w:rPr>
              <w:t>210</w:t>
            </w:r>
          </w:p>
        </w:tc>
      </w:tr>
    </w:tbl>
    <w:p w:rsidR="00EA45F9" w:rsidRPr="009B5734" w:rsidRDefault="00EA45F9" w:rsidP="00EA45F9">
      <w:pPr>
        <w:rPr>
          <w:rFonts w:ascii="Times New Roman" w:hAnsi="Times New Roman"/>
          <w:b/>
          <w:noProof/>
          <w:color w:val="000000" w:themeColor="text1"/>
          <w:sz w:val="24"/>
        </w:rPr>
      </w:pPr>
    </w:p>
    <w:p w:rsidR="00FE7CEC" w:rsidRPr="009B5734" w:rsidRDefault="00FE7CEC" w:rsidP="00FE7CEC">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When comparing monetisable costs and benefits using the Cost-Benefit analysis approach</w:t>
      </w:r>
      <w:r w:rsidRPr="009B5734">
        <w:rPr>
          <w:rFonts w:ascii="Times New Roman" w:hAnsi="Times New Roman" w:cs="Times New Roman"/>
          <w:noProof/>
          <w:sz w:val="24"/>
          <w:szCs w:val="24"/>
          <w:vertAlign w:val="superscript"/>
        </w:rPr>
        <w:footnoteReference w:id="250"/>
      </w:r>
      <w:r w:rsidRPr="009B5734">
        <w:rPr>
          <w:rFonts w:ascii="Times New Roman" w:hAnsi="Times New Roman" w:cs="Times New Roman"/>
          <w:noProof/>
          <w:sz w:val="24"/>
          <w:szCs w:val="24"/>
        </w:rPr>
        <w:t xml:space="preserve"> described in </w:t>
      </w:r>
      <w:hyperlink w:anchor="_General_approach_to" w:history="1">
        <w:r w:rsidRPr="009B5734">
          <w:rPr>
            <w:rStyle w:val="Hyperlink"/>
            <w:rFonts w:ascii="Times New Roman" w:hAnsi="Times New Roman" w:cs="Times New Roman"/>
            <w:noProof/>
            <w:sz w:val="24"/>
            <w:szCs w:val="24"/>
          </w:rPr>
          <w:t>Annex 9.1</w:t>
        </w:r>
      </w:hyperlink>
      <w:r w:rsidRPr="009B5734">
        <w:rPr>
          <w:rFonts w:ascii="Times New Roman" w:hAnsi="Times New Roman" w:cs="Times New Roman"/>
          <w:noProof/>
          <w:sz w:val="24"/>
          <w:szCs w:val="24"/>
        </w:rPr>
        <w:t xml:space="preserve"> above, we conclude that Option 2.3.B brings net benefits to society. </w:t>
      </w:r>
      <w:r w:rsidRPr="009B5734" w:rsidDel="00226F73">
        <w:rPr>
          <w:rFonts w:ascii="Times New Roman" w:hAnsi="Times New Roman" w:cs="Times New Roman"/>
          <w:noProof/>
          <w:sz w:val="24"/>
          <w:szCs w:val="24"/>
        </w:rPr>
        <w:t xml:space="preserve"> </w:t>
      </w:r>
      <w:r w:rsidRPr="009B5734">
        <w:rPr>
          <w:rFonts w:ascii="Times New Roman" w:hAnsi="Times New Roman" w:cs="Times New Roman"/>
          <w:noProof/>
          <w:sz w:val="24"/>
          <w:szCs w:val="24"/>
        </w:rPr>
        <w:t xml:space="preserve">Due to the voluntary nature of Option 2.3.A no CBA analysis was conducted for </w:t>
      </w:r>
      <w:r w:rsidR="00A15847" w:rsidRPr="009B5734">
        <w:rPr>
          <w:rFonts w:ascii="Times New Roman" w:hAnsi="Times New Roman" w:cs="Times New Roman"/>
          <w:noProof/>
          <w:sz w:val="24"/>
          <w:szCs w:val="24"/>
        </w:rPr>
        <w:t xml:space="preserve">this </w:t>
      </w:r>
      <w:r w:rsidRPr="009B5734">
        <w:rPr>
          <w:rFonts w:ascii="Times New Roman" w:hAnsi="Times New Roman" w:cs="Times New Roman"/>
          <w:noProof/>
          <w:sz w:val="24"/>
          <w:szCs w:val="24"/>
        </w:rPr>
        <w:t>option.</w:t>
      </w:r>
    </w:p>
    <w:p w:rsidR="00FE7CEC" w:rsidRPr="009B5734" w:rsidRDefault="00FE7CEC" w:rsidP="00FE7CEC">
      <w:pPr>
        <w:rPr>
          <w:rFonts w:ascii="Times New Roman" w:hAnsi="Times New Roman"/>
          <w:b/>
          <w:noProof/>
          <w:color w:val="000000" w:themeColor="text1"/>
          <w:sz w:val="24"/>
        </w:rPr>
      </w:pPr>
    </w:p>
    <w:p w:rsidR="00FE7CEC" w:rsidRPr="009B5734" w:rsidRDefault="00FE7CEC" w:rsidP="00FE7CEC">
      <w:pPr>
        <w:rPr>
          <w:rFonts w:ascii="Times New Roman" w:hAnsi="Times New Roman" w:cs="Times New Roman"/>
          <w:i/>
          <w:noProof/>
          <w:sz w:val="24"/>
          <w:szCs w:val="24"/>
        </w:rPr>
      </w:pPr>
      <w:r w:rsidRPr="009B5734">
        <w:rPr>
          <w:rFonts w:ascii="Times New Roman" w:hAnsi="Times New Roman" w:cs="Times New Roman"/>
          <w:i/>
          <w:noProof/>
          <w:sz w:val="24"/>
          <w:szCs w:val="24"/>
        </w:rPr>
        <w:t>Problem 2.</w:t>
      </w:r>
      <w:r w:rsidR="00127F46" w:rsidRPr="009B5734">
        <w:rPr>
          <w:rFonts w:ascii="Times New Roman" w:hAnsi="Times New Roman" w:cs="Times New Roman"/>
          <w:i/>
          <w:noProof/>
          <w:sz w:val="24"/>
          <w:szCs w:val="24"/>
        </w:rPr>
        <w:t>3</w:t>
      </w:r>
      <w:r w:rsidRPr="009B5734">
        <w:rPr>
          <w:rFonts w:ascii="Times New Roman" w:hAnsi="Times New Roman" w:cs="Times New Roman"/>
          <w:i/>
          <w:noProof/>
          <w:sz w:val="24"/>
          <w:szCs w:val="24"/>
        </w:rPr>
        <w:t>.: CBA of Option 2.</w:t>
      </w:r>
      <w:r w:rsidR="00127F46" w:rsidRPr="009B5734">
        <w:rPr>
          <w:rFonts w:ascii="Times New Roman" w:hAnsi="Times New Roman" w:cs="Times New Roman"/>
          <w:i/>
          <w:noProof/>
          <w:sz w:val="24"/>
          <w:szCs w:val="24"/>
        </w:rPr>
        <w:t>3</w:t>
      </w:r>
      <w:r w:rsidRPr="009B5734">
        <w:rPr>
          <w:rFonts w:ascii="Times New Roman" w:hAnsi="Times New Roman" w:cs="Times New Roman"/>
          <w:i/>
          <w:noProof/>
          <w:sz w:val="24"/>
          <w:szCs w:val="24"/>
        </w:rPr>
        <w:t xml:space="preserve">.B </w:t>
      </w:r>
      <w:r w:rsidR="00127F46" w:rsidRPr="009B5734">
        <w:rPr>
          <w:rFonts w:ascii="Times New Roman" w:hAnsi="Times New Roman" w:cs="Times New Roman"/>
          <w:i/>
          <w:noProof/>
          <w:sz w:val="24"/>
          <w:szCs w:val="24"/>
        </w:rPr>
        <w:t>and Option 2.3.C</w:t>
      </w:r>
      <w:r w:rsidR="00821C27" w:rsidRPr="009B5734">
        <w:rPr>
          <w:rFonts w:ascii="Times New Roman" w:hAnsi="Times New Roman" w:cs="Times New Roman"/>
          <w:i/>
          <w:noProof/>
          <w:sz w:val="24"/>
          <w:szCs w:val="24"/>
        </w:rPr>
        <w:t xml:space="preserve"> </w:t>
      </w:r>
      <w:r w:rsidRPr="009B5734">
        <w:rPr>
          <w:rFonts w:ascii="Times New Roman" w:hAnsi="Times New Roman" w:cs="Times New Roman"/>
          <w:i/>
          <w:noProof/>
          <w:sz w:val="24"/>
          <w:szCs w:val="24"/>
        </w:rPr>
        <w:t xml:space="preserve">(present value (@4%) at prices of 2019, millions of euros) </w:t>
      </w:r>
    </w:p>
    <w:p w:rsidR="00FE7CEC" w:rsidRPr="009B5734" w:rsidRDefault="00FE7CEC" w:rsidP="00FE7CEC">
      <w:pPr>
        <w:rPr>
          <w:rFonts w:ascii="Times New Roman" w:hAnsi="Times New Roman"/>
          <w:b/>
          <w:noProof/>
          <w:color w:val="000000" w:themeColor="text1"/>
          <w:sz w:val="24"/>
        </w:rPr>
      </w:pP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28"/>
        <w:gridCol w:w="2277"/>
        <w:gridCol w:w="2277"/>
      </w:tblGrid>
      <w:tr w:rsidR="0022490C" w:rsidRPr="009B5734" w:rsidTr="00C84A99">
        <w:trPr>
          <w:trHeight w:val="288"/>
          <w:jc w:val="center"/>
        </w:trPr>
        <w:tc>
          <w:tcPr>
            <w:tcW w:w="4528" w:type="dxa"/>
            <w:tcBorders>
              <w:top w:val="single" w:sz="4" w:space="0" w:color="auto"/>
              <w:left w:val="single" w:sz="4" w:space="0" w:color="auto"/>
              <w:bottom w:val="single" w:sz="4" w:space="0" w:color="auto"/>
              <w:right w:val="single" w:sz="4" w:space="0" w:color="auto"/>
            </w:tcBorders>
            <w:shd w:val="clear" w:color="auto" w:fill="5B9BD5"/>
            <w:tcMar>
              <w:top w:w="0" w:type="dxa"/>
              <w:left w:w="108" w:type="dxa"/>
              <w:bottom w:w="0" w:type="dxa"/>
              <w:right w:w="108" w:type="dxa"/>
            </w:tcMar>
            <w:hideMark/>
          </w:tcPr>
          <w:p w:rsidR="0022490C" w:rsidRPr="009B5734" w:rsidRDefault="0022490C" w:rsidP="003665DD">
            <w:pPr>
              <w:spacing w:before="120" w:after="120"/>
              <w:jc w:val="center"/>
              <w:rPr>
                <w:rFonts w:ascii="Times New Roman" w:hAnsi="Times New Roman" w:cs="Times New Roman"/>
                <w:b/>
                <w:bCs/>
                <w:noProof/>
                <w:color w:val="FFFFFF"/>
                <w:sz w:val="20"/>
                <w:szCs w:val="20"/>
              </w:rPr>
            </w:pPr>
          </w:p>
        </w:tc>
        <w:tc>
          <w:tcPr>
            <w:tcW w:w="2277" w:type="dxa"/>
            <w:tcBorders>
              <w:top w:val="single" w:sz="4" w:space="0" w:color="auto"/>
              <w:left w:val="single" w:sz="4" w:space="0" w:color="auto"/>
              <w:bottom w:val="single" w:sz="4" w:space="0" w:color="auto"/>
              <w:right w:val="single" w:sz="4" w:space="0" w:color="auto"/>
            </w:tcBorders>
            <w:shd w:val="clear" w:color="auto" w:fill="5B9BD5"/>
            <w:noWrap/>
            <w:tcMar>
              <w:top w:w="0" w:type="dxa"/>
              <w:left w:w="108" w:type="dxa"/>
              <w:bottom w:w="0" w:type="dxa"/>
              <w:right w:w="108" w:type="dxa"/>
            </w:tcMar>
            <w:vAlign w:val="center"/>
            <w:hideMark/>
          </w:tcPr>
          <w:p w:rsidR="0022490C" w:rsidRPr="009B5734" w:rsidRDefault="0022490C" w:rsidP="003665DD">
            <w:pPr>
              <w:spacing w:before="120" w:after="120"/>
              <w:jc w:val="center"/>
              <w:rPr>
                <w:rFonts w:ascii="Times New Roman" w:hAnsi="Times New Roman" w:cs="Times New Roman"/>
                <w:b/>
                <w:bCs/>
                <w:noProof/>
                <w:color w:val="FFFFFF"/>
                <w:sz w:val="20"/>
                <w:szCs w:val="20"/>
              </w:rPr>
            </w:pPr>
            <w:r w:rsidRPr="009B5734">
              <w:rPr>
                <w:rFonts w:ascii="Times New Roman" w:hAnsi="Times New Roman" w:cs="Times New Roman"/>
                <w:b/>
                <w:bCs/>
                <w:noProof/>
                <w:color w:val="FFFFFF"/>
                <w:sz w:val="20"/>
                <w:szCs w:val="20"/>
              </w:rPr>
              <w:t>2.3.B</w:t>
            </w:r>
          </w:p>
        </w:tc>
        <w:tc>
          <w:tcPr>
            <w:tcW w:w="2277" w:type="dxa"/>
            <w:tcBorders>
              <w:top w:val="single" w:sz="4" w:space="0" w:color="auto"/>
              <w:left w:val="single" w:sz="4" w:space="0" w:color="auto"/>
              <w:bottom w:val="single" w:sz="4" w:space="0" w:color="auto"/>
              <w:right w:val="single" w:sz="4" w:space="0" w:color="auto"/>
            </w:tcBorders>
            <w:shd w:val="clear" w:color="auto" w:fill="5B9BD5"/>
          </w:tcPr>
          <w:p w:rsidR="0022490C" w:rsidRPr="009B5734" w:rsidRDefault="0022490C" w:rsidP="003665DD">
            <w:pPr>
              <w:spacing w:before="120" w:after="120"/>
              <w:jc w:val="center"/>
              <w:rPr>
                <w:rFonts w:ascii="Times New Roman" w:hAnsi="Times New Roman" w:cs="Times New Roman"/>
                <w:b/>
                <w:bCs/>
                <w:noProof/>
                <w:color w:val="FFFFFF"/>
                <w:sz w:val="20"/>
                <w:szCs w:val="20"/>
              </w:rPr>
            </w:pPr>
            <w:r w:rsidRPr="009B5734">
              <w:rPr>
                <w:rFonts w:ascii="Times New Roman" w:hAnsi="Times New Roman" w:cs="Times New Roman"/>
                <w:b/>
                <w:bCs/>
                <w:noProof/>
                <w:color w:val="FFFFFF"/>
                <w:sz w:val="20"/>
                <w:szCs w:val="20"/>
              </w:rPr>
              <w:t>2.3.C</w:t>
            </w:r>
          </w:p>
        </w:tc>
      </w:tr>
      <w:tr w:rsidR="00BB477E" w:rsidRPr="009B5734" w:rsidTr="00C84A99">
        <w:trPr>
          <w:trHeight w:val="288"/>
          <w:jc w:val="center"/>
        </w:trPr>
        <w:tc>
          <w:tcPr>
            <w:tcW w:w="4528" w:type="dxa"/>
            <w:tcBorders>
              <w:top w:val="single" w:sz="4" w:space="0" w:color="auto"/>
              <w:left w:val="single" w:sz="4" w:space="0" w:color="auto"/>
              <w:bottom w:val="single" w:sz="4" w:space="0" w:color="auto"/>
              <w:right w:val="single" w:sz="4" w:space="0" w:color="auto"/>
            </w:tcBorders>
            <w:shd w:val="clear" w:color="auto" w:fill="5B9BD5"/>
            <w:tcMar>
              <w:top w:w="0" w:type="dxa"/>
              <w:left w:w="108" w:type="dxa"/>
              <w:bottom w:w="0" w:type="dxa"/>
              <w:right w:w="108" w:type="dxa"/>
            </w:tcMar>
            <w:hideMark/>
          </w:tcPr>
          <w:p w:rsidR="00BB477E" w:rsidRPr="009B5734" w:rsidRDefault="00BB477E" w:rsidP="00BB477E">
            <w:pPr>
              <w:spacing w:before="120" w:after="120"/>
              <w:jc w:val="center"/>
              <w:rPr>
                <w:rFonts w:ascii="Times New Roman" w:hAnsi="Times New Roman" w:cs="Times New Roman"/>
                <w:b/>
                <w:bCs/>
                <w:noProof/>
                <w:color w:val="FFFFFF"/>
                <w:sz w:val="20"/>
                <w:szCs w:val="20"/>
              </w:rPr>
            </w:pPr>
            <w:r w:rsidRPr="009B5734">
              <w:rPr>
                <w:rFonts w:ascii="Times New Roman" w:hAnsi="Times New Roman" w:cs="Times New Roman"/>
                <w:b/>
                <w:bCs/>
                <w:noProof/>
                <w:color w:val="FFFFFF"/>
                <w:sz w:val="20"/>
                <w:szCs w:val="20"/>
              </w:rPr>
              <w:t>2025 - 2040</w:t>
            </w:r>
          </w:p>
        </w:tc>
        <w:tc>
          <w:tcPr>
            <w:tcW w:w="2277" w:type="dxa"/>
            <w:tcBorders>
              <w:top w:val="single" w:sz="4" w:space="0" w:color="auto"/>
              <w:left w:val="single" w:sz="4" w:space="0" w:color="auto"/>
              <w:bottom w:val="single" w:sz="4" w:space="0" w:color="auto"/>
              <w:right w:val="single" w:sz="4" w:space="0" w:color="auto"/>
            </w:tcBorders>
            <w:shd w:val="clear" w:color="auto" w:fill="BDD6EE"/>
            <w:noWrap/>
            <w:tcMar>
              <w:top w:w="0" w:type="dxa"/>
              <w:left w:w="108" w:type="dxa"/>
              <w:bottom w:w="0" w:type="dxa"/>
              <w:right w:w="108" w:type="dxa"/>
            </w:tcMar>
            <w:vAlign w:val="center"/>
          </w:tcPr>
          <w:p w:rsidR="00BB477E" w:rsidRPr="009B5734" w:rsidRDefault="00BB477E" w:rsidP="00BB477E">
            <w:pPr>
              <w:spacing w:before="120" w:after="120"/>
              <w:rPr>
                <w:rFonts w:ascii="Times New Roman" w:hAnsi="Times New Roman" w:cs="Times New Roman"/>
                <w:noProof/>
                <w:color w:val="000000"/>
                <w:sz w:val="20"/>
                <w:szCs w:val="20"/>
              </w:rPr>
            </w:pPr>
            <w:r w:rsidRPr="009B5734">
              <w:rPr>
                <w:rFonts w:ascii="Times New Roman" w:hAnsi="Times New Roman" w:cs="Times New Roman"/>
                <w:noProof/>
                <w:color w:val="000000"/>
                <w:sz w:val="20"/>
                <w:szCs w:val="20"/>
              </w:rPr>
              <w:t>1675 ± 1162</w:t>
            </w:r>
          </w:p>
        </w:tc>
        <w:tc>
          <w:tcPr>
            <w:tcW w:w="2277" w:type="dxa"/>
            <w:tcBorders>
              <w:top w:val="single" w:sz="4" w:space="0" w:color="auto"/>
              <w:left w:val="single" w:sz="4" w:space="0" w:color="auto"/>
              <w:bottom w:val="single" w:sz="4" w:space="0" w:color="auto"/>
              <w:right w:val="single" w:sz="4" w:space="0" w:color="auto"/>
            </w:tcBorders>
            <w:shd w:val="clear" w:color="auto" w:fill="BDD6EE"/>
            <w:vAlign w:val="center"/>
          </w:tcPr>
          <w:p w:rsidR="00BB477E" w:rsidRPr="009B5734" w:rsidRDefault="00BB477E" w:rsidP="00BB477E">
            <w:pPr>
              <w:spacing w:before="120" w:after="120"/>
              <w:rPr>
                <w:rFonts w:ascii="Times New Roman" w:hAnsi="Times New Roman" w:cs="Times New Roman"/>
                <w:noProof/>
                <w:color w:val="000000"/>
                <w:sz w:val="20"/>
                <w:szCs w:val="20"/>
              </w:rPr>
            </w:pPr>
            <w:r w:rsidRPr="009B5734">
              <w:rPr>
                <w:rFonts w:ascii="Times New Roman" w:hAnsi="Times New Roman" w:cs="Times New Roman"/>
                <w:noProof/>
                <w:color w:val="000000"/>
                <w:sz w:val="20"/>
                <w:szCs w:val="20"/>
              </w:rPr>
              <w:t>1587 ± 1072</w:t>
            </w:r>
          </w:p>
        </w:tc>
      </w:tr>
      <w:tr w:rsidR="00BB477E" w:rsidRPr="009B5734" w:rsidTr="00C84A99">
        <w:trPr>
          <w:trHeight w:val="288"/>
          <w:jc w:val="center"/>
        </w:trPr>
        <w:tc>
          <w:tcPr>
            <w:tcW w:w="4528" w:type="dxa"/>
            <w:tcBorders>
              <w:top w:val="single" w:sz="4" w:space="0" w:color="auto"/>
              <w:left w:val="single" w:sz="4" w:space="0" w:color="auto"/>
              <w:bottom w:val="single" w:sz="4" w:space="0" w:color="auto"/>
              <w:right w:val="single" w:sz="4" w:space="0" w:color="auto"/>
            </w:tcBorders>
            <w:shd w:val="clear" w:color="auto" w:fill="5B9BD5"/>
            <w:tcMar>
              <w:top w:w="0" w:type="dxa"/>
              <w:left w:w="108" w:type="dxa"/>
              <w:bottom w:w="0" w:type="dxa"/>
              <w:right w:w="108" w:type="dxa"/>
            </w:tcMar>
            <w:hideMark/>
          </w:tcPr>
          <w:p w:rsidR="00BB477E" w:rsidRPr="009B5734" w:rsidRDefault="00BB477E" w:rsidP="00BB477E">
            <w:pPr>
              <w:spacing w:before="120" w:after="120"/>
              <w:jc w:val="center"/>
              <w:rPr>
                <w:rFonts w:ascii="Times New Roman" w:hAnsi="Times New Roman" w:cs="Times New Roman"/>
                <w:b/>
                <w:bCs/>
                <w:noProof/>
                <w:color w:val="FFFFFF"/>
                <w:sz w:val="20"/>
                <w:szCs w:val="20"/>
              </w:rPr>
            </w:pPr>
            <w:r w:rsidRPr="009B5734">
              <w:rPr>
                <w:rFonts w:ascii="Times New Roman" w:hAnsi="Times New Roman" w:cs="Times New Roman"/>
                <w:b/>
                <w:bCs/>
                <w:noProof/>
                <w:color w:val="FFFFFF"/>
                <w:sz w:val="20"/>
                <w:szCs w:val="20"/>
              </w:rPr>
              <w:t>2025 - 2050</w:t>
            </w:r>
          </w:p>
        </w:tc>
        <w:tc>
          <w:tcPr>
            <w:tcW w:w="2277" w:type="dxa"/>
            <w:tcBorders>
              <w:top w:val="single" w:sz="4" w:space="0" w:color="auto"/>
              <w:left w:val="single" w:sz="4" w:space="0" w:color="auto"/>
              <w:bottom w:val="single" w:sz="4" w:space="0" w:color="auto"/>
              <w:right w:val="single" w:sz="4" w:space="0" w:color="auto"/>
            </w:tcBorders>
            <w:shd w:val="clear" w:color="auto" w:fill="BDD6EE"/>
            <w:noWrap/>
            <w:tcMar>
              <w:top w:w="0" w:type="dxa"/>
              <w:left w:w="108" w:type="dxa"/>
              <w:bottom w:w="0" w:type="dxa"/>
              <w:right w:w="108" w:type="dxa"/>
            </w:tcMar>
            <w:vAlign w:val="center"/>
          </w:tcPr>
          <w:p w:rsidR="00BB477E" w:rsidRPr="009B5734" w:rsidRDefault="00BB477E" w:rsidP="00BB477E">
            <w:pPr>
              <w:spacing w:before="120" w:after="120"/>
              <w:rPr>
                <w:rFonts w:ascii="Times New Roman" w:hAnsi="Times New Roman" w:cs="Times New Roman"/>
                <w:noProof/>
                <w:color w:val="000000"/>
                <w:sz w:val="20"/>
                <w:szCs w:val="20"/>
              </w:rPr>
            </w:pPr>
            <w:r w:rsidRPr="009B5734">
              <w:rPr>
                <w:rFonts w:ascii="Times New Roman" w:hAnsi="Times New Roman" w:cs="Times New Roman"/>
                <w:noProof/>
                <w:color w:val="000000"/>
                <w:sz w:val="20"/>
                <w:szCs w:val="20"/>
              </w:rPr>
              <w:t>2518 ± 1597</w:t>
            </w:r>
          </w:p>
        </w:tc>
        <w:tc>
          <w:tcPr>
            <w:tcW w:w="2277" w:type="dxa"/>
            <w:tcBorders>
              <w:top w:val="single" w:sz="4" w:space="0" w:color="auto"/>
              <w:left w:val="single" w:sz="4" w:space="0" w:color="auto"/>
              <w:bottom w:val="single" w:sz="4" w:space="0" w:color="auto"/>
              <w:right w:val="single" w:sz="4" w:space="0" w:color="auto"/>
            </w:tcBorders>
            <w:shd w:val="clear" w:color="auto" w:fill="BDD6EE"/>
            <w:vAlign w:val="center"/>
          </w:tcPr>
          <w:p w:rsidR="00BB477E" w:rsidRPr="009B5734" w:rsidRDefault="00BB477E" w:rsidP="00BB477E">
            <w:pPr>
              <w:spacing w:before="120" w:after="120"/>
              <w:rPr>
                <w:rFonts w:ascii="Times New Roman" w:hAnsi="Times New Roman" w:cs="Times New Roman"/>
                <w:noProof/>
                <w:color w:val="000000"/>
                <w:sz w:val="20"/>
                <w:szCs w:val="20"/>
              </w:rPr>
            </w:pPr>
            <w:r w:rsidRPr="009B5734">
              <w:rPr>
                <w:rFonts w:ascii="Times New Roman" w:hAnsi="Times New Roman" w:cs="Times New Roman"/>
                <w:noProof/>
                <w:color w:val="000000"/>
                <w:sz w:val="20"/>
                <w:szCs w:val="20"/>
              </w:rPr>
              <w:t>2296 ± 1474</w:t>
            </w:r>
          </w:p>
        </w:tc>
      </w:tr>
    </w:tbl>
    <w:p w:rsidR="00EA45F9" w:rsidRPr="009B5734" w:rsidRDefault="00EA45F9" w:rsidP="00611D38">
      <w:pPr>
        <w:ind w:left="0" w:firstLine="0"/>
        <w:rPr>
          <w:rFonts w:ascii="Times New Roman" w:hAnsi="Times New Roman"/>
          <w:b/>
          <w:noProof/>
          <w:sz w:val="24"/>
        </w:rPr>
      </w:pPr>
    </w:p>
    <w:p w:rsidR="00EA45F9" w:rsidRPr="009B5734" w:rsidRDefault="00EA45F9" w:rsidP="00EA45F9">
      <w:pPr>
        <w:pStyle w:val="Heading1"/>
        <w:tabs>
          <w:tab w:val="clear" w:pos="480"/>
        </w:tabs>
        <w:jc w:val="center"/>
        <w:rPr>
          <w:noProof/>
        </w:rPr>
        <w:sectPr w:rsidR="00EA45F9" w:rsidRPr="009B5734" w:rsidSect="001E7331">
          <w:headerReference w:type="even" r:id="rId122"/>
          <w:headerReference w:type="default" r:id="rId123"/>
          <w:footerReference w:type="even" r:id="rId124"/>
          <w:footerReference w:type="default" r:id="rId125"/>
          <w:headerReference w:type="first" r:id="rId126"/>
          <w:footerReference w:type="first" r:id="rId127"/>
          <w:pgSz w:w="16838" w:h="11906" w:orient="landscape"/>
          <w:pgMar w:top="1588" w:right="1021" w:bottom="1701" w:left="1021" w:header="601" w:footer="397" w:gutter="0"/>
          <w:cols w:space="720"/>
          <w:titlePg/>
        </w:sectPr>
      </w:pPr>
    </w:p>
    <w:p w:rsidR="00EA45F9" w:rsidRPr="009B5734" w:rsidRDefault="00EA45F9" w:rsidP="00EA45F9">
      <w:pPr>
        <w:pStyle w:val="Heading1"/>
        <w:jc w:val="center"/>
        <w:rPr>
          <w:noProof/>
        </w:rPr>
      </w:pPr>
      <w:bookmarkStart w:id="786" w:name="_Annex_10:_Monitoring"/>
      <w:bookmarkStart w:id="787" w:name="_Toc75441458"/>
      <w:bookmarkStart w:id="788" w:name="_Toc75447024"/>
      <w:bookmarkStart w:id="789" w:name="_Toc75448897"/>
      <w:bookmarkStart w:id="790" w:name="_Toc77844272"/>
      <w:bookmarkStart w:id="791" w:name="_Toc86391775"/>
      <w:bookmarkEnd w:id="786"/>
      <w:r w:rsidRPr="009B5734">
        <w:rPr>
          <w:noProof/>
        </w:rPr>
        <w:t>Annex 10: Monitoring indicators</w:t>
      </w:r>
      <w:bookmarkEnd w:id="787"/>
      <w:bookmarkEnd w:id="788"/>
      <w:bookmarkEnd w:id="789"/>
      <w:bookmarkEnd w:id="790"/>
      <w:bookmarkEnd w:id="791"/>
    </w:p>
    <w:p w:rsidR="003B5CC7" w:rsidRPr="009B5734" w:rsidRDefault="00902FD4" w:rsidP="7F52AB9A">
      <w:pPr>
        <w:pStyle w:val="Text1"/>
        <w:ind w:left="125" w:firstLine="0"/>
        <w:rPr>
          <w:noProof/>
        </w:rPr>
      </w:pPr>
      <w:r>
        <w:rPr>
          <w:noProof/>
        </w:rPr>
        <w:t xml:space="preserve">The following </w:t>
      </w:r>
      <w:r w:rsidR="00D57C55">
        <w:rPr>
          <w:noProof/>
        </w:rPr>
        <w:t>t</w:t>
      </w:r>
      <w:r>
        <w:rPr>
          <w:noProof/>
        </w:rPr>
        <w:t>able provides an overview of the monitoring indicators, sources of data and targets. The date indicated for target indicators is "5 years after entry into application" to enable data processing and preparation of the evaluation 5 years after entry into application.</w:t>
      </w:r>
    </w:p>
    <w:tbl>
      <w:tblPr>
        <w:tblW w:w="10207" w:type="dxa"/>
        <w:tblInd w:w="-318" w:type="dxa"/>
        <w:tblLayout w:type="fixed"/>
        <w:tblLook w:val="04A0" w:firstRow="1" w:lastRow="0" w:firstColumn="1" w:lastColumn="0" w:noHBand="0" w:noVBand="1"/>
      </w:tblPr>
      <w:tblGrid>
        <w:gridCol w:w="1306"/>
        <w:gridCol w:w="2664"/>
        <w:gridCol w:w="992"/>
        <w:gridCol w:w="1276"/>
        <w:gridCol w:w="1276"/>
        <w:gridCol w:w="1276"/>
        <w:gridCol w:w="1417"/>
      </w:tblGrid>
      <w:tr w:rsidR="003B5CC7" w:rsidRPr="009B5734" w:rsidTr="00C84A99">
        <w:trPr>
          <w:trHeight w:val="837"/>
        </w:trPr>
        <w:tc>
          <w:tcPr>
            <w:tcW w:w="1306" w:type="dxa"/>
            <w:tcBorders>
              <w:top w:val="single" w:sz="4" w:space="0" w:color="auto"/>
              <w:left w:val="single" w:sz="4" w:space="0" w:color="auto"/>
              <w:bottom w:val="single" w:sz="4" w:space="0" w:color="auto"/>
              <w:right w:val="single" w:sz="4" w:space="0" w:color="auto"/>
            </w:tcBorders>
            <w:hideMark/>
          </w:tcPr>
          <w:p w:rsidR="003B5CC7" w:rsidRPr="009B5734" w:rsidRDefault="003B5CC7" w:rsidP="00981615">
            <w:pPr>
              <w:ind w:left="0" w:firstLine="0"/>
              <w:rPr>
                <w:rFonts w:ascii="Times New Roman" w:hAnsi="Times New Roman" w:cs="Times New Roman"/>
                <w:b/>
                <w:noProof/>
              </w:rPr>
            </w:pPr>
            <w:r w:rsidRPr="00014EB8">
              <w:rPr>
                <w:rFonts w:ascii="Times New Roman" w:hAnsi="Times New Roman"/>
                <w:b/>
                <w:noProof/>
              </w:rPr>
              <w:t>Objectives</w:t>
            </w:r>
          </w:p>
        </w:tc>
        <w:tc>
          <w:tcPr>
            <w:tcW w:w="2664"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b/>
                <w:noProof/>
              </w:rPr>
            </w:pPr>
            <w:r w:rsidRPr="00014EB8">
              <w:rPr>
                <w:rFonts w:ascii="Times New Roman" w:hAnsi="Times New Roman"/>
                <w:b/>
                <w:noProof/>
              </w:rPr>
              <w:t>Monitoring indicators</w:t>
            </w:r>
          </w:p>
        </w:tc>
        <w:tc>
          <w:tcPr>
            <w:tcW w:w="992"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10" w:right="-108" w:hanging="10"/>
              <w:rPr>
                <w:rFonts w:ascii="Times New Roman" w:hAnsi="Times New Roman"/>
                <w:b/>
                <w:noProof/>
              </w:rPr>
            </w:pPr>
            <w:r w:rsidRPr="00014EB8">
              <w:rPr>
                <w:rFonts w:ascii="Times New Roman" w:hAnsi="Times New Roman"/>
                <w:b/>
                <w:noProof/>
              </w:rPr>
              <w:t>Baseline</w:t>
            </w:r>
          </w:p>
        </w:tc>
        <w:tc>
          <w:tcPr>
            <w:tcW w:w="1276" w:type="dxa"/>
            <w:tcBorders>
              <w:top w:val="single" w:sz="4" w:space="0" w:color="auto"/>
              <w:left w:val="single" w:sz="4" w:space="0" w:color="auto"/>
              <w:bottom w:val="single" w:sz="4" w:space="0" w:color="auto"/>
              <w:right w:val="single" w:sz="4" w:space="0" w:color="auto"/>
            </w:tcBorders>
            <w:hideMark/>
          </w:tcPr>
          <w:p w:rsidR="003B5CC7" w:rsidRPr="00C84A99" w:rsidRDefault="00902FD4">
            <w:pPr>
              <w:ind w:left="34" w:firstLine="0"/>
              <w:rPr>
                <w:rFonts w:ascii="Times New Roman" w:hAnsi="Times New Roman"/>
                <w:b/>
                <w:bCs/>
                <w:noProof/>
              </w:rPr>
            </w:pPr>
            <w:r w:rsidRPr="005D24D2">
              <w:rPr>
                <w:rFonts w:ascii="Times New Roman" w:hAnsi="Times New Roman" w:cs="Times New Roman"/>
                <w:b/>
                <w:bCs/>
                <w:noProof/>
              </w:rPr>
              <w:t>Target in 5 years after entry into application</w:t>
            </w:r>
            <w:r w:rsidR="003B5CC7" w:rsidRPr="00014EB8">
              <w:rPr>
                <w:rFonts w:ascii="Times New Roman" w:hAnsi="Times New Roman"/>
                <w:noProof/>
                <w:vertAlign w:val="superscript"/>
              </w:rPr>
              <w:footnoteReference w:id="251"/>
            </w:r>
            <w:r w:rsidR="003B5CC7" w:rsidRPr="00014EB8">
              <w:rPr>
                <w:rFonts w:ascii="Times New Roman" w:hAnsi="Times New Roman"/>
                <w:noProof/>
                <w:vertAlign w:val="superscript"/>
              </w:rPr>
              <w:footnoteReference w:id="252"/>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b/>
                <w:noProof/>
              </w:rPr>
            </w:pPr>
            <w:r w:rsidRPr="00014EB8">
              <w:rPr>
                <w:rFonts w:ascii="Times New Roman" w:hAnsi="Times New Roman"/>
                <w:b/>
                <w:noProof/>
              </w:rPr>
              <w:t>Source of data/or collection methods</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3" w:firstLine="0"/>
              <w:rPr>
                <w:rFonts w:ascii="Times New Roman" w:hAnsi="Times New Roman"/>
                <w:b/>
                <w:noProof/>
              </w:rPr>
            </w:pPr>
            <w:r w:rsidRPr="00014EB8">
              <w:rPr>
                <w:rFonts w:ascii="Times New Roman" w:hAnsi="Times New Roman"/>
                <w:b/>
                <w:noProof/>
              </w:rPr>
              <w:t xml:space="preserve">Data collected already? </w:t>
            </w:r>
          </w:p>
        </w:tc>
        <w:tc>
          <w:tcPr>
            <w:tcW w:w="1417"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b/>
                <w:noProof/>
              </w:rPr>
            </w:pPr>
            <w:r w:rsidRPr="00014EB8">
              <w:rPr>
                <w:rFonts w:ascii="Times New Roman" w:hAnsi="Times New Roman"/>
                <w:b/>
                <w:noProof/>
              </w:rPr>
              <w:t>Actors responsible for data collection</w:t>
            </w:r>
          </w:p>
        </w:tc>
      </w:tr>
      <w:tr w:rsidR="003B5CC7" w:rsidRPr="009B5734" w:rsidTr="00C84A99">
        <w:trPr>
          <w:trHeight w:val="837"/>
        </w:trPr>
        <w:tc>
          <w:tcPr>
            <w:tcW w:w="1306" w:type="dxa"/>
            <w:vMerge w:val="restart"/>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b/>
                <w:noProof/>
              </w:rPr>
            </w:pPr>
            <w:r w:rsidRPr="00014EB8">
              <w:rPr>
                <w:rFonts w:ascii="Times New Roman" w:hAnsi="Times New Roman"/>
                <w:b/>
                <w:noProof/>
              </w:rPr>
              <w:t>Enable informed purchasing decision by consumers to foster sustainable consumption</w:t>
            </w:r>
          </w:p>
        </w:tc>
        <w:tc>
          <w:tcPr>
            <w:tcW w:w="2664"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02FD4">
            <w:pPr>
              <w:ind w:left="0" w:firstLine="0"/>
              <w:rPr>
                <w:rFonts w:ascii="Times New Roman" w:hAnsi="Times New Roman"/>
                <w:noProof/>
              </w:rPr>
            </w:pPr>
            <w:r w:rsidRPr="00014EB8">
              <w:rPr>
                <w:rFonts w:ascii="Times New Roman" w:hAnsi="Times New Roman"/>
                <w:noProof/>
              </w:rPr>
              <w:t xml:space="preserve">Share of consumers interested </w:t>
            </w:r>
            <w:r w:rsidR="00902FD4">
              <w:rPr>
                <w:rFonts w:ascii="Times New Roman" w:hAnsi="Times New Roman" w:cs="Times New Roman"/>
                <w:noProof/>
              </w:rPr>
              <w:t xml:space="preserve">to receive </w:t>
            </w:r>
            <w:r w:rsidR="00902FD4" w:rsidRPr="005D24D2">
              <w:rPr>
                <w:rFonts w:ascii="Times New Roman" w:hAnsi="Times New Roman" w:cs="Times New Roman"/>
                <w:b/>
                <w:bCs/>
                <w:noProof/>
              </w:rPr>
              <w:t xml:space="preserve">information on the </w:t>
            </w:r>
            <w:r w:rsidRPr="005D24D2">
              <w:rPr>
                <w:rFonts w:ascii="Times New Roman" w:hAnsi="Times New Roman"/>
                <w:b/>
                <w:bCs/>
                <w:noProof/>
              </w:rPr>
              <w:t xml:space="preserve">durability </w:t>
            </w:r>
            <w:r w:rsidR="00902FD4" w:rsidRPr="005D24D2">
              <w:rPr>
                <w:rFonts w:ascii="Times New Roman" w:hAnsi="Times New Roman" w:cs="Times New Roman"/>
                <w:b/>
                <w:bCs/>
                <w:noProof/>
              </w:rPr>
              <w:t xml:space="preserve">of goods </w:t>
            </w:r>
          </w:p>
        </w:tc>
        <w:tc>
          <w:tcPr>
            <w:tcW w:w="992"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10" w:right="-108" w:hanging="10"/>
              <w:rPr>
                <w:rFonts w:ascii="Times New Roman" w:hAnsi="Times New Roman"/>
                <w:noProof/>
              </w:rPr>
            </w:pPr>
            <w:r w:rsidRPr="00014EB8">
              <w:rPr>
                <w:rFonts w:ascii="Times New Roman" w:hAnsi="Times New Roman"/>
                <w:noProof/>
              </w:rPr>
              <w:t>62%</w:t>
            </w:r>
            <w:r w:rsidRPr="00014EB8">
              <w:rPr>
                <w:rFonts w:ascii="Times New Roman" w:hAnsi="Times New Roman"/>
                <w:noProof/>
                <w:vertAlign w:val="superscript"/>
              </w:rPr>
              <w:footnoteReference w:id="253"/>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70-80%</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Consumer survey</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3" w:firstLine="0"/>
              <w:rPr>
                <w:rFonts w:ascii="Times New Roman" w:hAnsi="Times New Roman"/>
                <w:noProof/>
              </w:rPr>
            </w:pPr>
            <w:r w:rsidRPr="00014EB8">
              <w:rPr>
                <w:rFonts w:ascii="Times New Roman" w:hAnsi="Times New Roman"/>
                <w:noProof/>
              </w:rPr>
              <w:t xml:space="preserve">Not in a recurrent way but baseline available </w:t>
            </w:r>
          </w:p>
        </w:tc>
        <w:tc>
          <w:tcPr>
            <w:tcW w:w="1417"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noProof/>
              </w:rPr>
              <w:t>EC</w:t>
            </w:r>
          </w:p>
        </w:tc>
      </w:tr>
      <w:tr w:rsidR="003B5CC7" w:rsidRPr="009B5734" w:rsidTr="00C84A99">
        <w:trPr>
          <w:trHeight w:val="208"/>
        </w:trPr>
        <w:tc>
          <w:tcPr>
            <w:tcW w:w="1306" w:type="dxa"/>
            <w:vMerge/>
            <w:tcBorders>
              <w:top w:val="single" w:sz="4" w:space="0" w:color="auto"/>
              <w:left w:val="single" w:sz="4" w:space="0" w:color="auto"/>
              <w:bottom w:val="single" w:sz="4" w:space="0" w:color="auto"/>
              <w:right w:val="single" w:sz="4" w:space="0" w:color="auto"/>
            </w:tcBorders>
            <w:vAlign w:val="center"/>
            <w:hideMark/>
          </w:tcPr>
          <w:p w:rsidR="003B5CC7" w:rsidRPr="009B5734" w:rsidRDefault="003B5CC7" w:rsidP="00981615">
            <w:pPr>
              <w:ind w:left="0" w:firstLine="0"/>
              <w:rPr>
                <w:rFonts w:ascii="Times New Roman" w:hAnsi="Times New Roman" w:cs="Times New Roman"/>
                <w:b/>
                <w:noProof/>
              </w:rPr>
            </w:pPr>
          </w:p>
        </w:tc>
        <w:tc>
          <w:tcPr>
            <w:tcW w:w="2664" w:type="dxa"/>
            <w:tcBorders>
              <w:top w:val="single" w:sz="4" w:space="0" w:color="auto"/>
              <w:left w:val="single" w:sz="4" w:space="0" w:color="auto"/>
              <w:bottom w:val="single" w:sz="4" w:space="0" w:color="auto"/>
              <w:right w:val="single" w:sz="4" w:space="0" w:color="auto"/>
            </w:tcBorders>
            <w:hideMark/>
          </w:tcPr>
          <w:p w:rsidR="003B5CC7" w:rsidRPr="00014EB8" w:rsidRDefault="003B5CC7" w:rsidP="0026791B">
            <w:pPr>
              <w:ind w:left="0" w:firstLine="0"/>
              <w:rPr>
                <w:rFonts w:ascii="Times New Roman" w:hAnsi="Times New Roman"/>
                <w:noProof/>
              </w:rPr>
            </w:pPr>
            <w:r w:rsidRPr="00014EB8">
              <w:rPr>
                <w:rFonts w:ascii="Times New Roman" w:hAnsi="Times New Roman"/>
                <w:noProof/>
              </w:rPr>
              <w:t xml:space="preserve">Share of consumers who found it difficult to know how products compared on aspects other than price, such as quality, </w:t>
            </w:r>
            <w:r w:rsidRPr="00014EB8">
              <w:rPr>
                <w:rFonts w:ascii="Times New Roman" w:hAnsi="Times New Roman"/>
                <w:b/>
                <w:noProof/>
              </w:rPr>
              <w:t>how long they would last</w:t>
            </w:r>
            <w:r w:rsidRPr="00014EB8">
              <w:rPr>
                <w:rFonts w:ascii="Times New Roman" w:hAnsi="Times New Roman"/>
                <w:noProof/>
              </w:rPr>
              <w:t xml:space="preserve"> etc.</w:t>
            </w:r>
          </w:p>
        </w:tc>
        <w:tc>
          <w:tcPr>
            <w:tcW w:w="992"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10" w:right="-108" w:hanging="10"/>
              <w:rPr>
                <w:rFonts w:ascii="Times New Roman" w:hAnsi="Times New Roman"/>
                <w:noProof/>
              </w:rPr>
            </w:pPr>
            <w:r w:rsidRPr="00014EB8">
              <w:rPr>
                <w:rFonts w:ascii="Times New Roman" w:hAnsi="Times New Roman"/>
                <w:noProof/>
              </w:rPr>
              <w:t>60%</w:t>
            </w:r>
          </w:p>
          <w:p w:rsidR="003B5CC7" w:rsidRPr="00014EB8" w:rsidRDefault="003B5CC7" w:rsidP="00981615">
            <w:pPr>
              <w:ind w:left="10" w:right="-108" w:hanging="10"/>
              <w:rPr>
                <w:rFonts w:ascii="Times New Roman" w:hAnsi="Times New Roman"/>
                <w:noProof/>
              </w:rPr>
            </w:pPr>
            <w:r w:rsidRPr="00014EB8">
              <w:rPr>
                <w:rFonts w:ascii="Times New Roman" w:hAnsi="Times New Roman"/>
                <w:noProof/>
              </w:rPr>
              <w:t>-70%</w:t>
            </w:r>
            <w:r w:rsidRPr="00014EB8">
              <w:rPr>
                <w:rFonts w:ascii="Times New Roman" w:hAnsi="Times New Roman"/>
                <w:noProof/>
                <w:vertAlign w:val="superscript"/>
              </w:rPr>
              <w:footnoteReference w:id="254"/>
            </w:r>
            <w:r w:rsidRPr="00014EB8">
              <w:rPr>
                <w:rFonts w:ascii="Times New Roman" w:hAnsi="Times New Roman"/>
                <w:noProof/>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30-40%</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Consumer survey</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3" w:firstLine="0"/>
              <w:rPr>
                <w:rFonts w:ascii="Times New Roman" w:hAnsi="Times New Roman"/>
                <w:noProof/>
              </w:rPr>
            </w:pPr>
            <w:r w:rsidRPr="00014EB8">
              <w:rPr>
                <w:rFonts w:ascii="Times New Roman" w:hAnsi="Times New Roman"/>
                <w:noProof/>
              </w:rPr>
              <w:t>Yes</w:t>
            </w:r>
          </w:p>
        </w:tc>
        <w:tc>
          <w:tcPr>
            <w:tcW w:w="1417"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noProof/>
              </w:rPr>
              <w:t>EC</w:t>
            </w:r>
          </w:p>
        </w:tc>
      </w:tr>
      <w:tr w:rsidR="003B5CC7" w:rsidRPr="009B5734" w:rsidTr="00C84A99">
        <w:trPr>
          <w:trHeight w:val="208"/>
        </w:trPr>
        <w:tc>
          <w:tcPr>
            <w:tcW w:w="1306" w:type="dxa"/>
            <w:vMerge/>
            <w:tcBorders>
              <w:top w:val="single" w:sz="4" w:space="0" w:color="auto"/>
              <w:left w:val="single" w:sz="4" w:space="0" w:color="auto"/>
              <w:bottom w:val="single" w:sz="4" w:space="0" w:color="auto"/>
              <w:right w:val="single" w:sz="4" w:space="0" w:color="auto"/>
            </w:tcBorders>
            <w:vAlign w:val="center"/>
            <w:hideMark/>
          </w:tcPr>
          <w:p w:rsidR="003B5CC7" w:rsidRPr="009B5734" w:rsidRDefault="003B5CC7" w:rsidP="00981615">
            <w:pPr>
              <w:ind w:left="0" w:firstLine="0"/>
              <w:rPr>
                <w:rFonts w:ascii="Times New Roman" w:hAnsi="Times New Roman" w:cs="Times New Roman"/>
                <w:b/>
                <w:noProof/>
              </w:rPr>
            </w:pPr>
          </w:p>
        </w:tc>
        <w:tc>
          <w:tcPr>
            <w:tcW w:w="2664"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noProof/>
              </w:rPr>
              <w:t xml:space="preserve">Share of consumers who were provided with information about the </w:t>
            </w:r>
            <w:r w:rsidRPr="00014EB8">
              <w:rPr>
                <w:rFonts w:ascii="Times New Roman" w:hAnsi="Times New Roman"/>
                <w:b/>
                <w:noProof/>
              </w:rPr>
              <w:t>existence and length (or absence) of the producer’s commercial guarantee  of durability</w:t>
            </w:r>
          </w:p>
        </w:tc>
        <w:tc>
          <w:tcPr>
            <w:tcW w:w="992" w:type="dxa"/>
            <w:tcBorders>
              <w:top w:val="single" w:sz="4" w:space="0" w:color="auto"/>
              <w:left w:val="single" w:sz="4" w:space="0" w:color="auto"/>
              <w:bottom w:val="single" w:sz="4" w:space="0" w:color="auto"/>
              <w:right w:val="single" w:sz="4" w:space="0" w:color="auto"/>
            </w:tcBorders>
          </w:tcPr>
          <w:p w:rsidR="003B5CC7" w:rsidRPr="00014EB8" w:rsidRDefault="003B5CC7" w:rsidP="00981615">
            <w:pPr>
              <w:ind w:left="10" w:right="-108" w:hanging="10"/>
              <w:rPr>
                <w:rFonts w:ascii="Times New Roman" w:hAnsi="Times New Roman"/>
                <w:noProof/>
              </w:rPr>
            </w:pPr>
          </w:p>
          <w:p w:rsidR="003B5CC7" w:rsidRPr="00014EB8" w:rsidRDefault="003B5CC7" w:rsidP="00981615">
            <w:pPr>
              <w:ind w:left="10" w:right="-108" w:hanging="10"/>
              <w:rPr>
                <w:rFonts w:ascii="Times New Roman" w:hAnsi="Times New Roman"/>
                <w:noProof/>
              </w:rPr>
            </w:pPr>
            <w:r w:rsidRPr="00014EB8">
              <w:rPr>
                <w:rFonts w:ascii="Times New Roman" w:hAnsi="Times New Roman"/>
                <w:noProof/>
              </w:rPr>
              <w:t>/</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90%</w:t>
            </w:r>
            <w:r w:rsidRPr="00014EB8">
              <w:rPr>
                <w:rFonts w:ascii="Times New Roman" w:hAnsi="Times New Roman"/>
                <w:noProof/>
                <w:vertAlign w:val="superscript"/>
              </w:rPr>
              <w:footnoteReference w:id="255"/>
            </w:r>
            <w:r w:rsidRPr="00014EB8">
              <w:rPr>
                <w:rFonts w:ascii="Times New Roman" w:hAnsi="Times New Roman"/>
                <w:noProof/>
              </w:rPr>
              <w:t>-100%</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Consumer survey</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3" w:firstLine="0"/>
              <w:rPr>
                <w:rFonts w:ascii="Times New Roman" w:hAnsi="Times New Roman"/>
                <w:noProof/>
              </w:rPr>
            </w:pPr>
            <w:r w:rsidRPr="00014EB8">
              <w:rPr>
                <w:rFonts w:ascii="Times New Roman" w:hAnsi="Times New Roman"/>
                <w:noProof/>
              </w:rPr>
              <w:t>No</w:t>
            </w:r>
          </w:p>
        </w:tc>
        <w:tc>
          <w:tcPr>
            <w:tcW w:w="1417"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noProof/>
              </w:rPr>
              <w:t>EC</w:t>
            </w:r>
          </w:p>
        </w:tc>
      </w:tr>
      <w:tr w:rsidR="003B5CC7" w:rsidRPr="009B5734" w:rsidTr="00C84A99">
        <w:trPr>
          <w:trHeight w:val="752"/>
        </w:trPr>
        <w:tc>
          <w:tcPr>
            <w:tcW w:w="1306" w:type="dxa"/>
            <w:vMerge/>
            <w:tcBorders>
              <w:top w:val="single" w:sz="4" w:space="0" w:color="auto"/>
              <w:left w:val="single" w:sz="4" w:space="0" w:color="auto"/>
              <w:bottom w:val="single" w:sz="4" w:space="0" w:color="auto"/>
              <w:right w:val="single" w:sz="4" w:space="0" w:color="auto"/>
            </w:tcBorders>
            <w:vAlign w:val="center"/>
            <w:hideMark/>
          </w:tcPr>
          <w:p w:rsidR="003B5CC7" w:rsidRPr="009B5734" w:rsidRDefault="003B5CC7" w:rsidP="00981615">
            <w:pPr>
              <w:ind w:left="0" w:firstLine="0"/>
              <w:rPr>
                <w:rFonts w:ascii="Times New Roman" w:hAnsi="Times New Roman" w:cs="Times New Roman"/>
                <w:b/>
                <w:noProof/>
              </w:rPr>
            </w:pPr>
          </w:p>
        </w:tc>
        <w:tc>
          <w:tcPr>
            <w:tcW w:w="2664" w:type="dxa"/>
            <w:tcBorders>
              <w:top w:val="single" w:sz="4" w:space="0" w:color="auto"/>
              <w:left w:val="single" w:sz="4" w:space="0" w:color="auto"/>
              <w:bottom w:val="single" w:sz="4" w:space="0" w:color="auto"/>
              <w:right w:val="single" w:sz="4" w:space="0" w:color="auto"/>
            </w:tcBorders>
          </w:tcPr>
          <w:p w:rsidR="003B5CC7" w:rsidRPr="00014EB8" w:rsidRDefault="003B5CC7" w:rsidP="00981615">
            <w:pPr>
              <w:ind w:left="0" w:firstLine="0"/>
              <w:rPr>
                <w:rFonts w:ascii="Times New Roman" w:hAnsi="Times New Roman"/>
                <w:noProof/>
              </w:rPr>
            </w:pPr>
            <w:r w:rsidRPr="00014EB8">
              <w:rPr>
                <w:rFonts w:ascii="Times New Roman" w:hAnsi="Times New Roman"/>
                <w:noProof/>
              </w:rPr>
              <w:t xml:space="preserve">For those products for which a commercial guarantee is offered, the period covered is at least two years </w:t>
            </w:r>
          </w:p>
          <w:p w:rsidR="003B5CC7" w:rsidRPr="00014EB8" w:rsidRDefault="003B5CC7" w:rsidP="00981615">
            <w:pPr>
              <w:ind w:left="0" w:firstLine="0"/>
              <w:rPr>
                <w:rFonts w:ascii="Times New Roman" w:hAnsi="Times New Roman"/>
                <w:noProof/>
              </w:rPr>
            </w:pPr>
          </w:p>
        </w:tc>
        <w:tc>
          <w:tcPr>
            <w:tcW w:w="992"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10" w:right="-108" w:hanging="10"/>
              <w:rPr>
                <w:rFonts w:ascii="Times New Roman" w:hAnsi="Times New Roman"/>
                <w:noProof/>
              </w:rPr>
            </w:pPr>
            <w:r w:rsidRPr="00014EB8">
              <w:rPr>
                <w:rFonts w:ascii="Times New Roman" w:hAnsi="Times New Roman"/>
                <w:noProof/>
              </w:rPr>
              <w:t>82%</w:t>
            </w:r>
            <w:r w:rsidRPr="00014EB8">
              <w:rPr>
                <w:rFonts w:ascii="Times New Roman" w:hAnsi="Times New Roman"/>
                <w:noProof/>
                <w:vertAlign w:val="superscript"/>
              </w:rPr>
              <w:footnoteReference w:id="256"/>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100%</w:t>
            </w:r>
          </w:p>
        </w:tc>
        <w:tc>
          <w:tcPr>
            <w:tcW w:w="1276" w:type="dxa"/>
            <w:tcBorders>
              <w:top w:val="single" w:sz="4" w:space="0" w:color="auto"/>
              <w:left w:val="single" w:sz="4" w:space="0" w:color="auto"/>
              <w:bottom w:val="single" w:sz="4" w:space="0" w:color="auto"/>
              <w:right w:val="nil"/>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Mystery shopping</w:t>
            </w:r>
          </w:p>
        </w:tc>
        <w:tc>
          <w:tcPr>
            <w:tcW w:w="1276" w:type="dxa"/>
            <w:tcBorders>
              <w:top w:val="single" w:sz="4" w:space="0" w:color="auto"/>
              <w:left w:val="single" w:sz="4" w:space="0" w:color="auto"/>
              <w:bottom w:val="single" w:sz="4" w:space="0" w:color="auto"/>
              <w:right w:val="nil"/>
            </w:tcBorders>
            <w:hideMark/>
          </w:tcPr>
          <w:p w:rsidR="003B5CC7" w:rsidRPr="00014EB8" w:rsidRDefault="003B5CC7" w:rsidP="00981615">
            <w:pPr>
              <w:ind w:left="33" w:firstLine="0"/>
              <w:rPr>
                <w:rFonts w:ascii="Times New Roman" w:hAnsi="Times New Roman"/>
                <w:noProof/>
              </w:rPr>
            </w:pPr>
            <w:r w:rsidRPr="00014EB8">
              <w:rPr>
                <w:rFonts w:ascii="Times New Roman" w:hAnsi="Times New Roman"/>
                <w:noProof/>
              </w:rPr>
              <w:t>Not in a recurrent way but baseline available</w:t>
            </w:r>
          </w:p>
        </w:tc>
        <w:tc>
          <w:tcPr>
            <w:tcW w:w="1417" w:type="dxa"/>
            <w:tcBorders>
              <w:top w:val="single" w:sz="4" w:space="0" w:color="auto"/>
              <w:left w:val="single" w:sz="4" w:space="0" w:color="auto"/>
              <w:bottom w:val="single" w:sz="4" w:space="0" w:color="auto"/>
              <w:right w:val="single" w:sz="4" w:space="0" w:color="auto"/>
            </w:tcBorders>
          </w:tcPr>
          <w:p w:rsidR="003B5CC7" w:rsidRPr="00014EB8" w:rsidRDefault="00902FD4" w:rsidP="00981615">
            <w:pPr>
              <w:ind w:left="0" w:firstLine="0"/>
              <w:rPr>
                <w:rFonts w:ascii="Times New Roman" w:hAnsi="Times New Roman"/>
                <w:noProof/>
              </w:rPr>
            </w:pPr>
            <w:r>
              <w:rPr>
                <w:rFonts w:ascii="Times New Roman" w:hAnsi="Times New Roman" w:cs="Times New Roman"/>
                <w:noProof/>
              </w:rPr>
              <w:t>EC</w:t>
            </w:r>
          </w:p>
        </w:tc>
      </w:tr>
      <w:tr w:rsidR="003B5CC7" w:rsidRPr="009B5734" w:rsidTr="00C84A99">
        <w:trPr>
          <w:trHeight w:val="208"/>
        </w:trPr>
        <w:tc>
          <w:tcPr>
            <w:tcW w:w="1306" w:type="dxa"/>
            <w:vMerge/>
            <w:tcBorders>
              <w:top w:val="single" w:sz="4" w:space="0" w:color="auto"/>
              <w:left w:val="single" w:sz="4" w:space="0" w:color="auto"/>
              <w:bottom w:val="single" w:sz="4" w:space="0" w:color="auto"/>
              <w:right w:val="single" w:sz="4" w:space="0" w:color="auto"/>
            </w:tcBorders>
            <w:vAlign w:val="center"/>
            <w:hideMark/>
          </w:tcPr>
          <w:p w:rsidR="003B5CC7" w:rsidRPr="009B5734" w:rsidRDefault="003B5CC7" w:rsidP="00981615">
            <w:pPr>
              <w:ind w:left="0" w:firstLine="0"/>
              <w:rPr>
                <w:rFonts w:ascii="Times New Roman" w:hAnsi="Times New Roman" w:cs="Times New Roman"/>
                <w:b/>
                <w:noProof/>
              </w:rPr>
            </w:pPr>
          </w:p>
        </w:tc>
        <w:tc>
          <w:tcPr>
            <w:tcW w:w="2664"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noProof/>
              </w:rPr>
              <w:t xml:space="preserve">Most common duration of </w:t>
            </w:r>
            <w:r w:rsidRPr="00014EB8">
              <w:rPr>
                <w:rFonts w:ascii="Times New Roman" w:hAnsi="Times New Roman"/>
                <w:b/>
                <w:noProof/>
              </w:rPr>
              <w:t>commercial guarantees</w:t>
            </w:r>
            <w:r w:rsidRPr="00014EB8">
              <w:rPr>
                <w:rFonts w:ascii="Times New Roman" w:hAnsi="Times New Roman"/>
                <w:noProof/>
              </w:rPr>
              <w:t xml:space="preserve"> offered</w:t>
            </w:r>
          </w:p>
        </w:tc>
        <w:tc>
          <w:tcPr>
            <w:tcW w:w="992"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10" w:right="-108" w:hanging="10"/>
              <w:rPr>
                <w:rFonts w:ascii="Times New Roman" w:hAnsi="Times New Roman"/>
                <w:noProof/>
              </w:rPr>
            </w:pPr>
            <w:r w:rsidRPr="00014EB8">
              <w:rPr>
                <w:rFonts w:ascii="Times New Roman" w:hAnsi="Times New Roman"/>
                <w:noProof/>
              </w:rPr>
              <w:t xml:space="preserve">3 years </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4-5 years</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Mystery shopping</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3" w:firstLine="0"/>
              <w:rPr>
                <w:rFonts w:ascii="Times New Roman" w:hAnsi="Times New Roman"/>
                <w:noProof/>
              </w:rPr>
            </w:pPr>
            <w:r w:rsidRPr="00014EB8">
              <w:rPr>
                <w:rFonts w:ascii="Times New Roman" w:hAnsi="Times New Roman"/>
                <w:noProof/>
              </w:rPr>
              <w:t>Not in a recurrent way but baseline available</w:t>
            </w:r>
          </w:p>
        </w:tc>
        <w:tc>
          <w:tcPr>
            <w:tcW w:w="1417"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noProof/>
              </w:rPr>
              <w:t>EC</w:t>
            </w:r>
          </w:p>
        </w:tc>
      </w:tr>
      <w:tr w:rsidR="003B5CC7" w:rsidRPr="009B5734" w:rsidTr="00C84A99">
        <w:trPr>
          <w:trHeight w:val="529"/>
        </w:trPr>
        <w:tc>
          <w:tcPr>
            <w:tcW w:w="1306" w:type="dxa"/>
            <w:vMerge/>
            <w:tcBorders>
              <w:top w:val="single" w:sz="4" w:space="0" w:color="auto"/>
              <w:left w:val="single" w:sz="4" w:space="0" w:color="auto"/>
              <w:bottom w:val="single" w:sz="4" w:space="0" w:color="auto"/>
              <w:right w:val="single" w:sz="4" w:space="0" w:color="auto"/>
            </w:tcBorders>
            <w:vAlign w:val="center"/>
            <w:hideMark/>
          </w:tcPr>
          <w:p w:rsidR="003B5CC7" w:rsidRPr="009B5734" w:rsidRDefault="003B5CC7" w:rsidP="00981615">
            <w:pPr>
              <w:ind w:left="0" w:firstLine="0"/>
              <w:rPr>
                <w:rFonts w:ascii="Times New Roman" w:hAnsi="Times New Roman" w:cs="Times New Roman"/>
                <w:b/>
                <w:noProof/>
              </w:rPr>
            </w:pPr>
          </w:p>
        </w:tc>
        <w:tc>
          <w:tcPr>
            <w:tcW w:w="2664"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02FD4">
            <w:pPr>
              <w:ind w:left="0" w:firstLine="0"/>
              <w:rPr>
                <w:rFonts w:ascii="Times New Roman" w:hAnsi="Times New Roman"/>
                <w:noProof/>
              </w:rPr>
            </w:pPr>
            <w:r w:rsidRPr="00014EB8">
              <w:rPr>
                <w:rFonts w:ascii="Times New Roman" w:hAnsi="Times New Roman"/>
                <w:noProof/>
              </w:rPr>
              <w:t xml:space="preserve">Share of consumers interested </w:t>
            </w:r>
            <w:r w:rsidR="00902FD4">
              <w:rPr>
                <w:rFonts w:ascii="Times New Roman" w:hAnsi="Times New Roman" w:cs="Times New Roman"/>
                <w:noProof/>
              </w:rPr>
              <w:t xml:space="preserve">to receive </w:t>
            </w:r>
            <w:r w:rsidR="00902FD4" w:rsidRPr="005D24D2">
              <w:rPr>
                <w:rFonts w:ascii="Times New Roman" w:hAnsi="Times New Roman" w:cs="Times New Roman"/>
                <w:b/>
                <w:bCs/>
                <w:noProof/>
              </w:rPr>
              <w:t>information relevant for the repair</w:t>
            </w:r>
            <w:r w:rsidR="00902FD4">
              <w:rPr>
                <w:rFonts w:ascii="Times New Roman" w:hAnsi="Times New Roman" w:cs="Times New Roman"/>
                <w:noProof/>
              </w:rPr>
              <w:t xml:space="preserve"> of goods </w:t>
            </w:r>
            <w:r w:rsidRPr="00014EB8">
              <w:rPr>
                <w:rFonts w:ascii="Times New Roman" w:hAnsi="Times New Roman"/>
                <w:noProof/>
              </w:rPr>
              <w:t xml:space="preserve">in </w:t>
            </w:r>
          </w:p>
        </w:tc>
        <w:tc>
          <w:tcPr>
            <w:tcW w:w="992"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10" w:right="-108" w:hanging="10"/>
              <w:rPr>
                <w:rFonts w:ascii="Times New Roman" w:hAnsi="Times New Roman"/>
                <w:noProof/>
              </w:rPr>
            </w:pPr>
            <w:r w:rsidRPr="00014EB8">
              <w:rPr>
                <w:rFonts w:ascii="Times New Roman" w:hAnsi="Times New Roman"/>
                <w:noProof/>
              </w:rPr>
              <w:t>55%</w:t>
            </w:r>
            <w:r w:rsidRPr="00014EB8">
              <w:rPr>
                <w:rFonts w:ascii="Times New Roman" w:hAnsi="Times New Roman"/>
                <w:noProof/>
                <w:vertAlign w:val="superscript"/>
              </w:rPr>
              <w:footnoteReference w:id="257"/>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70-80%</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Consumer survey</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3" w:firstLine="0"/>
              <w:rPr>
                <w:rFonts w:ascii="Times New Roman" w:hAnsi="Times New Roman"/>
                <w:noProof/>
              </w:rPr>
            </w:pPr>
            <w:r w:rsidRPr="00014EB8">
              <w:rPr>
                <w:rFonts w:ascii="Times New Roman" w:hAnsi="Times New Roman"/>
                <w:noProof/>
              </w:rPr>
              <w:t>Not in a recurrent way but baseline available</w:t>
            </w:r>
          </w:p>
        </w:tc>
        <w:tc>
          <w:tcPr>
            <w:tcW w:w="1417"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noProof/>
              </w:rPr>
              <w:t>EC</w:t>
            </w:r>
          </w:p>
        </w:tc>
      </w:tr>
      <w:tr w:rsidR="003B5CC7" w:rsidRPr="009B5734" w:rsidTr="00C84A99">
        <w:trPr>
          <w:trHeight w:val="529"/>
        </w:trPr>
        <w:tc>
          <w:tcPr>
            <w:tcW w:w="1306" w:type="dxa"/>
            <w:vMerge/>
            <w:tcBorders>
              <w:top w:val="single" w:sz="4" w:space="0" w:color="auto"/>
              <w:left w:val="single" w:sz="4" w:space="0" w:color="auto"/>
              <w:bottom w:val="single" w:sz="4" w:space="0" w:color="auto"/>
              <w:right w:val="single" w:sz="4" w:space="0" w:color="auto"/>
            </w:tcBorders>
            <w:vAlign w:val="center"/>
            <w:hideMark/>
          </w:tcPr>
          <w:p w:rsidR="003B5CC7" w:rsidRPr="009B5734" w:rsidRDefault="003B5CC7" w:rsidP="00981615">
            <w:pPr>
              <w:ind w:left="0" w:firstLine="0"/>
              <w:rPr>
                <w:rFonts w:ascii="Times New Roman" w:hAnsi="Times New Roman" w:cs="Times New Roman"/>
                <w:b/>
                <w:noProof/>
              </w:rPr>
            </w:pPr>
          </w:p>
        </w:tc>
        <w:tc>
          <w:tcPr>
            <w:tcW w:w="2664"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noProof/>
              </w:rPr>
              <w:t xml:space="preserve">Share of consumers who are informed about the reparability of products </w:t>
            </w:r>
          </w:p>
        </w:tc>
        <w:tc>
          <w:tcPr>
            <w:tcW w:w="992"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10" w:right="-108" w:hanging="10"/>
              <w:rPr>
                <w:rFonts w:ascii="Times New Roman" w:hAnsi="Times New Roman"/>
                <w:noProof/>
              </w:rPr>
            </w:pPr>
            <w:r w:rsidRPr="00014EB8">
              <w:rPr>
                <w:rFonts w:ascii="Times New Roman" w:hAnsi="Times New Roman"/>
                <w:noProof/>
              </w:rPr>
              <w:t>19%</w:t>
            </w:r>
            <w:r w:rsidR="00D57C55">
              <w:rPr>
                <w:rStyle w:val="FootnoteReference"/>
                <w:rFonts w:ascii="Times New Roman" w:hAnsi="Times New Roman" w:cs="Times New Roman"/>
                <w:noProof/>
              </w:rPr>
              <w:footnoteReference w:id="258"/>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40-50%</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Consumer survey</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3" w:firstLine="0"/>
              <w:rPr>
                <w:rFonts w:ascii="Times New Roman" w:hAnsi="Times New Roman"/>
                <w:noProof/>
              </w:rPr>
            </w:pPr>
            <w:r w:rsidRPr="00014EB8">
              <w:rPr>
                <w:rFonts w:ascii="Times New Roman" w:hAnsi="Times New Roman"/>
                <w:noProof/>
              </w:rPr>
              <w:t>Not in a recurrent way but baseline available</w:t>
            </w:r>
          </w:p>
        </w:tc>
        <w:tc>
          <w:tcPr>
            <w:tcW w:w="1417"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noProof/>
              </w:rPr>
              <w:t>EC</w:t>
            </w:r>
          </w:p>
        </w:tc>
      </w:tr>
      <w:tr w:rsidR="003B5CC7" w:rsidRPr="009B5734" w:rsidTr="00C84A99">
        <w:trPr>
          <w:trHeight w:val="790"/>
        </w:trPr>
        <w:tc>
          <w:tcPr>
            <w:tcW w:w="1306" w:type="dxa"/>
            <w:vMerge/>
            <w:tcBorders>
              <w:top w:val="single" w:sz="4" w:space="0" w:color="auto"/>
              <w:left w:val="single" w:sz="4" w:space="0" w:color="auto"/>
              <w:bottom w:val="single" w:sz="4" w:space="0" w:color="auto"/>
              <w:right w:val="single" w:sz="4" w:space="0" w:color="auto"/>
            </w:tcBorders>
            <w:vAlign w:val="center"/>
            <w:hideMark/>
          </w:tcPr>
          <w:p w:rsidR="003B5CC7" w:rsidRPr="009B5734" w:rsidRDefault="003B5CC7" w:rsidP="00981615">
            <w:pPr>
              <w:ind w:left="0" w:firstLine="0"/>
              <w:rPr>
                <w:rFonts w:ascii="Times New Roman" w:hAnsi="Times New Roman" w:cs="Times New Roman"/>
                <w:b/>
                <w:noProof/>
              </w:rPr>
            </w:pPr>
          </w:p>
        </w:tc>
        <w:tc>
          <w:tcPr>
            <w:tcW w:w="2664" w:type="dxa"/>
            <w:tcBorders>
              <w:top w:val="single" w:sz="4" w:space="0" w:color="auto"/>
              <w:left w:val="single" w:sz="4" w:space="0" w:color="auto"/>
              <w:bottom w:val="single" w:sz="4" w:space="0" w:color="auto"/>
              <w:right w:val="single" w:sz="4" w:space="0" w:color="auto"/>
            </w:tcBorders>
            <w:hideMark/>
          </w:tcPr>
          <w:p w:rsidR="003B5CC7" w:rsidRPr="00014EB8" w:rsidRDefault="003B5CC7" w:rsidP="00797DF6">
            <w:pPr>
              <w:ind w:left="0" w:firstLine="0"/>
              <w:rPr>
                <w:rFonts w:ascii="Times New Roman" w:hAnsi="Times New Roman"/>
                <w:noProof/>
              </w:rPr>
            </w:pPr>
            <w:r w:rsidRPr="00014EB8">
              <w:rPr>
                <w:rFonts w:ascii="Times New Roman" w:hAnsi="Times New Roman"/>
                <w:noProof/>
              </w:rPr>
              <w:t xml:space="preserve">Share of consumers who are informed of the existence and length of the </w:t>
            </w:r>
            <w:r w:rsidRPr="00014EB8">
              <w:rPr>
                <w:rFonts w:ascii="Times New Roman" w:hAnsi="Times New Roman"/>
                <w:b/>
                <w:noProof/>
              </w:rPr>
              <w:t xml:space="preserve"> period of availability of free software updates</w:t>
            </w:r>
          </w:p>
        </w:tc>
        <w:tc>
          <w:tcPr>
            <w:tcW w:w="992" w:type="dxa"/>
            <w:tcBorders>
              <w:top w:val="single" w:sz="4" w:space="0" w:color="auto"/>
              <w:left w:val="single" w:sz="4" w:space="0" w:color="auto"/>
              <w:bottom w:val="single" w:sz="4" w:space="0" w:color="auto"/>
              <w:right w:val="single" w:sz="4" w:space="0" w:color="auto"/>
            </w:tcBorders>
          </w:tcPr>
          <w:p w:rsidR="003B5CC7" w:rsidRPr="00014EB8" w:rsidRDefault="003B5CC7" w:rsidP="00981615">
            <w:pPr>
              <w:ind w:left="10" w:right="-108" w:hanging="10"/>
              <w:rPr>
                <w:rFonts w:ascii="Times New Roman" w:hAnsi="Times New Roman"/>
                <w:noProof/>
              </w:rPr>
            </w:pPr>
          </w:p>
          <w:p w:rsidR="003B5CC7" w:rsidRPr="00014EB8" w:rsidRDefault="003B5CC7" w:rsidP="00981615">
            <w:pPr>
              <w:ind w:left="10" w:right="-108" w:hanging="10"/>
              <w:rPr>
                <w:rFonts w:ascii="Times New Roman" w:hAnsi="Times New Roman"/>
                <w:noProof/>
              </w:rPr>
            </w:pPr>
            <w:r w:rsidRPr="00014EB8">
              <w:rPr>
                <w:rFonts w:ascii="Times New Roman" w:hAnsi="Times New Roman"/>
                <w:noProof/>
              </w:rPr>
              <w:t>/</w:t>
            </w:r>
          </w:p>
        </w:tc>
        <w:tc>
          <w:tcPr>
            <w:tcW w:w="1276" w:type="dxa"/>
            <w:tcBorders>
              <w:top w:val="single" w:sz="4" w:space="0" w:color="auto"/>
              <w:left w:val="single" w:sz="4" w:space="0" w:color="auto"/>
              <w:bottom w:val="single" w:sz="4" w:space="0" w:color="auto"/>
              <w:right w:val="single" w:sz="4" w:space="0" w:color="auto"/>
            </w:tcBorders>
          </w:tcPr>
          <w:p w:rsidR="003B5CC7" w:rsidRPr="00014EB8" w:rsidRDefault="003B5CC7" w:rsidP="00C84A99">
            <w:pPr>
              <w:rPr>
                <w:rFonts w:ascii="Times New Roman" w:hAnsi="Times New Roman"/>
                <w:noProof/>
              </w:rPr>
            </w:pP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Consumer survey</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3" w:firstLine="0"/>
              <w:rPr>
                <w:rFonts w:ascii="Times New Roman" w:hAnsi="Times New Roman"/>
                <w:noProof/>
              </w:rPr>
            </w:pPr>
            <w:r w:rsidRPr="00014EB8">
              <w:rPr>
                <w:rFonts w:ascii="Times New Roman" w:hAnsi="Times New Roman"/>
                <w:noProof/>
              </w:rPr>
              <w:t>Not in a recurrent way but baseline available</w:t>
            </w:r>
          </w:p>
        </w:tc>
        <w:tc>
          <w:tcPr>
            <w:tcW w:w="1417"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noProof/>
              </w:rPr>
              <w:t>EC</w:t>
            </w:r>
          </w:p>
        </w:tc>
      </w:tr>
      <w:tr w:rsidR="003B5CC7" w:rsidRPr="009B5734" w:rsidTr="00C84A99">
        <w:trPr>
          <w:trHeight w:val="1058"/>
        </w:trPr>
        <w:tc>
          <w:tcPr>
            <w:tcW w:w="1306" w:type="dxa"/>
            <w:vMerge w:val="restart"/>
            <w:tcBorders>
              <w:top w:val="single" w:sz="4" w:space="0" w:color="auto"/>
              <w:left w:val="single" w:sz="4" w:space="0" w:color="auto"/>
              <w:bottom w:val="single" w:sz="4" w:space="0" w:color="auto"/>
              <w:right w:val="single" w:sz="4" w:space="0" w:color="auto"/>
            </w:tcBorders>
          </w:tcPr>
          <w:p w:rsidR="003B5CC7" w:rsidRPr="00014EB8" w:rsidRDefault="003B5CC7" w:rsidP="00981615">
            <w:pPr>
              <w:ind w:left="0" w:firstLine="0"/>
              <w:rPr>
                <w:rFonts w:ascii="Times New Roman" w:hAnsi="Times New Roman"/>
                <w:noProof/>
              </w:rPr>
            </w:pPr>
            <w:r w:rsidRPr="00014EB8">
              <w:rPr>
                <w:rFonts w:ascii="Times New Roman" w:hAnsi="Times New Roman"/>
                <w:b/>
                <w:noProof/>
              </w:rPr>
              <w:t>Eliminate misleading practices that run against sustainable economy and mislead consumers away from sustainable consumption choices</w:t>
            </w:r>
          </w:p>
          <w:p w:rsidR="003B5CC7" w:rsidRPr="00014EB8" w:rsidRDefault="003B5CC7" w:rsidP="00981615">
            <w:pPr>
              <w:ind w:left="0" w:firstLine="0"/>
              <w:rPr>
                <w:rFonts w:ascii="Times New Roman" w:hAnsi="Times New Roman"/>
                <w:noProof/>
              </w:rPr>
            </w:pPr>
          </w:p>
        </w:tc>
        <w:tc>
          <w:tcPr>
            <w:tcW w:w="2664"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noProof/>
              </w:rPr>
              <w:t xml:space="preserve">Share of consumers for who the product </w:t>
            </w:r>
            <w:r w:rsidRPr="00014EB8">
              <w:rPr>
                <w:rFonts w:ascii="Times New Roman" w:hAnsi="Times New Roman"/>
                <w:b/>
                <w:noProof/>
              </w:rPr>
              <w:t>broke shortly</w:t>
            </w:r>
            <w:r w:rsidRPr="00014EB8">
              <w:rPr>
                <w:rFonts w:ascii="Times New Roman" w:hAnsi="Times New Roman"/>
                <w:noProof/>
              </w:rPr>
              <w:t xml:space="preserve"> after the legal guarantee or commercial guarantee period</w:t>
            </w:r>
          </w:p>
          <w:p w:rsidR="003B5CC7" w:rsidRPr="00014EB8" w:rsidRDefault="003B5CC7" w:rsidP="00981615">
            <w:pPr>
              <w:ind w:left="0" w:firstLine="0"/>
              <w:rPr>
                <w:rFonts w:ascii="Times New Roman" w:hAnsi="Times New Roman"/>
                <w:noProof/>
              </w:rPr>
            </w:pPr>
          </w:p>
        </w:tc>
        <w:tc>
          <w:tcPr>
            <w:tcW w:w="992"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10" w:right="-108" w:hanging="10"/>
              <w:rPr>
                <w:rFonts w:ascii="Times New Roman" w:hAnsi="Times New Roman"/>
                <w:noProof/>
              </w:rPr>
            </w:pPr>
            <w:r w:rsidRPr="00014EB8">
              <w:rPr>
                <w:rFonts w:ascii="Times New Roman" w:hAnsi="Times New Roman"/>
                <w:noProof/>
              </w:rPr>
              <w:t>15%</w:t>
            </w:r>
            <w:r w:rsidRPr="00014EB8">
              <w:rPr>
                <w:rFonts w:ascii="Times New Roman" w:hAnsi="Times New Roman"/>
                <w:noProof/>
                <w:vertAlign w:val="superscript"/>
              </w:rPr>
              <w:footnoteReference w:id="259"/>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0-5%</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Consumer Scoreboard/Market Monitoring Survey</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3" w:firstLine="0"/>
              <w:rPr>
                <w:rFonts w:ascii="Times New Roman" w:hAnsi="Times New Roman"/>
                <w:noProof/>
              </w:rPr>
            </w:pPr>
            <w:r w:rsidRPr="00014EB8">
              <w:rPr>
                <w:rFonts w:ascii="Times New Roman" w:hAnsi="Times New Roman"/>
                <w:noProof/>
              </w:rPr>
              <w:t>Yes</w:t>
            </w:r>
          </w:p>
        </w:tc>
        <w:tc>
          <w:tcPr>
            <w:tcW w:w="1417"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noProof/>
              </w:rPr>
              <w:t>EC</w:t>
            </w:r>
          </w:p>
        </w:tc>
      </w:tr>
      <w:tr w:rsidR="003B5CC7" w:rsidRPr="009B5734" w:rsidTr="00C84A99">
        <w:trPr>
          <w:trHeight w:val="837"/>
        </w:trPr>
        <w:tc>
          <w:tcPr>
            <w:tcW w:w="1306" w:type="dxa"/>
            <w:vMerge/>
            <w:tcBorders>
              <w:top w:val="single" w:sz="4" w:space="0" w:color="auto"/>
              <w:left w:val="single" w:sz="4" w:space="0" w:color="auto"/>
              <w:bottom w:val="single" w:sz="4" w:space="0" w:color="auto"/>
              <w:right w:val="single" w:sz="4" w:space="0" w:color="auto"/>
            </w:tcBorders>
            <w:vAlign w:val="center"/>
            <w:hideMark/>
          </w:tcPr>
          <w:p w:rsidR="003B5CC7" w:rsidRPr="009B5734" w:rsidRDefault="003B5CC7" w:rsidP="00981615">
            <w:pPr>
              <w:ind w:left="0" w:firstLine="0"/>
              <w:rPr>
                <w:rFonts w:ascii="Times New Roman" w:hAnsi="Times New Roman" w:cs="Times New Roman"/>
                <w:noProof/>
              </w:rPr>
            </w:pPr>
          </w:p>
        </w:tc>
        <w:tc>
          <w:tcPr>
            <w:tcW w:w="2664"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noProof/>
              </w:rPr>
              <w:t xml:space="preserve">Share of consumers for whom a </w:t>
            </w:r>
            <w:r w:rsidRPr="00014EB8">
              <w:rPr>
                <w:rFonts w:ascii="Times New Roman" w:hAnsi="Times New Roman"/>
                <w:b/>
                <w:noProof/>
              </w:rPr>
              <w:t>software update negatively</w:t>
            </w:r>
            <w:r w:rsidRPr="00014EB8">
              <w:rPr>
                <w:rFonts w:ascii="Times New Roman" w:hAnsi="Times New Roman"/>
                <w:noProof/>
              </w:rPr>
              <w:t xml:space="preserve"> affected a product’s functioning</w:t>
            </w:r>
          </w:p>
        </w:tc>
        <w:tc>
          <w:tcPr>
            <w:tcW w:w="992"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10" w:right="-108" w:hanging="10"/>
              <w:rPr>
                <w:rFonts w:ascii="Times New Roman" w:hAnsi="Times New Roman"/>
                <w:noProof/>
              </w:rPr>
            </w:pPr>
            <w:r w:rsidRPr="00014EB8">
              <w:rPr>
                <w:rFonts w:ascii="Times New Roman" w:hAnsi="Times New Roman"/>
                <w:noProof/>
              </w:rPr>
              <w:t>18%</w:t>
            </w:r>
            <w:r w:rsidRPr="00014EB8">
              <w:rPr>
                <w:rFonts w:ascii="Times New Roman" w:hAnsi="Times New Roman"/>
                <w:noProof/>
                <w:vertAlign w:val="superscript"/>
              </w:rPr>
              <w:footnoteReference w:id="260"/>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0-5%</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Consumer Scoreboard/Market Monitoring Survey</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3" w:firstLine="0"/>
              <w:rPr>
                <w:rFonts w:ascii="Times New Roman" w:hAnsi="Times New Roman"/>
                <w:noProof/>
              </w:rPr>
            </w:pPr>
            <w:r w:rsidRPr="00014EB8">
              <w:rPr>
                <w:rFonts w:ascii="Times New Roman" w:hAnsi="Times New Roman"/>
                <w:noProof/>
              </w:rPr>
              <w:t>Yes</w:t>
            </w:r>
          </w:p>
        </w:tc>
        <w:tc>
          <w:tcPr>
            <w:tcW w:w="1417"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noProof/>
              </w:rPr>
              <w:t>EC</w:t>
            </w:r>
          </w:p>
        </w:tc>
      </w:tr>
      <w:tr w:rsidR="003B5CC7" w:rsidRPr="009B5734" w:rsidTr="00C84A99">
        <w:trPr>
          <w:trHeight w:val="628"/>
        </w:trPr>
        <w:tc>
          <w:tcPr>
            <w:tcW w:w="1306" w:type="dxa"/>
            <w:vMerge/>
            <w:tcBorders>
              <w:top w:val="single" w:sz="4" w:space="0" w:color="auto"/>
              <w:left w:val="single" w:sz="4" w:space="0" w:color="auto"/>
              <w:bottom w:val="single" w:sz="4" w:space="0" w:color="auto"/>
              <w:right w:val="single" w:sz="4" w:space="0" w:color="auto"/>
            </w:tcBorders>
            <w:vAlign w:val="center"/>
            <w:hideMark/>
          </w:tcPr>
          <w:p w:rsidR="003B5CC7" w:rsidRPr="009B5734" w:rsidRDefault="003B5CC7" w:rsidP="00981615">
            <w:pPr>
              <w:ind w:left="0" w:firstLine="0"/>
              <w:rPr>
                <w:rFonts w:ascii="Times New Roman" w:hAnsi="Times New Roman" w:cs="Times New Roman"/>
                <w:noProof/>
              </w:rPr>
            </w:pPr>
          </w:p>
        </w:tc>
        <w:tc>
          <w:tcPr>
            <w:tcW w:w="2664"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noProof/>
              </w:rPr>
              <w:t xml:space="preserve">Number of consumer complaints for </w:t>
            </w:r>
            <w:r w:rsidRPr="00014EB8">
              <w:rPr>
                <w:rFonts w:ascii="Times New Roman" w:hAnsi="Times New Roman"/>
                <w:b/>
                <w:noProof/>
              </w:rPr>
              <w:t>products that fail early</w:t>
            </w:r>
          </w:p>
        </w:tc>
        <w:tc>
          <w:tcPr>
            <w:tcW w:w="992"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10" w:right="-108" w:hanging="10"/>
              <w:rPr>
                <w:rFonts w:ascii="Times New Roman" w:hAnsi="Times New Roman"/>
                <w:noProof/>
              </w:rPr>
            </w:pPr>
            <w:r w:rsidRPr="00014EB8">
              <w:rPr>
                <w:rFonts w:ascii="Times New Roman" w:hAnsi="Times New Roman"/>
                <w:noProof/>
              </w:rPr>
              <w:t>/</w:t>
            </w:r>
          </w:p>
        </w:tc>
        <w:tc>
          <w:tcPr>
            <w:tcW w:w="1276" w:type="dxa"/>
            <w:tcBorders>
              <w:top w:val="single" w:sz="4" w:space="0" w:color="auto"/>
              <w:left w:val="single" w:sz="4" w:space="0" w:color="auto"/>
              <w:bottom w:val="single" w:sz="4" w:space="0" w:color="auto"/>
              <w:right w:val="single" w:sz="4" w:space="0" w:color="auto"/>
            </w:tcBorders>
          </w:tcPr>
          <w:p w:rsidR="003B5CC7" w:rsidRPr="00014EB8" w:rsidRDefault="003B5CC7" w:rsidP="00981615">
            <w:pPr>
              <w:ind w:left="34" w:firstLine="0"/>
              <w:rPr>
                <w:rFonts w:ascii="Times New Roman" w:hAnsi="Times New Roman"/>
                <w:noProof/>
              </w:rPr>
            </w:pP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Feedback from MSs, ODR platform</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3" w:firstLine="0"/>
              <w:rPr>
                <w:rFonts w:ascii="Times New Roman" w:hAnsi="Times New Roman"/>
                <w:noProof/>
              </w:rPr>
            </w:pPr>
            <w:r w:rsidRPr="00014EB8">
              <w:rPr>
                <w:rFonts w:ascii="Times New Roman" w:hAnsi="Times New Roman"/>
                <w:noProof/>
              </w:rPr>
              <w:t>No</w:t>
            </w:r>
          </w:p>
        </w:tc>
        <w:tc>
          <w:tcPr>
            <w:tcW w:w="1417"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noProof/>
              </w:rPr>
              <w:t>EC, MSs</w:t>
            </w:r>
          </w:p>
        </w:tc>
      </w:tr>
      <w:tr w:rsidR="003B5CC7" w:rsidRPr="009B5734" w:rsidTr="00C84A99">
        <w:trPr>
          <w:trHeight w:val="628"/>
        </w:trPr>
        <w:tc>
          <w:tcPr>
            <w:tcW w:w="1306" w:type="dxa"/>
            <w:vMerge/>
            <w:tcBorders>
              <w:top w:val="single" w:sz="4" w:space="0" w:color="auto"/>
              <w:left w:val="single" w:sz="4" w:space="0" w:color="auto"/>
              <w:bottom w:val="single" w:sz="4" w:space="0" w:color="auto"/>
              <w:right w:val="single" w:sz="4" w:space="0" w:color="auto"/>
            </w:tcBorders>
            <w:vAlign w:val="center"/>
            <w:hideMark/>
          </w:tcPr>
          <w:p w:rsidR="003B5CC7" w:rsidRPr="009B5734" w:rsidRDefault="003B5CC7" w:rsidP="00981615">
            <w:pPr>
              <w:ind w:left="0" w:firstLine="0"/>
              <w:rPr>
                <w:rFonts w:ascii="Times New Roman" w:hAnsi="Times New Roman" w:cs="Times New Roman"/>
                <w:noProof/>
              </w:rPr>
            </w:pPr>
          </w:p>
        </w:tc>
        <w:tc>
          <w:tcPr>
            <w:tcW w:w="2664"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noProof/>
              </w:rPr>
              <w:t xml:space="preserve">Level of </w:t>
            </w:r>
            <w:r w:rsidRPr="00014EB8">
              <w:rPr>
                <w:rFonts w:ascii="Times New Roman" w:hAnsi="Times New Roman"/>
                <w:b/>
                <w:noProof/>
              </w:rPr>
              <w:t>consumer trust in environmental claims</w:t>
            </w:r>
          </w:p>
        </w:tc>
        <w:tc>
          <w:tcPr>
            <w:tcW w:w="992" w:type="dxa"/>
            <w:tcBorders>
              <w:top w:val="single" w:sz="4" w:space="0" w:color="auto"/>
              <w:left w:val="single" w:sz="4" w:space="0" w:color="auto"/>
              <w:bottom w:val="single" w:sz="4" w:space="0" w:color="auto"/>
              <w:right w:val="single" w:sz="4" w:space="0" w:color="auto"/>
            </w:tcBorders>
            <w:hideMark/>
          </w:tcPr>
          <w:p w:rsidR="00CE3C98" w:rsidRDefault="00CE3C98" w:rsidP="00981615">
            <w:pPr>
              <w:ind w:left="10" w:right="-108" w:hanging="10"/>
              <w:rPr>
                <w:rFonts w:ascii="Times New Roman" w:hAnsi="Times New Roman" w:cs="Times New Roman"/>
                <w:noProof/>
              </w:rPr>
            </w:pPr>
          </w:p>
          <w:p w:rsidR="003B5CC7" w:rsidRPr="00014EB8" w:rsidRDefault="00CE3C98" w:rsidP="00981615">
            <w:pPr>
              <w:ind w:left="10" w:right="-108" w:hanging="10"/>
              <w:rPr>
                <w:rFonts w:ascii="Times New Roman" w:hAnsi="Times New Roman"/>
                <w:noProof/>
              </w:rPr>
            </w:pPr>
            <w:r>
              <w:rPr>
                <w:rFonts w:ascii="Times New Roman" w:hAnsi="Times New Roman" w:cs="Times New Roman"/>
                <w:noProof/>
              </w:rPr>
              <w:t>55,3%</w:t>
            </w:r>
            <w:r>
              <w:rPr>
                <w:rStyle w:val="FootnoteReference"/>
                <w:rFonts w:ascii="Times New Roman" w:hAnsi="Times New Roman" w:cs="Times New Roman"/>
                <w:noProof/>
              </w:rPr>
              <w:footnoteReference w:id="261"/>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70-80%</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Consumer Scoreboard/Market Monitoring Survey</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3" w:firstLine="0"/>
              <w:rPr>
                <w:rFonts w:ascii="Times New Roman" w:hAnsi="Times New Roman"/>
                <w:noProof/>
              </w:rPr>
            </w:pPr>
            <w:r w:rsidRPr="00014EB8">
              <w:rPr>
                <w:rFonts w:ascii="Times New Roman" w:hAnsi="Times New Roman"/>
                <w:noProof/>
              </w:rPr>
              <w:t>Yes</w:t>
            </w:r>
          </w:p>
        </w:tc>
        <w:tc>
          <w:tcPr>
            <w:tcW w:w="1417"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noProof/>
              </w:rPr>
              <w:t>EC</w:t>
            </w:r>
          </w:p>
        </w:tc>
      </w:tr>
      <w:tr w:rsidR="003B5CC7" w:rsidRPr="009B5734" w:rsidTr="00C84A99">
        <w:trPr>
          <w:trHeight w:val="418"/>
        </w:trPr>
        <w:tc>
          <w:tcPr>
            <w:tcW w:w="1306" w:type="dxa"/>
            <w:vMerge/>
            <w:tcBorders>
              <w:top w:val="single" w:sz="4" w:space="0" w:color="auto"/>
              <w:left w:val="single" w:sz="4" w:space="0" w:color="auto"/>
              <w:bottom w:val="single" w:sz="4" w:space="0" w:color="auto"/>
              <w:right w:val="single" w:sz="4" w:space="0" w:color="auto"/>
            </w:tcBorders>
            <w:vAlign w:val="center"/>
            <w:hideMark/>
          </w:tcPr>
          <w:p w:rsidR="003B5CC7" w:rsidRPr="009B5734" w:rsidRDefault="003B5CC7" w:rsidP="00981615">
            <w:pPr>
              <w:ind w:left="0" w:firstLine="0"/>
              <w:rPr>
                <w:rFonts w:ascii="Times New Roman" w:hAnsi="Times New Roman" w:cs="Times New Roman"/>
                <w:noProof/>
              </w:rPr>
            </w:pPr>
          </w:p>
        </w:tc>
        <w:tc>
          <w:tcPr>
            <w:tcW w:w="2664"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noProof/>
              </w:rPr>
              <w:t xml:space="preserve">Level of </w:t>
            </w:r>
            <w:r w:rsidRPr="00014EB8">
              <w:rPr>
                <w:rFonts w:ascii="Times New Roman" w:hAnsi="Times New Roman"/>
                <w:b/>
                <w:noProof/>
              </w:rPr>
              <w:t>consumer trust in sustainability labels</w:t>
            </w:r>
          </w:p>
        </w:tc>
        <w:tc>
          <w:tcPr>
            <w:tcW w:w="992"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10" w:right="-108" w:hanging="10"/>
              <w:rPr>
                <w:rFonts w:ascii="Times New Roman" w:hAnsi="Times New Roman"/>
                <w:noProof/>
              </w:rPr>
            </w:pPr>
            <w:r w:rsidRPr="00014EB8">
              <w:rPr>
                <w:rFonts w:ascii="Times New Roman" w:hAnsi="Times New Roman"/>
                <w:noProof/>
              </w:rPr>
              <w:t>62%</w:t>
            </w:r>
            <w:r w:rsidRPr="00014EB8">
              <w:rPr>
                <w:rFonts w:ascii="Times New Roman" w:hAnsi="Times New Roman"/>
                <w:noProof/>
                <w:vertAlign w:val="superscript"/>
              </w:rPr>
              <w:footnoteReference w:id="262"/>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70-80%</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Consumer survey</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3" w:firstLine="0"/>
              <w:rPr>
                <w:rFonts w:ascii="Times New Roman" w:hAnsi="Times New Roman"/>
                <w:noProof/>
              </w:rPr>
            </w:pPr>
            <w:r w:rsidRPr="00014EB8">
              <w:rPr>
                <w:rFonts w:ascii="Times New Roman" w:hAnsi="Times New Roman"/>
                <w:noProof/>
              </w:rPr>
              <w:t>Not in a recurrent way but baseline available</w:t>
            </w:r>
          </w:p>
        </w:tc>
        <w:tc>
          <w:tcPr>
            <w:tcW w:w="1417"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noProof/>
              </w:rPr>
              <w:t>EC</w:t>
            </w:r>
          </w:p>
        </w:tc>
      </w:tr>
      <w:tr w:rsidR="003B5CC7" w:rsidRPr="009B5734" w:rsidTr="00C84A99">
        <w:trPr>
          <w:trHeight w:val="668"/>
        </w:trPr>
        <w:tc>
          <w:tcPr>
            <w:tcW w:w="1306" w:type="dxa"/>
            <w:vMerge/>
            <w:tcBorders>
              <w:top w:val="single" w:sz="4" w:space="0" w:color="auto"/>
              <w:left w:val="single" w:sz="4" w:space="0" w:color="auto"/>
              <w:bottom w:val="single" w:sz="4" w:space="0" w:color="auto"/>
              <w:right w:val="single" w:sz="4" w:space="0" w:color="auto"/>
            </w:tcBorders>
            <w:vAlign w:val="center"/>
            <w:hideMark/>
          </w:tcPr>
          <w:p w:rsidR="003B5CC7" w:rsidRPr="009B5734" w:rsidRDefault="003B5CC7" w:rsidP="00981615">
            <w:pPr>
              <w:ind w:left="0" w:firstLine="0"/>
              <w:rPr>
                <w:rFonts w:ascii="Times New Roman" w:hAnsi="Times New Roman" w:cs="Times New Roman"/>
                <w:noProof/>
              </w:rPr>
            </w:pPr>
          </w:p>
        </w:tc>
        <w:tc>
          <w:tcPr>
            <w:tcW w:w="2664"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noProof/>
              </w:rPr>
              <w:t xml:space="preserve">Share of consumers </w:t>
            </w:r>
            <w:r w:rsidRPr="00014EB8">
              <w:rPr>
                <w:rFonts w:ascii="Times New Roman" w:hAnsi="Times New Roman"/>
                <w:b/>
                <w:noProof/>
              </w:rPr>
              <w:t>influenced by environmental claims</w:t>
            </w:r>
          </w:p>
        </w:tc>
        <w:tc>
          <w:tcPr>
            <w:tcW w:w="992"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10" w:right="-108" w:hanging="10"/>
              <w:rPr>
                <w:rFonts w:ascii="Times New Roman" w:hAnsi="Times New Roman"/>
                <w:noProof/>
              </w:rPr>
            </w:pPr>
            <w:r w:rsidRPr="00014EB8">
              <w:rPr>
                <w:rFonts w:ascii="Times New Roman" w:hAnsi="Times New Roman"/>
                <w:noProof/>
              </w:rPr>
              <w:t>56,8%</w:t>
            </w:r>
            <w:r w:rsidRPr="00014EB8">
              <w:rPr>
                <w:rFonts w:ascii="Times New Roman" w:hAnsi="Times New Roman"/>
                <w:noProof/>
                <w:vertAlign w:val="superscript"/>
              </w:rPr>
              <w:footnoteReference w:id="263"/>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70-80%</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Consumer Scoreboard</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3" w:firstLine="0"/>
              <w:rPr>
                <w:rFonts w:ascii="Times New Roman" w:hAnsi="Times New Roman"/>
                <w:noProof/>
              </w:rPr>
            </w:pPr>
            <w:r w:rsidRPr="00014EB8">
              <w:rPr>
                <w:rFonts w:ascii="Times New Roman" w:hAnsi="Times New Roman"/>
                <w:noProof/>
              </w:rPr>
              <w:t>Yes</w:t>
            </w:r>
          </w:p>
        </w:tc>
        <w:tc>
          <w:tcPr>
            <w:tcW w:w="1417"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noProof/>
              </w:rPr>
              <w:t>EC</w:t>
            </w:r>
          </w:p>
        </w:tc>
      </w:tr>
      <w:tr w:rsidR="003B5CC7" w:rsidRPr="009B5734" w:rsidTr="00C84A99">
        <w:trPr>
          <w:trHeight w:val="2600"/>
        </w:trPr>
        <w:tc>
          <w:tcPr>
            <w:tcW w:w="1306" w:type="dxa"/>
            <w:vMerge w:val="restart"/>
            <w:tcBorders>
              <w:top w:val="single" w:sz="4" w:space="0" w:color="auto"/>
              <w:left w:val="single" w:sz="4" w:space="0" w:color="auto"/>
              <w:bottom w:val="single" w:sz="4" w:space="0" w:color="auto"/>
              <w:right w:val="single" w:sz="4" w:space="0" w:color="auto"/>
            </w:tcBorders>
          </w:tcPr>
          <w:p w:rsidR="003B5CC7" w:rsidRPr="00014EB8" w:rsidRDefault="003B5CC7" w:rsidP="00981615">
            <w:pPr>
              <w:ind w:left="0" w:firstLine="0"/>
              <w:rPr>
                <w:rFonts w:ascii="Times New Roman" w:hAnsi="Times New Roman"/>
                <w:b/>
                <w:noProof/>
              </w:rPr>
            </w:pPr>
            <w:r w:rsidRPr="00014EB8">
              <w:rPr>
                <w:rFonts w:ascii="Times New Roman" w:hAnsi="Times New Roman"/>
                <w:b/>
                <w:noProof/>
              </w:rPr>
              <w:t>Ensure a better and coherent application of the EU legal framework</w:t>
            </w:r>
          </w:p>
          <w:p w:rsidR="003B5CC7" w:rsidRPr="00014EB8" w:rsidRDefault="003B5CC7" w:rsidP="00981615">
            <w:pPr>
              <w:ind w:left="0" w:firstLine="0"/>
              <w:rPr>
                <w:rFonts w:ascii="Times New Roman" w:hAnsi="Times New Roman"/>
                <w:noProof/>
              </w:rPr>
            </w:pPr>
          </w:p>
          <w:p w:rsidR="003B5CC7" w:rsidRPr="00014EB8" w:rsidRDefault="003B5CC7" w:rsidP="00981615">
            <w:pPr>
              <w:ind w:left="0" w:firstLine="0"/>
              <w:rPr>
                <w:rFonts w:ascii="Times New Roman" w:hAnsi="Times New Roman"/>
                <w:noProof/>
              </w:rPr>
            </w:pPr>
          </w:p>
          <w:p w:rsidR="003B5CC7" w:rsidRPr="00014EB8" w:rsidRDefault="003B5CC7" w:rsidP="00981615">
            <w:pPr>
              <w:ind w:left="0" w:firstLine="0"/>
              <w:rPr>
                <w:rFonts w:ascii="Times New Roman" w:hAnsi="Times New Roman"/>
                <w:noProof/>
              </w:rPr>
            </w:pPr>
          </w:p>
          <w:p w:rsidR="003B5CC7" w:rsidRPr="00014EB8" w:rsidRDefault="003B5CC7" w:rsidP="00981615">
            <w:pPr>
              <w:ind w:left="0" w:firstLine="0"/>
              <w:rPr>
                <w:rFonts w:ascii="Times New Roman" w:hAnsi="Times New Roman"/>
                <w:noProof/>
              </w:rPr>
            </w:pPr>
          </w:p>
          <w:p w:rsidR="003B5CC7" w:rsidRPr="00014EB8" w:rsidRDefault="003B5CC7" w:rsidP="00981615">
            <w:pPr>
              <w:ind w:left="0" w:firstLine="0"/>
              <w:rPr>
                <w:rFonts w:ascii="Times New Roman" w:hAnsi="Times New Roman"/>
                <w:noProof/>
              </w:rPr>
            </w:pPr>
          </w:p>
          <w:p w:rsidR="003B5CC7" w:rsidRPr="00014EB8" w:rsidRDefault="003B5CC7" w:rsidP="00981615">
            <w:pPr>
              <w:ind w:left="0" w:firstLine="0"/>
              <w:rPr>
                <w:rFonts w:ascii="Times New Roman" w:hAnsi="Times New Roman"/>
                <w:b/>
                <w:noProof/>
              </w:rPr>
            </w:pPr>
          </w:p>
        </w:tc>
        <w:tc>
          <w:tcPr>
            <w:tcW w:w="2664" w:type="dxa"/>
            <w:tcBorders>
              <w:top w:val="single" w:sz="4" w:space="0" w:color="auto"/>
              <w:left w:val="single" w:sz="4" w:space="0" w:color="auto"/>
              <w:bottom w:val="single" w:sz="4" w:space="0" w:color="auto"/>
              <w:right w:val="single" w:sz="4" w:space="0" w:color="auto"/>
            </w:tcBorders>
          </w:tcPr>
          <w:p w:rsidR="003B5CC7" w:rsidRPr="00014EB8" w:rsidRDefault="003B5CC7" w:rsidP="00981615">
            <w:pPr>
              <w:ind w:left="0" w:firstLine="0"/>
              <w:rPr>
                <w:rFonts w:ascii="Times New Roman" w:hAnsi="Times New Roman"/>
                <w:noProof/>
              </w:rPr>
            </w:pPr>
          </w:p>
          <w:p w:rsidR="003B5CC7" w:rsidRPr="00014EB8" w:rsidRDefault="003B5CC7" w:rsidP="00981615">
            <w:pPr>
              <w:ind w:left="0" w:firstLine="0"/>
              <w:rPr>
                <w:rFonts w:ascii="Times New Roman" w:hAnsi="Times New Roman"/>
                <w:noProof/>
              </w:rPr>
            </w:pPr>
            <w:r w:rsidRPr="00014EB8">
              <w:rPr>
                <w:rFonts w:ascii="Times New Roman" w:hAnsi="Times New Roman"/>
                <w:noProof/>
              </w:rPr>
              <w:t xml:space="preserve">Number of cases where information on the </w:t>
            </w:r>
            <w:r w:rsidRPr="00014EB8">
              <w:rPr>
                <w:rFonts w:ascii="Times New Roman" w:hAnsi="Times New Roman"/>
                <w:b/>
                <w:noProof/>
              </w:rPr>
              <w:t xml:space="preserve">existence of the producer’s commercial guarantee of durability </w:t>
            </w:r>
            <w:r w:rsidRPr="00014EB8">
              <w:rPr>
                <w:rFonts w:ascii="Times New Roman" w:hAnsi="Times New Roman"/>
                <w:noProof/>
              </w:rPr>
              <w:t>is not provided to consumers</w:t>
            </w:r>
          </w:p>
        </w:tc>
        <w:tc>
          <w:tcPr>
            <w:tcW w:w="992" w:type="dxa"/>
            <w:tcBorders>
              <w:top w:val="single" w:sz="4" w:space="0" w:color="auto"/>
              <w:left w:val="single" w:sz="4" w:space="0" w:color="auto"/>
              <w:bottom w:val="single" w:sz="4" w:space="0" w:color="auto"/>
              <w:right w:val="single" w:sz="4" w:space="0" w:color="auto"/>
            </w:tcBorders>
          </w:tcPr>
          <w:p w:rsidR="003B5CC7" w:rsidRPr="00014EB8" w:rsidRDefault="003B5CC7" w:rsidP="00981615">
            <w:pPr>
              <w:ind w:left="10" w:right="-108" w:hanging="10"/>
              <w:rPr>
                <w:rFonts w:ascii="Times New Roman" w:hAnsi="Times New Roman"/>
                <w:noProof/>
              </w:rPr>
            </w:pPr>
          </w:p>
          <w:p w:rsidR="003B5CC7" w:rsidRPr="00014EB8" w:rsidRDefault="003B5CC7" w:rsidP="00981615">
            <w:pPr>
              <w:ind w:left="10" w:right="-108" w:hanging="10"/>
              <w:rPr>
                <w:rFonts w:ascii="Times New Roman" w:hAnsi="Times New Roman"/>
                <w:noProof/>
              </w:rPr>
            </w:pPr>
          </w:p>
          <w:p w:rsidR="003B5CC7" w:rsidRPr="00014EB8" w:rsidRDefault="003B5CC7" w:rsidP="00981615">
            <w:pPr>
              <w:ind w:left="10" w:right="-108" w:hanging="10"/>
              <w:rPr>
                <w:rFonts w:ascii="Times New Roman" w:hAnsi="Times New Roman"/>
                <w:noProof/>
              </w:rPr>
            </w:pPr>
            <w:r w:rsidRPr="00014EB8">
              <w:rPr>
                <w:rFonts w:ascii="Times New Roman" w:hAnsi="Times New Roman"/>
                <w:noProof/>
              </w:rPr>
              <w:t>/</w:t>
            </w:r>
          </w:p>
        </w:tc>
        <w:tc>
          <w:tcPr>
            <w:tcW w:w="1276" w:type="dxa"/>
            <w:tcBorders>
              <w:top w:val="single" w:sz="4" w:space="0" w:color="auto"/>
              <w:left w:val="single" w:sz="4" w:space="0" w:color="auto"/>
              <w:bottom w:val="single" w:sz="4" w:space="0" w:color="auto"/>
              <w:right w:val="single" w:sz="4" w:space="0" w:color="auto"/>
            </w:tcBorders>
          </w:tcPr>
          <w:p w:rsidR="003B5CC7" w:rsidRPr="00014EB8" w:rsidRDefault="003B5CC7" w:rsidP="00981615">
            <w:pPr>
              <w:ind w:left="34" w:firstLine="0"/>
              <w:rPr>
                <w:rFonts w:ascii="Times New Roman" w:hAnsi="Times New Roman"/>
                <w:noProof/>
              </w:rPr>
            </w:pPr>
          </w:p>
        </w:tc>
        <w:tc>
          <w:tcPr>
            <w:tcW w:w="1276" w:type="dxa"/>
            <w:tcBorders>
              <w:top w:val="single" w:sz="4" w:space="0" w:color="auto"/>
              <w:left w:val="single" w:sz="4" w:space="0" w:color="auto"/>
              <w:bottom w:val="single" w:sz="4" w:space="0" w:color="auto"/>
              <w:right w:val="single" w:sz="4" w:space="0" w:color="auto"/>
            </w:tcBorders>
          </w:tcPr>
          <w:p w:rsidR="003B5CC7" w:rsidRPr="00014EB8" w:rsidRDefault="003B5CC7" w:rsidP="00981615">
            <w:pPr>
              <w:ind w:left="34" w:firstLine="0"/>
              <w:rPr>
                <w:rFonts w:ascii="Times New Roman" w:hAnsi="Times New Roman"/>
                <w:noProof/>
              </w:rPr>
            </w:pPr>
          </w:p>
          <w:p w:rsidR="003B5CC7" w:rsidRPr="00014EB8" w:rsidRDefault="003B5CC7" w:rsidP="00981615">
            <w:pPr>
              <w:ind w:left="34" w:firstLine="0"/>
              <w:rPr>
                <w:rFonts w:ascii="Times New Roman" w:hAnsi="Times New Roman"/>
                <w:noProof/>
              </w:rPr>
            </w:pPr>
            <w:r w:rsidRPr="00014EB8">
              <w:rPr>
                <w:rFonts w:ascii="Times New Roman" w:hAnsi="Times New Roman"/>
                <w:noProof/>
              </w:rPr>
              <w:t>Regular checks in the context of (coordinated) market surveillance activities</w:t>
            </w:r>
          </w:p>
        </w:tc>
        <w:tc>
          <w:tcPr>
            <w:tcW w:w="1276" w:type="dxa"/>
            <w:tcBorders>
              <w:top w:val="single" w:sz="4" w:space="0" w:color="auto"/>
              <w:left w:val="single" w:sz="4" w:space="0" w:color="auto"/>
              <w:bottom w:val="single" w:sz="4" w:space="0" w:color="auto"/>
              <w:right w:val="single" w:sz="4" w:space="0" w:color="auto"/>
            </w:tcBorders>
          </w:tcPr>
          <w:p w:rsidR="003B5CC7" w:rsidRPr="00014EB8" w:rsidRDefault="003B5CC7" w:rsidP="00981615">
            <w:pPr>
              <w:ind w:left="33" w:firstLine="0"/>
              <w:rPr>
                <w:rFonts w:ascii="Times New Roman" w:hAnsi="Times New Roman"/>
                <w:noProof/>
              </w:rPr>
            </w:pPr>
          </w:p>
          <w:p w:rsidR="003B5CC7" w:rsidRPr="00014EB8" w:rsidRDefault="003B5CC7" w:rsidP="00981615">
            <w:pPr>
              <w:ind w:left="33" w:firstLine="0"/>
              <w:rPr>
                <w:rFonts w:ascii="Times New Roman" w:hAnsi="Times New Roman"/>
                <w:noProof/>
              </w:rPr>
            </w:pPr>
            <w:r w:rsidRPr="00014EB8">
              <w:rPr>
                <w:rFonts w:ascii="Times New Roman" w:hAnsi="Times New Roman"/>
                <w:noProof/>
              </w:rPr>
              <w:t>No</w:t>
            </w:r>
          </w:p>
        </w:tc>
        <w:tc>
          <w:tcPr>
            <w:tcW w:w="1417" w:type="dxa"/>
            <w:tcBorders>
              <w:top w:val="single" w:sz="4" w:space="0" w:color="auto"/>
              <w:left w:val="single" w:sz="4" w:space="0" w:color="auto"/>
              <w:bottom w:val="single" w:sz="4" w:space="0" w:color="auto"/>
              <w:right w:val="single" w:sz="4" w:space="0" w:color="auto"/>
            </w:tcBorders>
          </w:tcPr>
          <w:p w:rsidR="003B5CC7" w:rsidRPr="00014EB8" w:rsidRDefault="00902FD4" w:rsidP="00981615">
            <w:pPr>
              <w:ind w:left="0" w:firstLine="0"/>
              <w:rPr>
                <w:rFonts w:ascii="Times New Roman" w:hAnsi="Times New Roman"/>
                <w:noProof/>
              </w:rPr>
            </w:pPr>
            <w:r>
              <w:rPr>
                <w:rFonts w:ascii="Times New Roman" w:hAnsi="Times New Roman" w:cs="Times New Roman"/>
                <w:noProof/>
              </w:rPr>
              <w:t>MSs, EC</w:t>
            </w:r>
          </w:p>
        </w:tc>
      </w:tr>
      <w:tr w:rsidR="003B5CC7" w:rsidRPr="009B5734" w:rsidTr="00C84A99">
        <w:trPr>
          <w:trHeight w:val="2600"/>
        </w:trPr>
        <w:tc>
          <w:tcPr>
            <w:tcW w:w="1306" w:type="dxa"/>
            <w:vMerge/>
            <w:tcBorders>
              <w:top w:val="single" w:sz="4" w:space="0" w:color="auto"/>
              <w:left w:val="single" w:sz="4" w:space="0" w:color="auto"/>
              <w:bottom w:val="single" w:sz="4" w:space="0" w:color="auto"/>
              <w:right w:val="single" w:sz="4" w:space="0" w:color="auto"/>
            </w:tcBorders>
            <w:vAlign w:val="center"/>
            <w:hideMark/>
          </w:tcPr>
          <w:p w:rsidR="003B5CC7" w:rsidRPr="009B5734" w:rsidRDefault="003B5CC7" w:rsidP="00981615">
            <w:pPr>
              <w:ind w:left="0" w:firstLine="0"/>
              <w:rPr>
                <w:rFonts w:ascii="Times New Roman" w:hAnsi="Times New Roman" w:cs="Times New Roman"/>
                <w:b/>
                <w:noProof/>
              </w:rPr>
            </w:pPr>
          </w:p>
        </w:tc>
        <w:tc>
          <w:tcPr>
            <w:tcW w:w="2664" w:type="dxa"/>
            <w:tcBorders>
              <w:top w:val="single" w:sz="4" w:space="0" w:color="auto"/>
              <w:left w:val="single" w:sz="4" w:space="0" w:color="auto"/>
              <w:bottom w:val="single" w:sz="4" w:space="0" w:color="auto"/>
              <w:right w:val="single" w:sz="4" w:space="0" w:color="auto"/>
            </w:tcBorders>
          </w:tcPr>
          <w:p w:rsidR="003B5CC7" w:rsidRPr="00014EB8" w:rsidRDefault="003B5CC7" w:rsidP="00981615">
            <w:pPr>
              <w:ind w:left="0" w:firstLine="0"/>
              <w:rPr>
                <w:rFonts w:ascii="Times New Roman" w:hAnsi="Times New Roman"/>
                <w:noProof/>
              </w:rPr>
            </w:pPr>
          </w:p>
          <w:p w:rsidR="003B5CC7" w:rsidRPr="00014EB8" w:rsidRDefault="003B5CC7" w:rsidP="00981615">
            <w:pPr>
              <w:ind w:left="0" w:firstLine="0"/>
              <w:rPr>
                <w:rFonts w:ascii="Times New Roman" w:hAnsi="Times New Roman"/>
                <w:noProof/>
              </w:rPr>
            </w:pPr>
            <w:r w:rsidRPr="00014EB8">
              <w:rPr>
                <w:rFonts w:ascii="Times New Roman" w:hAnsi="Times New Roman"/>
                <w:noProof/>
              </w:rPr>
              <w:t xml:space="preserve">Number of cases where </w:t>
            </w:r>
            <w:r w:rsidRPr="005D24D2">
              <w:rPr>
                <w:rFonts w:ascii="Times New Roman" w:hAnsi="Times New Roman"/>
                <w:b/>
                <w:bCs/>
                <w:noProof/>
              </w:rPr>
              <w:t>reparability information</w:t>
            </w:r>
            <w:r w:rsidRPr="00014EB8">
              <w:rPr>
                <w:rFonts w:ascii="Times New Roman" w:hAnsi="Times New Roman"/>
                <w:noProof/>
              </w:rPr>
              <w:t xml:space="preserve"> (scoring, manual, spare parts, </w:t>
            </w:r>
            <w:r w:rsidR="00532494" w:rsidRPr="009B5734">
              <w:rPr>
                <w:rFonts w:ascii="Times New Roman" w:hAnsi="Times New Roman" w:cs="Times New Roman"/>
                <w:noProof/>
              </w:rPr>
              <w:t>etc.</w:t>
            </w:r>
            <w:r w:rsidRPr="009B5734">
              <w:rPr>
                <w:rFonts w:ascii="Times New Roman" w:hAnsi="Times New Roman" w:cs="Times New Roman"/>
                <w:noProof/>
              </w:rPr>
              <w:t>)</w:t>
            </w:r>
            <w:r w:rsidRPr="00014EB8">
              <w:rPr>
                <w:rFonts w:ascii="Times New Roman" w:hAnsi="Times New Roman"/>
                <w:noProof/>
              </w:rPr>
              <w:t xml:space="preserve"> is applicable or made available by manufacturers, but is not provided to consumers</w:t>
            </w:r>
          </w:p>
        </w:tc>
        <w:tc>
          <w:tcPr>
            <w:tcW w:w="992"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10" w:right="-108" w:hanging="10"/>
              <w:rPr>
                <w:rFonts w:ascii="Times New Roman" w:hAnsi="Times New Roman"/>
                <w:noProof/>
              </w:rPr>
            </w:pPr>
            <w:r w:rsidRPr="00014EB8">
              <w:rPr>
                <w:rFonts w:ascii="Times New Roman" w:hAnsi="Times New Roman"/>
                <w:noProof/>
              </w:rPr>
              <w:t>/</w:t>
            </w:r>
          </w:p>
        </w:tc>
        <w:tc>
          <w:tcPr>
            <w:tcW w:w="1276" w:type="dxa"/>
            <w:tcBorders>
              <w:top w:val="single" w:sz="4" w:space="0" w:color="auto"/>
              <w:left w:val="single" w:sz="4" w:space="0" w:color="auto"/>
              <w:bottom w:val="single" w:sz="4" w:space="0" w:color="auto"/>
              <w:right w:val="single" w:sz="4" w:space="0" w:color="auto"/>
            </w:tcBorders>
          </w:tcPr>
          <w:p w:rsidR="003B5CC7" w:rsidRPr="00014EB8" w:rsidRDefault="003B5CC7" w:rsidP="00981615">
            <w:pPr>
              <w:ind w:left="34" w:firstLine="0"/>
              <w:rPr>
                <w:rFonts w:ascii="Times New Roman" w:hAnsi="Times New Roman"/>
                <w:noProof/>
              </w:rPr>
            </w:pPr>
          </w:p>
        </w:tc>
        <w:tc>
          <w:tcPr>
            <w:tcW w:w="1276" w:type="dxa"/>
            <w:tcBorders>
              <w:top w:val="single" w:sz="4" w:space="0" w:color="auto"/>
              <w:left w:val="single" w:sz="4" w:space="0" w:color="auto"/>
              <w:bottom w:val="single" w:sz="4" w:space="0" w:color="auto"/>
              <w:right w:val="single" w:sz="4" w:space="0" w:color="auto"/>
            </w:tcBorders>
          </w:tcPr>
          <w:p w:rsidR="003B5CC7" w:rsidRPr="00014EB8" w:rsidRDefault="003B5CC7" w:rsidP="00981615">
            <w:pPr>
              <w:ind w:left="34" w:firstLine="0"/>
              <w:rPr>
                <w:rFonts w:ascii="Times New Roman" w:hAnsi="Times New Roman"/>
                <w:noProof/>
              </w:rPr>
            </w:pPr>
          </w:p>
          <w:p w:rsidR="003B5CC7" w:rsidRPr="00014EB8" w:rsidRDefault="003B5CC7" w:rsidP="00981615">
            <w:pPr>
              <w:ind w:left="34" w:firstLine="0"/>
              <w:rPr>
                <w:rFonts w:ascii="Times New Roman" w:hAnsi="Times New Roman"/>
                <w:noProof/>
              </w:rPr>
            </w:pPr>
            <w:r w:rsidRPr="00014EB8">
              <w:rPr>
                <w:rFonts w:ascii="Times New Roman" w:hAnsi="Times New Roman"/>
                <w:noProof/>
              </w:rPr>
              <w:t>Regular checks in the context of (coordinated) market surveillance activities</w:t>
            </w:r>
          </w:p>
        </w:tc>
        <w:tc>
          <w:tcPr>
            <w:tcW w:w="1276" w:type="dxa"/>
            <w:tcBorders>
              <w:top w:val="single" w:sz="4" w:space="0" w:color="auto"/>
              <w:left w:val="single" w:sz="4" w:space="0" w:color="auto"/>
              <w:bottom w:val="single" w:sz="4" w:space="0" w:color="auto"/>
              <w:right w:val="single" w:sz="4" w:space="0" w:color="auto"/>
            </w:tcBorders>
          </w:tcPr>
          <w:p w:rsidR="003B5CC7" w:rsidRPr="00014EB8" w:rsidRDefault="003B5CC7" w:rsidP="00981615">
            <w:pPr>
              <w:ind w:left="33" w:firstLine="0"/>
              <w:rPr>
                <w:rFonts w:ascii="Times New Roman" w:hAnsi="Times New Roman"/>
                <w:noProof/>
              </w:rPr>
            </w:pPr>
          </w:p>
          <w:p w:rsidR="003B5CC7" w:rsidRPr="00014EB8" w:rsidRDefault="003B5CC7" w:rsidP="00981615">
            <w:pPr>
              <w:ind w:left="33" w:firstLine="0"/>
              <w:rPr>
                <w:rFonts w:ascii="Times New Roman" w:hAnsi="Times New Roman"/>
                <w:noProof/>
              </w:rPr>
            </w:pPr>
            <w:r w:rsidRPr="00014EB8">
              <w:rPr>
                <w:rFonts w:ascii="Times New Roman" w:hAnsi="Times New Roman"/>
                <w:noProof/>
              </w:rPr>
              <w:t>No</w:t>
            </w:r>
          </w:p>
        </w:tc>
        <w:tc>
          <w:tcPr>
            <w:tcW w:w="1417" w:type="dxa"/>
            <w:tcBorders>
              <w:top w:val="single" w:sz="4" w:space="0" w:color="auto"/>
              <w:left w:val="single" w:sz="4" w:space="0" w:color="auto"/>
              <w:bottom w:val="single" w:sz="4" w:space="0" w:color="auto"/>
              <w:right w:val="single" w:sz="4" w:space="0" w:color="auto"/>
            </w:tcBorders>
          </w:tcPr>
          <w:p w:rsidR="003B5CC7" w:rsidRPr="00014EB8" w:rsidRDefault="003B5CC7" w:rsidP="00981615">
            <w:pPr>
              <w:ind w:left="0" w:firstLine="0"/>
              <w:rPr>
                <w:rFonts w:ascii="Times New Roman" w:hAnsi="Times New Roman"/>
                <w:noProof/>
              </w:rPr>
            </w:pPr>
          </w:p>
          <w:p w:rsidR="003B5CC7" w:rsidRPr="00014EB8" w:rsidRDefault="003B5CC7" w:rsidP="00981615">
            <w:pPr>
              <w:ind w:left="0" w:firstLine="0"/>
              <w:rPr>
                <w:rFonts w:ascii="Times New Roman" w:hAnsi="Times New Roman"/>
                <w:noProof/>
              </w:rPr>
            </w:pPr>
            <w:r w:rsidRPr="00014EB8">
              <w:rPr>
                <w:rFonts w:ascii="Times New Roman" w:hAnsi="Times New Roman"/>
                <w:noProof/>
              </w:rPr>
              <w:t>MSs, EC</w:t>
            </w:r>
          </w:p>
        </w:tc>
      </w:tr>
      <w:tr w:rsidR="003B5CC7" w:rsidRPr="009B5734" w:rsidTr="00C84A99">
        <w:trPr>
          <w:trHeight w:val="574"/>
        </w:trPr>
        <w:tc>
          <w:tcPr>
            <w:tcW w:w="1306" w:type="dxa"/>
            <w:vMerge/>
            <w:tcBorders>
              <w:top w:val="single" w:sz="4" w:space="0" w:color="auto"/>
              <w:left w:val="single" w:sz="4" w:space="0" w:color="auto"/>
              <w:bottom w:val="single" w:sz="4" w:space="0" w:color="auto"/>
              <w:right w:val="single" w:sz="4" w:space="0" w:color="auto"/>
            </w:tcBorders>
            <w:vAlign w:val="center"/>
            <w:hideMark/>
          </w:tcPr>
          <w:p w:rsidR="003B5CC7" w:rsidRPr="009B5734" w:rsidRDefault="003B5CC7" w:rsidP="00981615">
            <w:pPr>
              <w:ind w:left="0" w:firstLine="0"/>
              <w:rPr>
                <w:rFonts w:ascii="Times New Roman" w:hAnsi="Times New Roman" w:cs="Times New Roman"/>
                <w:b/>
                <w:noProof/>
              </w:rPr>
            </w:pPr>
          </w:p>
        </w:tc>
        <w:tc>
          <w:tcPr>
            <w:tcW w:w="2664"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noProof/>
              </w:rPr>
              <w:t xml:space="preserve">Number of </w:t>
            </w:r>
            <w:r w:rsidRPr="00014EB8">
              <w:rPr>
                <w:rFonts w:ascii="Times New Roman" w:hAnsi="Times New Roman"/>
                <w:b/>
                <w:noProof/>
              </w:rPr>
              <w:t>general/vague environmental claims which are not substantiated</w:t>
            </w:r>
          </w:p>
        </w:tc>
        <w:tc>
          <w:tcPr>
            <w:tcW w:w="992" w:type="dxa"/>
            <w:tcBorders>
              <w:top w:val="single" w:sz="4" w:space="0" w:color="auto"/>
              <w:left w:val="single" w:sz="4" w:space="0" w:color="auto"/>
              <w:bottom w:val="single" w:sz="4" w:space="0" w:color="auto"/>
              <w:right w:val="single" w:sz="4" w:space="0" w:color="auto"/>
            </w:tcBorders>
          </w:tcPr>
          <w:p w:rsidR="003B5CC7" w:rsidRPr="00014EB8" w:rsidRDefault="003B5CC7" w:rsidP="00981615">
            <w:pPr>
              <w:ind w:left="10" w:right="-108" w:hanging="10"/>
              <w:rPr>
                <w:rFonts w:ascii="Times New Roman" w:hAnsi="Times New Roman"/>
                <w:noProof/>
              </w:rPr>
            </w:pPr>
          </w:p>
          <w:p w:rsidR="003B5CC7" w:rsidRPr="00014EB8" w:rsidRDefault="003B5CC7" w:rsidP="00981615">
            <w:pPr>
              <w:ind w:left="10" w:right="-108" w:hanging="10"/>
              <w:rPr>
                <w:rFonts w:ascii="Times New Roman" w:hAnsi="Times New Roman"/>
                <w:noProof/>
              </w:rPr>
            </w:pPr>
            <w:r w:rsidRPr="00014EB8">
              <w:rPr>
                <w:rFonts w:ascii="Times New Roman" w:hAnsi="Times New Roman"/>
                <w:noProof/>
              </w:rPr>
              <w:t>37%</w:t>
            </w:r>
            <w:r w:rsidRPr="00014EB8">
              <w:rPr>
                <w:rFonts w:ascii="Times New Roman" w:hAnsi="Times New Roman"/>
                <w:noProof/>
                <w:vertAlign w:val="superscript"/>
              </w:rPr>
              <w:footnoteReference w:id="264"/>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0%- 10%</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Regular checks in the context of (coordinated) market surveillance activities</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3" w:firstLine="0"/>
              <w:rPr>
                <w:rFonts w:ascii="Times New Roman" w:hAnsi="Times New Roman"/>
                <w:noProof/>
              </w:rPr>
            </w:pPr>
            <w:r w:rsidRPr="00014EB8">
              <w:rPr>
                <w:rFonts w:ascii="Times New Roman" w:hAnsi="Times New Roman"/>
                <w:noProof/>
              </w:rPr>
              <w:t>Not in a recurrent way but baseline available</w:t>
            </w:r>
          </w:p>
        </w:tc>
        <w:tc>
          <w:tcPr>
            <w:tcW w:w="1417"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noProof/>
              </w:rPr>
              <w:t>MSs, EC</w:t>
            </w:r>
          </w:p>
        </w:tc>
      </w:tr>
      <w:tr w:rsidR="003B5CC7" w:rsidRPr="009B5734" w:rsidTr="00C84A99">
        <w:trPr>
          <w:trHeight w:val="574"/>
        </w:trPr>
        <w:tc>
          <w:tcPr>
            <w:tcW w:w="1306" w:type="dxa"/>
            <w:vMerge/>
            <w:tcBorders>
              <w:top w:val="single" w:sz="4" w:space="0" w:color="auto"/>
              <w:left w:val="single" w:sz="4" w:space="0" w:color="auto"/>
              <w:bottom w:val="single" w:sz="4" w:space="0" w:color="auto"/>
              <w:right w:val="single" w:sz="4" w:space="0" w:color="auto"/>
            </w:tcBorders>
            <w:vAlign w:val="center"/>
            <w:hideMark/>
          </w:tcPr>
          <w:p w:rsidR="003B5CC7" w:rsidRPr="009B5734" w:rsidRDefault="003B5CC7" w:rsidP="00981615">
            <w:pPr>
              <w:ind w:left="0" w:firstLine="0"/>
              <w:rPr>
                <w:rFonts w:ascii="Times New Roman" w:hAnsi="Times New Roman" w:cs="Times New Roman"/>
                <w:b/>
                <w:noProof/>
              </w:rPr>
            </w:pPr>
          </w:p>
        </w:tc>
        <w:tc>
          <w:tcPr>
            <w:tcW w:w="2664"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noProof/>
              </w:rPr>
              <w:t xml:space="preserve">Number of </w:t>
            </w:r>
            <w:r w:rsidRPr="00014EB8">
              <w:rPr>
                <w:rFonts w:ascii="Times New Roman" w:hAnsi="Times New Roman"/>
                <w:b/>
                <w:noProof/>
              </w:rPr>
              <w:t>environmental claims that do not respect the criteria defined in this initiative</w:t>
            </w:r>
          </w:p>
        </w:tc>
        <w:tc>
          <w:tcPr>
            <w:tcW w:w="992" w:type="dxa"/>
            <w:tcBorders>
              <w:top w:val="single" w:sz="4" w:space="0" w:color="auto"/>
              <w:left w:val="single" w:sz="4" w:space="0" w:color="auto"/>
              <w:bottom w:val="single" w:sz="4" w:space="0" w:color="auto"/>
              <w:right w:val="single" w:sz="4" w:space="0" w:color="auto"/>
            </w:tcBorders>
          </w:tcPr>
          <w:p w:rsidR="003B5CC7" w:rsidRPr="00014EB8" w:rsidRDefault="00E63713" w:rsidP="00981615">
            <w:pPr>
              <w:ind w:left="10" w:right="-108" w:hanging="10"/>
              <w:rPr>
                <w:rFonts w:ascii="Times New Roman" w:hAnsi="Times New Roman"/>
                <w:noProof/>
              </w:rPr>
            </w:pPr>
            <w:r>
              <w:rPr>
                <w:rFonts w:ascii="Times New Roman" w:hAnsi="Times New Roman" w:cs="Times New Roman"/>
                <w:noProof/>
              </w:rPr>
              <w:t>/</w:t>
            </w:r>
          </w:p>
        </w:tc>
        <w:tc>
          <w:tcPr>
            <w:tcW w:w="1276" w:type="dxa"/>
            <w:tcBorders>
              <w:top w:val="single" w:sz="4" w:space="0" w:color="auto"/>
              <w:left w:val="single" w:sz="4" w:space="0" w:color="auto"/>
              <w:bottom w:val="single" w:sz="4" w:space="0" w:color="auto"/>
              <w:right w:val="single" w:sz="4" w:space="0" w:color="auto"/>
            </w:tcBorders>
          </w:tcPr>
          <w:p w:rsidR="003B5CC7" w:rsidRPr="00014EB8" w:rsidRDefault="003B5CC7" w:rsidP="00981615">
            <w:pPr>
              <w:ind w:left="34" w:firstLine="0"/>
              <w:rPr>
                <w:rFonts w:ascii="Times New Roman" w:hAnsi="Times New Roman"/>
                <w:noProof/>
              </w:rPr>
            </w:pP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Regular checks in the context of (coordinated) market surveillance activities</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3" w:firstLine="0"/>
              <w:rPr>
                <w:rFonts w:ascii="Times New Roman" w:hAnsi="Times New Roman"/>
                <w:noProof/>
              </w:rPr>
            </w:pPr>
            <w:r w:rsidRPr="00014EB8">
              <w:rPr>
                <w:rFonts w:ascii="Times New Roman" w:hAnsi="Times New Roman"/>
                <w:noProof/>
              </w:rPr>
              <w:t>No</w:t>
            </w:r>
          </w:p>
        </w:tc>
        <w:tc>
          <w:tcPr>
            <w:tcW w:w="1417"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noProof/>
              </w:rPr>
              <w:t>MSs, EC</w:t>
            </w:r>
          </w:p>
        </w:tc>
      </w:tr>
      <w:tr w:rsidR="003B5CC7" w:rsidRPr="009B5734" w:rsidTr="00C84A99">
        <w:trPr>
          <w:trHeight w:val="574"/>
        </w:trPr>
        <w:tc>
          <w:tcPr>
            <w:tcW w:w="1306" w:type="dxa"/>
            <w:vMerge/>
            <w:tcBorders>
              <w:top w:val="single" w:sz="4" w:space="0" w:color="auto"/>
              <w:left w:val="single" w:sz="4" w:space="0" w:color="auto"/>
              <w:bottom w:val="single" w:sz="4" w:space="0" w:color="auto"/>
              <w:right w:val="single" w:sz="4" w:space="0" w:color="auto"/>
            </w:tcBorders>
            <w:vAlign w:val="center"/>
            <w:hideMark/>
          </w:tcPr>
          <w:p w:rsidR="003B5CC7" w:rsidRPr="009B5734" w:rsidRDefault="003B5CC7" w:rsidP="00981615">
            <w:pPr>
              <w:ind w:left="0" w:firstLine="0"/>
              <w:rPr>
                <w:rFonts w:ascii="Times New Roman" w:hAnsi="Times New Roman" w:cs="Times New Roman"/>
                <w:b/>
                <w:noProof/>
              </w:rPr>
            </w:pPr>
          </w:p>
        </w:tc>
        <w:tc>
          <w:tcPr>
            <w:tcW w:w="2664"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noProof/>
              </w:rPr>
              <w:t xml:space="preserve">Number of legal cases for early </w:t>
            </w:r>
            <w:r w:rsidRPr="00014EB8">
              <w:rPr>
                <w:rFonts w:ascii="Times New Roman" w:hAnsi="Times New Roman"/>
                <w:b/>
                <w:noProof/>
              </w:rPr>
              <w:t>obsolescence practices launched by Member States</w:t>
            </w:r>
          </w:p>
        </w:tc>
        <w:tc>
          <w:tcPr>
            <w:tcW w:w="992" w:type="dxa"/>
            <w:tcBorders>
              <w:top w:val="single" w:sz="4" w:space="0" w:color="auto"/>
              <w:left w:val="single" w:sz="4" w:space="0" w:color="auto"/>
              <w:bottom w:val="single" w:sz="4" w:space="0" w:color="auto"/>
              <w:right w:val="single" w:sz="4" w:space="0" w:color="auto"/>
            </w:tcBorders>
          </w:tcPr>
          <w:p w:rsidR="003B5CC7" w:rsidRPr="00014EB8" w:rsidRDefault="00E63713" w:rsidP="00981615">
            <w:pPr>
              <w:ind w:left="10" w:right="-108" w:hanging="10"/>
              <w:rPr>
                <w:rFonts w:ascii="Times New Roman" w:hAnsi="Times New Roman"/>
                <w:noProof/>
              </w:rPr>
            </w:pPr>
            <w:r>
              <w:rPr>
                <w:rFonts w:ascii="Times New Roman" w:hAnsi="Times New Roman" w:cs="Times New Roman"/>
                <w:noProof/>
              </w:rPr>
              <w:t>/</w:t>
            </w:r>
          </w:p>
        </w:tc>
        <w:tc>
          <w:tcPr>
            <w:tcW w:w="1276" w:type="dxa"/>
            <w:tcBorders>
              <w:top w:val="single" w:sz="4" w:space="0" w:color="auto"/>
              <w:left w:val="single" w:sz="4" w:space="0" w:color="auto"/>
              <w:bottom w:val="single" w:sz="4" w:space="0" w:color="auto"/>
              <w:right w:val="single" w:sz="4" w:space="0" w:color="auto"/>
            </w:tcBorders>
          </w:tcPr>
          <w:p w:rsidR="003B5CC7" w:rsidRPr="00014EB8" w:rsidRDefault="003B5CC7" w:rsidP="00981615">
            <w:pPr>
              <w:ind w:left="34" w:firstLine="0"/>
              <w:rPr>
                <w:rFonts w:ascii="Times New Roman" w:hAnsi="Times New Roman"/>
                <w:noProof/>
              </w:rPr>
            </w:pP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Feedback from MSs</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3" w:firstLine="0"/>
              <w:rPr>
                <w:rFonts w:ascii="Times New Roman" w:hAnsi="Times New Roman"/>
                <w:noProof/>
              </w:rPr>
            </w:pPr>
            <w:r w:rsidRPr="00014EB8">
              <w:rPr>
                <w:rFonts w:ascii="Times New Roman" w:hAnsi="Times New Roman"/>
                <w:noProof/>
              </w:rPr>
              <w:t>No</w:t>
            </w:r>
          </w:p>
        </w:tc>
        <w:tc>
          <w:tcPr>
            <w:tcW w:w="1417"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noProof/>
              </w:rPr>
              <w:t>MSs</w:t>
            </w:r>
            <w:r w:rsidR="00902FD4">
              <w:rPr>
                <w:rFonts w:ascii="Times New Roman" w:hAnsi="Times New Roman" w:cs="Times New Roman"/>
                <w:noProof/>
              </w:rPr>
              <w:t>, EC</w:t>
            </w:r>
          </w:p>
        </w:tc>
      </w:tr>
      <w:tr w:rsidR="003B5CC7" w:rsidRPr="009B5734" w:rsidTr="00C84A99">
        <w:trPr>
          <w:trHeight w:val="574"/>
        </w:trPr>
        <w:tc>
          <w:tcPr>
            <w:tcW w:w="1306" w:type="dxa"/>
            <w:vMerge/>
            <w:tcBorders>
              <w:top w:val="single" w:sz="4" w:space="0" w:color="auto"/>
              <w:left w:val="single" w:sz="4" w:space="0" w:color="auto"/>
              <w:bottom w:val="single" w:sz="4" w:space="0" w:color="auto"/>
              <w:right w:val="single" w:sz="4" w:space="0" w:color="auto"/>
            </w:tcBorders>
            <w:vAlign w:val="center"/>
            <w:hideMark/>
          </w:tcPr>
          <w:p w:rsidR="003B5CC7" w:rsidRPr="009B5734" w:rsidRDefault="003B5CC7" w:rsidP="00981615">
            <w:pPr>
              <w:ind w:left="0" w:firstLine="0"/>
              <w:rPr>
                <w:rFonts w:ascii="Times New Roman" w:hAnsi="Times New Roman" w:cs="Times New Roman"/>
                <w:b/>
                <w:noProof/>
              </w:rPr>
            </w:pPr>
          </w:p>
        </w:tc>
        <w:tc>
          <w:tcPr>
            <w:tcW w:w="2664"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noProof/>
              </w:rPr>
              <w:t xml:space="preserve">Number of </w:t>
            </w:r>
            <w:r w:rsidRPr="005D24D2">
              <w:rPr>
                <w:rFonts w:ascii="Times New Roman" w:hAnsi="Times New Roman"/>
                <w:b/>
                <w:bCs/>
                <w:noProof/>
              </w:rPr>
              <w:t>sustainability labels</w:t>
            </w:r>
            <w:r w:rsidR="00E63713" w:rsidRPr="005D24D2">
              <w:rPr>
                <w:rFonts w:ascii="Times New Roman" w:hAnsi="Times New Roman"/>
                <w:b/>
                <w:bCs/>
                <w:noProof/>
              </w:rPr>
              <w:t xml:space="preserve"> </w:t>
            </w:r>
            <w:r w:rsidR="00E63713" w:rsidRPr="005773BA">
              <w:rPr>
                <w:rFonts w:ascii="Times New Roman" w:hAnsi="Times New Roman" w:cs="Times New Roman"/>
                <w:b/>
                <w:bCs/>
                <w:noProof/>
              </w:rPr>
              <w:t>and digital information tools</w:t>
            </w:r>
            <w:r w:rsidRPr="005773BA">
              <w:rPr>
                <w:rFonts w:ascii="Times New Roman" w:hAnsi="Times New Roman" w:cs="Times New Roman"/>
                <w:b/>
                <w:bCs/>
                <w:noProof/>
              </w:rPr>
              <w:t xml:space="preserve"> </w:t>
            </w:r>
            <w:r w:rsidRPr="005773BA">
              <w:rPr>
                <w:rFonts w:ascii="Times New Roman" w:hAnsi="Times New Roman"/>
                <w:b/>
                <w:bCs/>
                <w:noProof/>
              </w:rPr>
              <w:t>that do not respect the transparency and credibility requirements</w:t>
            </w:r>
          </w:p>
        </w:tc>
        <w:tc>
          <w:tcPr>
            <w:tcW w:w="992" w:type="dxa"/>
            <w:tcBorders>
              <w:top w:val="single" w:sz="4" w:space="0" w:color="auto"/>
              <w:left w:val="single" w:sz="4" w:space="0" w:color="auto"/>
              <w:bottom w:val="single" w:sz="4" w:space="0" w:color="auto"/>
              <w:right w:val="single" w:sz="4" w:space="0" w:color="auto"/>
            </w:tcBorders>
          </w:tcPr>
          <w:p w:rsidR="003B5CC7" w:rsidRPr="00014EB8" w:rsidRDefault="00E63713" w:rsidP="00981615">
            <w:pPr>
              <w:ind w:left="10" w:right="-108" w:hanging="10"/>
              <w:rPr>
                <w:rFonts w:ascii="Times New Roman" w:hAnsi="Times New Roman"/>
                <w:noProof/>
              </w:rPr>
            </w:pPr>
            <w:r>
              <w:rPr>
                <w:rFonts w:ascii="Times New Roman" w:hAnsi="Times New Roman" w:cs="Times New Roman"/>
                <w:noProof/>
              </w:rPr>
              <w:t>/</w:t>
            </w:r>
          </w:p>
        </w:tc>
        <w:tc>
          <w:tcPr>
            <w:tcW w:w="1276" w:type="dxa"/>
            <w:tcBorders>
              <w:top w:val="single" w:sz="4" w:space="0" w:color="auto"/>
              <w:left w:val="single" w:sz="4" w:space="0" w:color="auto"/>
              <w:bottom w:val="single" w:sz="4" w:space="0" w:color="auto"/>
              <w:right w:val="single" w:sz="4" w:space="0" w:color="auto"/>
            </w:tcBorders>
          </w:tcPr>
          <w:p w:rsidR="003B5CC7" w:rsidRPr="00014EB8" w:rsidRDefault="003B5CC7" w:rsidP="00981615">
            <w:pPr>
              <w:ind w:left="34" w:firstLine="0"/>
              <w:rPr>
                <w:rFonts w:ascii="Times New Roman" w:hAnsi="Times New Roman"/>
                <w:noProof/>
              </w:rPr>
            </w:pP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Regular checks in the context of (coordinated) market surveillance activities</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3" w:firstLine="0"/>
              <w:rPr>
                <w:rFonts w:ascii="Times New Roman" w:hAnsi="Times New Roman"/>
                <w:noProof/>
              </w:rPr>
            </w:pPr>
            <w:r w:rsidRPr="00014EB8">
              <w:rPr>
                <w:rFonts w:ascii="Times New Roman" w:hAnsi="Times New Roman"/>
                <w:noProof/>
              </w:rPr>
              <w:t>No</w:t>
            </w:r>
          </w:p>
        </w:tc>
        <w:tc>
          <w:tcPr>
            <w:tcW w:w="1417"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noProof/>
              </w:rPr>
              <w:t>MSs, EC</w:t>
            </w:r>
          </w:p>
        </w:tc>
      </w:tr>
      <w:tr w:rsidR="003E6966" w:rsidRPr="009B5734" w:rsidTr="00C84A99">
        <w:trPr>
          <w:trHeight w:val="574"/>
        </w:trPr>
        <w:tc>
          <w:tcPr>
            <w:tcW w:w="1306" w:type="dxa"/>
            <w:vMerge/>
            <w:tcBorders>
              <w:top w:val="single" w:sz="4" w:space="0" w:color="auto"/>
              <w:left w:val="single" w:sz="4" w:space="0" w:color="auto"/>
              <w:bottom w:val="single" w:sz="4" w:space="0" w:color="auto"/>
              <w:right w:val="single" w:sz="4" w:space="0" w:color="auto"/>
            </w:tcBorders>
            <w:vAlign w:val="center"/>
          </w:tcPr>
          <w:p w:rsidR="003E6966" w:rsidRPr="009B5734" w:rsidRDefault="003E6966" w:rsidP="00981615">
            <w:pPr>
              <w:ind w:left="0" w:firstLine="0"/>
              <w:rPr>
                <w:rFonts w:ascii="Times New Roman" w:hAnsi="Times New Roman" w:cs="Times New Roman"/>
                <w:b/>
                <w:noProof/>
              </w:rPr>
            </w:pPr>
          </w:p>
        </w:tc>
        <w:tc>
          <w:tcPr>
            <w:tcW w:w="2664" w:type="dxa"/>
            <w:tcBorders>
              <w:top w:val="single" w:sz="4" w:space="0" w:color="auto"/>
              <w:left w:val="single" w:sz="4" w:space="0" w:color="auto"/>
              <w:bottom w:val="single" w:sz="4" w:space="0" w:color="auto"/>
              <w:right w:val="single" w:sz="4" w:space="0" w:color="auto"/>
            </w:tcBorders>
          </w:tcPr>
          <w:p w:rsidR="003E6966" w:rsidRPr="00014EB8" w:rsidRDefault="003E6966" w:rsidP="003E6966">
            <w:pPr>
              <w:ind w:left="0" w:firstLine="0"/>
              <w:rPr>
                <w:rFonts w:ascii="Times New Roman" w:hAnsi="Times New Roman"/>
                <w:b/>
                <w:noProof/>
              </w:rPr>
            </w:pPr>
            <w:r>
              <w:rPr>
                <w:rFonts w:ascii="Times New Roman" w:hAnsi="Times New Roman"/>
                <w:b/>
                <w:noProof/>
              </w:rPr>
              <w:t>Monitoring and compliance costs for national authorities</w:t>
            </w:r>
          </w:p>
        </w:tc>
        <w:tc>
          <w:tcPr>
            <w:tcW w:w="992" w:type="dxa"/>
            <w:tcBorders>
              <w:top w:val="single" w:sz="4" w:space="0" w:color="auto"/>
              <w:left w:val="single" w:sz="4" w:space="0" w:color="auto"/>
              <w:bottom w:val="single" w:sz="4" w:space="0" w:color="auto"/>
              <w:right w:val="single" w:sz="4" w:space="0" w:color="auto"/>
            </w:tcBorders>
          </w:tcPr>
          <w:p w:rsidR="003E6966" w:rsidRPr="00014EB8" w:rsidRDefault="003E6966" w:rsidP="00981615">
            <w:pPr>
              <w:ind w:left="10" w:right="-108" w:hanging="10"/>
              <w:rPr>
                <w:rFonts w:ascii="Times New Roman" w:hAnsi="Times New Roman"/>
                <w:noProof/>
              </w:rPr>
            </w:pPr>
            <w:r>
              <w:rPr>
                <w:rFonts w:ascii="Times New Roman" w:hAnsi="Times New Roman"/>
                <w:noProof/>
              </w:rPr>
              <w:t>/</w:t>
            </w:r>
          </w:p>
        </w:tc>
        <w:tc>
          <w:tcPr>
            <w:tcW w:w="1276" w:type="dxa"/>
            <w:tcBorders>
              <w:top w:val="single" w:sz="4" w:space="0" w:color="auto"/>
              <w:left w:val="single" w:sz="4" w:space="0" w:color="auto"/>
              <w:bottom w:val="single" w:sz="4" w:space="0" w:color="auto"/>
              <w:right w:val="single" w:sz="4" w:space="0" w:color="auto"/>
            </w:tcBorders>
          </w:tcPr>
          <w:p w:rsidR="003E6966" w:rsidRPr="00014EB8" w:rsidRDefault="003E6966" w:rsidP="00981615">
            <w:pPr>
              <w:ind w:left="34" w:firstLine="0"/>
              <w:rPr>
                <w:rFonts w:ascii="Times New Roman" w:hAnsi="Times New Roman"/>
                <w:noProof/>
              </w:rPr>
            </w:pPr>
            <w:r>
              <w:rPr>
                <w:rFonts w:ascii="Times New Roman" w:hAnsi="Times New Roman"/>
                <w:noProof/>
              </w:rPr>
              <w:t>/</w:t>
            </w:r>
          </w:p>
        </w:tc>
        <w:tc>
          <w:tcPr>
            <w:tcW w:w="1276" w:type="dxa"/>
            <w:tcBorders>
              <w:top w:val="single" w:sz="4" w:space="0" w:color="auto"/>
              <w:left w:val="single" w:sz="4" w:space="0" w:color="auto"/>
              <w:bottom w:val="single" w:sz="4" w:space="0" w:color="auto"/>
              <w:right w:val="single" w:sz="4" w:space="0" w:color="auto"/>
            </w:tcBorders>
          </w:tcPr>
          <w:p w:rsidR="003E6966" w:rsidRPr="00014EB8" w:rsidRDefault="001B5C4C" w:rsidP="001B5C4C">
            <w:pPr>
              <w:ind w:left="34" w:firstLine="0"/>
              <w:rPr>
                <w:rFonts w:ascii="Times New Roman" w:hAnsi="Times New Roman"/>
                <w:noProof/>
              </w:rPr>
            </w:pPr>
            <w:r>
              <w:rPr>
                <w:rFonts w:ascii="Times New Roman" w:hAnsi="Times New Roman"/>
                <w:noProof/>
              </w:rPr>
              <w:t xml:space="preserve">Information to be collected via </w:t>
            </w:r>
            <w:r w:rsidR="003E6966" w:rsidRPr="00014EB8">
              <w:rPr>
                <w:rFonts w:ascii="Times New Roman" w:hAnsi="Times New Roman"/>
                <w:noProof/>
              </w:rPr>
              <w:t xml:space="preserve"> </w:t>
            </w:r>
            <w:r>
              <w:rPr>
                <w:rFonts w:ascii="Times New Roman" w:hAnsi="Times New Roman"/>
                <w:noProof/>
              </w:rPr>
              <w:t>the network of consumer protection authorities</w:t>
            </w:r>
          </w:p>
        </w:tc>
        <w:tc>
          <w:tcPr>
            <w:tcW w:w="1276" w:type="dxa"/>
            <w:tcBorders>
              <w:top w:val="single" w:sz="4" w:space="0" w:color="auto"/>
              <w:left w:val="single" w:sz="4" w:space="0" w:color="auto"/>
              <w:bottom w:val="single" w:sz="4" w:space="0" w:color="auto"/>
              <w:right w:val="single" w:sz="4" w:space="0" w:color="auto"/>
            </w:tcBorders>
          </w:tcPr>
          <w:p w:rsidR="003E6966" w:rsidRPr="00014EB8" w:rsidRDefault="003E6966" w:rsidP="00981615">
            <w:pPr>
              <w:ind w:left="33" w:firstLine="0"/>
              <w:rPr>
                <w:rFonts w:ascii="Times New Roman" w:hAnsi="Times New Roman"/>
                <w:noProof/>
              </w:rPr>
            </w:pPr>
            <w:r>
              <w:rPr>
                <w:rFonts w:ascii="Times New Roman" w:hAnsi="Times New Roman"/>
                <w:noProof/>
              </w:rPr>
              <w:t>No</w:t>
            </w:r>
          </w:p>
        </w:tc>
        <w:tc>
          <w:tcPr>
            <w:tcW w:w="1417" w:type="dxa"/>
            <w:tcBorders>
              <w:top w:val="single" w:sz="4" w:space="0" w:color="auto"/>
              <w:left w:val="single" w:sz="4" w:space="0" w:color="auto"/>
              <w:bottom w:val="single" w:sz="4" w:space="0" w:color="auto"/>
              <w:right w:val="single" w:sz="4" w:space="0" w:color="auto"/>
            </w:tcBorders>
          </w:tcPr>
          <w:p w:rsidR="003E6966" w:rsidRPr="00014EB8" w:rsidRDefault="003E6966" w:rsidP="00981615">
            <w:pPr>
              <w:ind w:left="0" w:firstLine="0"/>
              <w:rPr>
                <w:rFonts w:ascii="Times New Roman" w:hAnsi="Times New Roman"/>
                <w:noProof/>
              </w:rPr>
            </w:pPr>
            <w:r w:rsidRPr="00014EB8">
              <w:rPr>
                <w:rFonts w:ascii="Times New Roman" w:hAnsi="Times New Roman"/>
                <w:noProof/>
              </w:rPr>
              <w:t>MSs, EC</w:t>
            </w:r>
          </w:p>
        </w:tc>
      </w:tr>
      <w:tr w:rsidR="003B5CC7" w:rsidRPr="009B5734" w:rsidTr="00C84A99">
        <w:trPr>
          <w:trHeight w:val="574"/>
        </w:trPr>
        <w:tc>
          <w:tcPr>
            <w:tcW w:w="1306" w:type="dxa"/>
            <w:vMerge/>
            <w:tcBorders>
              <w:top w:val="single" w:sz="4" w:space="0" w:color="auto"/>
              <w:left w:val="single" w:sz="4" w:space="0" w:color="auto"/>
              <w:bottom w:val="single" w:sz="4" w:space="0" w:color="auto"/>
              <w:right w:val="single" w:sz="4" w:space="0" w:color="auto"/>
            </w:tcBorders>
            <w:vAlign w:val="center"/>
            <w:hideMark/>
          </w:tcPr>
          <w:p w:rsidR="003B5CC7" w:rsidRPr="009B5734" w:rsidRDefault="003B5CC7" w:rsidP="00981615">
            <w:pPr>
              <w:ind w:left="0" w:firstLine="0"/>
              <w:rPr>
                <w:rFonts w:ascii="Times New Roman" w:hAnsi="Times New Roman" w:cs="Times New Roman"/>
                <w:b/>
                <w:noProof/>
              </w:rPr>
            </w:pPr>
          </w:p>
        </w:tc>
        <w:tc>
          <w:tcPr>
            <w:tcW w:w="2664"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b/>
                <w:noProof/>
              </w:rPr>
              <w:t>Share of national authorities</w:t>
            </w:r>
            <w:r w:rsidRPr="00014EB8">
              <w:rPr>
                <w:rFonts w:ascii="Times New Roman" w:hAnsi="Times New Roman"/>
                <w:noProof/>
              </w:rPr>
              <w:t xml:space="preserve"> that consider that the initiative has rendered it easier to address greenwashing, early obsolescence and non-transparent sustainability labels.</w:t>
            </w:r>
          </w:p>
        </w:tc>
        <w:tc>
          <w:tcPr>
            <w:tcW w:w="992" w:type="dxa"/>
            <w:tcBorders>
              <w:top w:val="single" w:sz="4" w:space="0" w:color="auto"/>
              <w:left w:val="single" w:sz="4" w:space="0" w:color="auto"/>
              <w:bottom w:val="single" w:sz="4" w:space="0" w:color="auto"/>
              <w:right w:val="single" w:sz="4" w:space="0" w:color="auto"/>
            </w:tcBorders>
          </w:tcPr>
          <w:p w:rsidR="003B5CC7" w:rsidRPr="00014EB8" w:rsidRDefault="003B5CC7" w:rsidP="00981615">
            <w:pPr>
              <w:ind w:left="10" w:right="-108" w:hanging="10"/>
              <w:rPr>
                <w:rFonts w:ascii="Times New Roman" w:hAnsi="Times New Roman"/>
                <w:noProof/>
              </w:rPr>
            </w:pPr>
            <w:r w:rsidRPr="00014EB8">
              <w:rPr>
                <w:rFonts w:ascii="Times New Roman" w:hAnsi="Times New Roman"/>
                <w:noProof/>
              </w:rPr>
              <w:t>/</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90-100%</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34" w:firstLine="0"/>
              <w:rPr>
                <w:rFonts w:ascii="Times New Roman" w:hAnsi="Times New Roman"/>
                <w:noProof/>
              </w:rPr>
            </w:pPr>
            <w:r w:rsidRPr="00014EB8">
              <w:rPr>
                <w:rFonts w:ascii="Times New Roman" w:hAnsi="Times New Roman"/>
                <w:noProof/>
              </w:rPr>
              <w:t>Feedback from MSs after coordinated market surveillance activities</w:t>
            </w:r>
          </w:p>
        </w:tc>
        <w:tc>
          <w:tcPr>
            <w:tcW w:w="1276" w:type="dxa"/>
            <w:tcBorders>
              <w:top w:val="single" w:sz="4" w:space="0" w:color="auto"/>
              <w:left w:val="single" w:sz="4" w:space="0" w:color="auto"/>
              <w:bottom w:val="single" w:sz="4" w:space="0" w:color="auto"/>
              <w:right w:val="single" w:sz="4" w:space="0" w:color="auto"/>
            </w:tcBorders>
            <w:hideMark/>
          </w:tcPr>
          <w:p w:rsidR="003B5CC7" w:rsidRPr="00014EB8" w:rsidRDefault="003B5CC7" w:rsidP="00F018EE">
            <w:pPr>
              <w:ind w:left="33" w:firstLine="0"/>
              <w:rPr>
                <w:rFonts w:ascii="Times New Roman" w:hAnsi="Times New Roman"/>
                <w:noProof/>
              </w:rPr>
            </w:pPr>
            <w:r w:rsidRPr="00014EB8">
              <w:rPr>
                <w:rFonts w:ascii="Times New Roman" w:hAnsi="Times New Roman"/>
                <w:noProof/>
              </w:rPr>
              <w:t>No</w:t>
            </w:r>
          </w:p>
        </w:tc>
        <w:tc>
          <w:tcPr>
            <w:tcW w:w="1417" w:type="dxa"/>
            <w:tcBorders>
              <w:top w:val="single" w:sz="4" w:space="0" w:color="auto"/>
              <w:left w:val="single" w:sz="4" w:space="0" w:color="auto"/>
              <w:bottom w:val="single" w:sz="4" w:space="0" w:color="auto"/>
              <w:right w:val="single" w:sz="4" w:space="0" w:color="auto"/>
            </w:tcBorders>
            <w:hideMark/>
          </w:tcPr>
          <w:p w:rsidR="003B5CC7" w:rsidRPr="00014EB8" w:rsidRDefault="003B5CC7" w:rsidP="00981615">
            <w:pPr>
              <w:ind w:left="0" w:firstLine="0"/>
              <w:rPr>
                <w:rFonts w:ascii="Times New Roman" w:hAnsi="Times New Roman"/>
                <w:noProof/>
              </w:rPr>
            </w:pPr>
            <w:r w:rsidRPr="00014EB8">
              <w:rPr>
                <w:rFonts w:ascii="Times New Roman" w:hAnsi="Times New Roman"/>
                <w:noProof/>
              </w:rPr>
              <w:t>MSs, EC</w:t>
            </w:r>
          </w:p>
        </w:tc>
      </w:tr>
    </w:tbl>
    <w:p w:rsidR="003B5CC7" w:rsidRPr="009B5734" w:rsidRDefault="003B5CC7" w:rsidP="003B5CC7">
      <w:pPr>
        <w:rPr>
          <w:noProof/>
        </w:rPr>
      </w:pPr>
    </w:p>
    <w:p w:rsidR="003B5CC7" w:rsidRPr="009B5734" w:rsidRDefault="003B5CC7" w:rsidP="003B5CC7">
      <w:pPr>
        <w:rPr>
          <w:noProof/>
        </w:rPr>
      </w:pPr>
    </w:p>
    <w:p w:rsidR="00EA45F9" w:rsidRPr="009B5734" w:rsidRDefault="00EA45F9" w:rsidP="00EA45F9">
      <w:pPr>
        <w:pStyle w:val="Text1"/>
        <w:rPr>
          <w:noProof/>
        </w:rPr>
      </w:pPr>
    </w:p>
    <w:p w:rsidR="00EA45F9" w:rsidRPr="009B5734" w:rsidRDefault="00EA45F9" w:rsidP="00EA45F9">
      <w:pPr>
        <w:pStyle w:val="Heading1"/>
        <w:jc w:val="center"/>
        <w:rPr>
          <w:noProof/>
        </w:rPr>
      </w:pPr>
      <w:bookmarkStart w:id="792" w:name="_Annex_11:_Options_1"/>
      <w:bookmarkStart w:id="793" w:name="_Toc75441459"/>
      <w:bookmarkStart w:id="794" w:name="_Toc75447025"/>
      <w:bookmarkStart w:id="795" w:name="_Toc75448898"/>
      <w:bookmarkStart w:id="796" w:name="_Toc77844273"/>
      <w:bookmarkStart w:id="797" w:name="_Toc86391776"/>
      <w:bookmarkEnd w:id="792"/>
      <w:r w:rsidRPr="009B5734">
        <w:rPr>
          <w:noProof/>
        </w:rPr>
        <w:t>Annex 11: Options discarded at an early stage</w:t>
      </w:r>
      <w:bookmarkEnd w:id="793"/>
      <w:bookmarkEnd w:id="794"/>
      <w:bookmarkEnd w:id="795"/>
      <w:bookmarkEnd w:id="796"/>
      <w:bookmarkEnd w:id="797"/>
    </w:p>
    <w:p w:rsidR="00EA45F9" w:rsidRPr="009B5734" w:rsidRDefault="00A00208" w:rsidP="00A00208">
      <w:pPr>
        <w:pStyle w:val="Heading2"/>
        <w:rPr>
          <w:noProof/>
        </w:rPr>
      </w:pPr>
      <w:bookmarkStart w:id="798" w:name="_Toc75441460"/>
      <w:bookmarkStart w:id="799" w:name="_Toc75447026"/>
      <w:bookmarkStart w:id="800" w:name="_Toc75448899"/>
      <w:bookmarkStart w:id="801" w:name="_Toc77844274"/>
      <w:bookmarkStart w:id="802" w:name="_Toc86391777"/>
      <w:r w:rsidRPr="00A00208">
        <w:t>1.</w:t>
      </w:r>
      <w:r w:rsidRPr="00A00208">
        <w:tab/>
      </w:r>
      <w:r w:rsidR="00EA45F9" w:rsidRPr="009B5734">
        <w:rPr>
          <w:noProof/>
        </w:rPr>
        <w:t xml:space="preserve">Problem 1: Consumers lack </w:t>
      </w:r>
      <w:r w:rsidR="00B73C39" w:rsidRPr="00B73C39">
        <w:rPr>
          <w:noProof/>
        </w:rPr>
        <w:t xml:space="preserve">reliable </w:t>
      </w:r>
      <w:r w:rsidR="00EA45F9" w:rsidRPr="009B5734">
        <w:rPr>
          <w:noProof/>
        </w:rPr>
        <w:t xml:space="preserve">information </w:t>
      </w:r>
      <w:r w:rsidR="00B73C39" w:rsidRPr="00B73C39">
        <w:rPr>
          <w:noProof/>
        </w:rPr>
        <w:t>at the point of sale to make environmentally</w:t>
      </w:r>
      <w:r w:rsidR="00EA45F9" w:rsidRPr="009B5734">
        <w:rPr>
          <w:noProof/>
        </w:rPr>
        <w:t xml:space="preserve"> sustainable </w:t>
      </w:r>
      <w:bookmarkEnd w:id="798"/>
      <w:bookmarkEnd w:id="799"/>
      <w:bookmarkEnd w:id="800"/>
      <w:r w:rsidR="0080633B">
        <w:rPr>
          <w:noProof/>
        </w:rPr>
        <w:t>consumption choices</w:t>
      </w:r>
      <w:bookmarkEnd w:id="801"/>
      <w:bookmarkEnd w:id="802"/>
    </w:p>
    <w:p w:rsidR="00EA45F9" w:rsidRPr="009B5734" w:rsidRDefault="00A00208" w:rsidP="00A00208">
      <w:pPr>
        <w:pStyle w:val="Heading4"/>
        <w:rPr>
          <w:noProof/>
        </w:rPr>
      </w:pPr>
      <w:bookmarkStart w:id="803" w:name="_Toc75441461"/>
      <w:bookmarkStart w:id="804" w:name="_Toc75447027"/>
      <w:bookmarkStart w:id="805" w:name="_Toc75448900"/>
      <w:r w:rsidRPr="00A00208">
        <w:t>1.1.</w:t>
      </w:r>
      <w:r w:rsidRPr="00A00208">
        <w:tab/>
      </w:r>
      <w:r w:rsidR="00EA45F9" w:rsidRPr="009B5734">
        <w:rPr>
          <w:noProof/>
        </w:rPr>
        <w:t xml:space="preserve">Sub-problem 1.1: </w:t>
      </w:r>
      <w:r w:rsidR="00D60C0B" w:rsidRPr="009B5734">
        <w:rPr>
          <w:noProof/>
        </w:rPr>
        <w:t>Lack of reliable information</w:t>
      </w:r>
      <w:r w:rsidR="00EA45F9" w:rsidRPr="009B5734">
        <w:rPr>
          <w:noProof/>
        </w:rPr>
        <w:t xml:space="preserve"> about products’ environmental characteristics</w:t>
      </w:r>
      <w:bookmarkEnd w:id="803"/>
      <w:bookmarkEnd w:id="804"/>
      <w:bookmarkEnd w:id="805"/>
    </w:p>
    <w:p w:rsidR="00057C0C" w:rsidRDefault="00057C0C" w:rsidP="00EA45F9">
      <w:pPr>
        <w:pStyle w:val="Text2"/>
        <w:ind w:left="0" w:firstLine="0"/>
        <w:rPr>
          <w:noProof/>
          <w:szCs w:val="24"/>
        </w:rPr>
      </w:pPr>
      <w:r w:rsidRPr="001C2CE3">
        <w:rPr>
          <w:noProof/>
          <w:szCs w:val="24"/>
        </w:rPr>
        <w:t>For this sub-problem, a number of options have been discarded at an early stage, as their added value could not be demonstrated if taken via a horizontal consumer law instrument. These options</w:t>
      </w:r>
      <w:r w:rsidRPr="001C2CE3" w:rsidDel="00763B9C">
        <w:rPr>
          <w:noProof/>
          <w:szCs w:val="24"/>
        </w:rPr>
        <w:t xml:space="preserve"> </w:t>
      </w:r>
      <w:r w:rsidRPr="001C2CE3">
        <w:rPr>
          <w:noProof/>
          <w:szCs w:val="24"/>
        </w:rPr>
        <w:t>are the following: an obligation to inform on product’s environmental characteristics for all consumer products (goods and services), an obligation to warn on products with high negative impacts on the environment, an obligation to warn when there is “no proof” of good environmental performance of the product, and an obligation to inform on one single key environmental characteristic, i.e. related to climate change. Further details of these options and the reasons for discarding them is provide</w:t>
      </w:r>
      <w:r>
        <w:rPr>
          <w:noProof/>
          <w:szCs w:val="24"/>
        </w:rPr>
        <w:t xml:space="preserve">d below. </w:t>
      </w:r>
      <w:r w:rsidRPr="001C2CE3">
        <w:rPr>
          <w:noProof/>
          <w:szCs w:val="24"/>
        </w:rPr>
        <w:t>In general, environmental characteristics of products are always specific to product groups. Depending on the product group, the relevant information on environmental characteristics to be provided at the point of sale differs significantly. For these reasons, it was concluded that a horizontal consumer law instrument would not be the appropriate place to introduce such requirements.</w:t>
      </w:r>
    </w:p>
    <w:p w:rsidR="00057C0C" w:rsidRPr="009B5734" w:rsidRDefault="00EA45F9" w:rsidP="00EA45F9">
      <w:pPr>
        <w:pStyle w:val="Text2"/>
        <w:ind w:left="0" w:firstLine="0"/>
        <w:rPr>
          <w:noProof/>
        </w:rPr>
      </w:pPr>
      <w:r w:rsidRPr="009B5734">
        <w:rPr>
          <w:noProof/>
        </w:rPr>
        <w:t xml:space="preserve">In relation to this particular sub-problem, the Green Claims Initiative will provide a common framework for those companies wishing to provide information on the environmental characteristics of their products. In the future, the SPI initiative or future eco-design information requirements and mandatory EU labelling schemes (i.e. EU energy label) will address this problem for certain product categories. </w:t>
      </w:r>
    </w:p>
    <w:p w:rsidR="00EA45F9" w:rsidRPr="009B5734" w:rsidRDefault="00EA45F9" w:rsidP="00EA45F9">
      <w:pPr>
        <w:pStyle w:val="Text2"/>
        <w:ind w:left="0" w:firstLine="0"/>
        <w:rPr>
          <w:noProof/>
        </w:rPr>
      </w:pPr>
      <w:r w:rsidRPr="009B5734">
        <w:rPr>
          <w:noProof/>
        </w:rPr>
        <w:t xml:space="preserve">The SPI framework will introduce requirements through measures </w:t>
      </w:r>
      <w:r w:rsidR="003F75E6">
        <w:rPr>
          <w:noProof/>
        </w:rPr>
        <w:t xml:space="preserve">potentially </w:t>
      </w:r>
      <w:r w:rsidRPr="009B5734">
        <w:rPr>
          <w:noProof/>
        </w:rPr>
        <w:t xml:space="preserve">covering a range of product groups wider than eco-design (i.e. not only energy-related products), key value chains (electronics, batteries and cars, textile, packaging, plastics, construction and buildings), high-impact intermediary products (cement, steel and chemicals) and furniture, including key sectors identified in the CEAP but excluding food, and possibly including services. </w:t>
      </w:r>
    </w:p>
    <w:p w:rsidR="00EA45F9" w:rsidRDefault="00EA45F9" w:rsidP="00C84A99">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The information to be required under these initiatives can be both quantitative </w:t>
      </w:r>
      <w:r w:rsidR="00532494">
        <w:rPr>
          <w:rFonts w:ascii="Times New Roman" w:hAnsi="Times New Roman" w:cs="Times New Roman"/>
          <w:noProof/>
          <w:sz w:val="24"/>
          <w:szCs w:val="24"/>
        </w:rPr>
        <w:t>and</w:t>
      </w:r>
      <w:r w:rsidR="00532494" w:rsidRPr="009B5734">
        <w:rPr>
          <w:rFonts w:ascii="Times New Roman" w:hAnsi="Times New Roman" w:cs="Times New Roman"/>
          <w:noProof/>
          <w:sz w:val="24"/>
          <w:szCs w:val="24"/>
        </w:rPr>
        <w:t xml:space="preserve"> </w:t>
      </w:r>
      <w:r w:rsidRPr="009B5734">
        <w:rPr>
          <w:rFonts w:ascii="Times New Roman" w:hAnsi="Times New Roman" w:cs="Times New Roman"/>
          <w:noProof/>
          <w:sz w:val="24"/>
          <w:szCs w:val="24"/>
        </w:rPr>
        <w:t xml:space="preserve">qualitative, depending on the availability of Product Environmental Footprint Category Rules (PEFCRs). This means it could include a qualitative listing of the most relevant environmental impacts of the product (based on the general PEF method), an improvement on environmental performance over time (qualitative if based on the PEF method, quantitative when PEFCRs available),  or a “traffic-light” system with 3 to 5 performance classes (depending on the  Product Environmental Footprint Category Rules).    </w:t>
      </w:r>
    </w:p>
    <w:p w:rsidR="00057C0C" w:rsidRDefault="00057C0C" w:rsidP="00057C0C">
      <w:pPr>
        <w:ind w:left="0" w:firstLine="0"/>
        <w:rPr>
          <w:rFonts w:ascii="Times New Roman" w:hAnsi="Times New Roman" w:cs="Times New Roman"/>
          <w:noProof/>
          <w:sz w:val="24"/>
          <w:szCs w:val="24"/>
        </w:rPr>
      </w:pPr>
    </w:p>
    <w:p w:rsidR="005F504E" w:rsidRDefault="005F504E" w:rsidP="00C84A99">
      <w:pPr>
        <w:ind w:left="0" w:firstLine="0"/>
        <w:rPr>
          <w:rFonts w:ascii="Times New Roman" w:hAnsi="Times New Roman" w:cs="Times New Roman"/>
          <w:noProof/>
          <w:sz w:val="24"/>
          <w:szCs w:val="24"/>
        </w:rPr>
      </w:pPr>
    </w:p>
    <w:p w:rsidR="00C84A99" w:rsidRDefault="00C84A99" w:rsidP="00EA45F9">
      <w:pPr>
        <w:pStyle w:val="Text2"/>
        <w:ind w:left="0" w:firstLine="0"/>
        <w:rPr>
          <w:noProof/>
        </w:rPr>
      </w:pPr>
    </w:p>
    <w:p w:rsidR="00EA45F9" w:rsidRPr="009B5734" w:rsidRDefault="00EA45F9" w:rsidP="00EA45F9">
      <w:pPr>
        <w:pStyle w:val="Text2"/>
        <w:ind w:left="0" w:firstLine="0"/>
        <w:rPr>
          <w:noProof/>
        </w:rPr>
      </w:pPr>
      <w:r w:rsidRPr="009B5734">
        <w:rPr>
          <w:noProof/>
        </w:rPr>
        <w:t>For these reasons, the following options have been discarded at an early stage:</w:t>
      </w:r>
    </w:p>
    <w:tbl>
      <w:tblPr>
        <w:tblStyle w:val="GridTable4-Accent2"/>
        <w:tblW w:w="9356" w:type="dxa"/>
        <w:tblInd w:w="-176" w:type="dxa"/>
        <w:tblLook w:val="04A0" w:firstRow="1" w:lastRow="0" w:firstColumn="1" w:lastColumn="0" w:noHBand="0" w:noVBand="1"/>
      </w:tblPr>
      <w:tblGrid>
        <w:gridCol w:w="2411"/>
        <w:gridCol w:w="6945"/>
      </w:tblGrid>
      <w:tr w:rsidR="00EA45F9" w:rsidRPr="009B5734" w:rsidTr="00C84A99">
        <w:trPr>
          <w:cnfStyle w:val="100000000000" w:firstRow="1" w:lastRow="0" w:firstColumn="0" w:lastColumn="0" w:oddVBand="0" w:evenVBand="0" w:oddHBand="0"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2411" w:type="dxa"/>
          </w:tcPr>
          <w:p w:rsidR="00EA45F9" w:rsidRPr="009B5734" w:rsidRDefault="00EA45F9" w:rsidP="00981615">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Options discarded at an early stage</w:t>
            </w:r>
          </w:p>
        </w:tc>
        <w:tc>
          <w:tcPr>
            <w:tcW w:w="6945" w:type="dxa"/>
          </w:tcPr>
          <w:p w:rsidR="00EA45F9" w:rsidRPr="009B5734" w:rsidRDefault="00EA45F9" w:rsidP="00981615">
            <w:pPr>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B5734">
              <w:rPr>
                <w:rFonts w:ascii="Times New Roman" w:hAnsi="Times New Roman" w:cs="Times New Roman"/>
                <w:noProof/>
                <w:sz w:val="24"/>
                <w:szCs w:val="24"/>
              </w:rPr>
              <w:t xml:space="preserve">Rationale </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2411" w:type="dxa"/>
            <w:shd w:val="clear" w:color="auto" w:fill="FFFFFF" w:themeFill="background1"/>
          </w:tcPr>
          <w:p w:rsidR="00EA45F9" w:rsidRPr="009B5734" w:rsidRDefault="00EA45F9" w:rsidP="00981615">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Obligation to inform  on product’s environmental characteristics for all consumer products (goods and services) </w:t>
            </w:r>
          </w:p>
        </w:tc>
        <w:tc>
          <w:tcPr>
            <w:tcW w:w="6945" w:type="dxa"/>
            <w:shd w:val="clear" w:color="auto" w:fill="FFFFFF" w:themeFill="background1"/>
          </w:tcPr>
          <w:p w:rsidR="00EA45F9" w:rsidRPr="009B5734" w:rsidRDefault="00EA45F9" w:rsidP="00981615">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9B5734">
              <w:rPr>
                <w:rFonts w:ascii="Times New Roman" w:hAnsi="Times New Roman" w:cs="Times New Roman"/>
                <w:noProof/>
                <w:sz w:val="24"/>
                <w:szCs w:val="24"/>
              </w:rPr>
              <w:t>This option would require sellers, based on information provided by manufacturers, to provide information at the point of sale of the environmental characteristics of products (all goods and services) based on a life-cycle assessment study in accordance with the Product Environmental Footprint (PEF) method</w:t>
            </w:r>
            <w:r w:rsidRPr="009B5734">
              <w:rPr>
                <w:rStyle w:val="FootnoteReference"/>
                <w:noProof/>
                <w:szCs w:val="24"/>
              </w:rPr>
              <w:footnoteReference w:id="265"/>
            </w:r>
            <w:r w:rsidRPr="009B5734">
              <w:rPr>
                <w:rFonts w:ascii="Times New Roman" w:hAnsi="Times New Roman" w:cs="Times New Roman"/>
                <w:noProof/>
                <w:sz w:val="24"/>
              </w:rPr>
              <w:t>.</w:t>
            </w:r>
          </w:p>
          <w:p w:rsidR="00EA45F9" w:rsidRPr="009B5734" w:rsidRDefault="00EA45F9" w:rsidP="00981615">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p>
          <w:p w:rsidR="00EA45F9" w:rsidRPr="009B5734" w:rsidRDefault="00EA45F9" w:rsidP="00981615">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9B5734">
              <w:rPr>
                <w:rFonts w:ascii="Times New Roman" w:hAnsi="Times New Roman" w:cs="Times New Roman"/>
                <w:noProof/>
                <w:sz w:val="24"/>
                <w:szCs w:val="24"/>
              </w:rPr>
              <w:t xml:space="preserve">This option has been discarded at an early stage given the likely very high costs such information would entail, both </w:t>
            </w:r>
            <w:r w:rsidRPr="009B5734">
              <w:rPr>
                <w:rFonts w:ascii="Times New Roman" w:hAnsi="Times New Roman" w:cs="Times New Roman"/>
                <w:i/>
                <w:noProof/>
                <w:sz w:val="24"/>
                <w:szCs w:val="24"/>
              </w:rPr>
              <w:t>indirectly</w:t>
            </w:r>
            <w:r w:rsidRPr="009B5734">
              <w:rPr>
                <w:rFonts w:ascii="Times New Roman" w:hAnsi="Times New Roman" w:cs="Times New Roman"/>
                <w:noProof/>
                <w:sz w:val="24"/>
                <w:szCs w:val="24"/>
              </w:rPr>
              <w:t xml:space="preserve"> (on sellers; in searching for this information) and </w:t>
            </w:r>
            <w:r w:rsidRPr="009B5734">
              <w:rPr>
                <w:rFonts w:ascii="Times New Roman" w:hAnsi="Times New Roman" w:cs="Times New Roman"/>
                <w:i/>
                <w:noProof/>
                <w:sz w:val="24"/>
                <w:szCs w:val="24"/>
              </w:rPr>
              <w:t>directly</w:t>
            </w:r>
            <w:r w:rsidRPr="009B5734">
              <w:rPr>
                <w:rFonts w:ascii="Times New Roman" w:hAnsi="Times New Roman" w:cs="Times New Roman"/>
                <w:noProof/>
                <w:sz w:val="24"/>
                <w:szCs w:val="24"/>
              </w:rPr>
              <w:t xml:space="preserve"> (on manufacturers: in producing this information), when implemented in a mandatory way on a horizontal scale. Moreover, such information would be only useful for consumers if a traffic light system can be developed, which is </w:t>
            </w:r>
            <w:r w:rsidRPr="009B5734">
              <w:rPr>
                <w:rFonts w:ascii="Times New Roman" w:hAnsi="Times New Roman"/>
                <w:noProof/>
                <w:sz w:val="24"/>
              </w:rPr>
              <w:t>depending on the availability of more specific Product Environmental Footprint Category Rules (PEFCRs</w:t>
            </w:r>
            <w:r w:rsidR="00057C0C">
              <w:rPr>
                <w:rFonts w:ascii="Times New Roman" w:hAnsi="Times New Roman"/>
                <w:noProof/>
                <w:sz w:val="24"/>
              </w:rPr>
              <w:t>)</w:t>
            </w:r>
            <w:r w:rsidRPr="009B5734">
              <w:rPr>
                <w:rFonts w:ascii="Times New Roman" w:hAnsi="Times New Roman"/>
                <w:noProof/>
                <w:sz w:val="24"/>
              </w:rPr>
              <w:t xml:space="preserve"> in the future. </w:t>
            </w:r>
          </w:p>
          <w:p w:rsidR="00EA45F9" w:rsidRPr="009B5734" w:rsidRDefault="00EA45F9" w:rsidP="00981615">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p>
          <w:p w:rsidR="00EA45F9" w:rsidRPr="00353CBE" w:rsidRDefault="00EA45F9" w:rsidP="00981615">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946905">
              <w:rPr>
                <w:rFonts w:ascii="Times New Roman" w:hAnsi="Times New Roman"/>
                <w:noProof/>
                <w:sz w:val="24"/>
                <w:szCs w:val="24"/>
              </w:rPr>
              <w:t xml:space="preserve">Furthermore, whilst based on the PEF method, this option would not be coherent with the objective of the planned Green Claims Initiative </w:t>
            </w:r>
            <w:r w:rsidRPr="783FAA30">
              <w:rPr>
                <w:rFonts w:ascii="Times New Roman" w:hAnsi="Times New Roman"/>
                <w:noProof/>
                <w:sz w:val="24"/>
                <w:szCs w:val="24"/>
              </w:rPr>
              <w:t xml:space="preserve">as it would de facto oblige all companies to assess the environmental performance of their products by following the PEF method. The </w:t>
            </w:r>
            <w:r w:rsidR="003B203F" w:rsidRPr="00D2111D">
              <w:rPr>
                <w:rFonts w:ascii="Times New Roman" w:hAnsi="Times New Roman"/>
                <w:noProof/>
                <w:sz w:val="24"/>
                <w:szCs w:val="24"/>
              </w:rPr>
              <w:t xml:space="preserve">upcoming </w:t>
            </w:r>
            <w:r w:rsidRPr="00D2111D">
              <w:rPr>
                <w:rFonts w:ascii="Times New Roman" w:hAnsi="Times New Roman"/>
                <w:noProof/>
                <w:sz w:val="24"/>
                <w:szCs w:val="24"/>
              </w:rPr>
              <w:t>Green Claims initiative is not intended to render obligatory for all products to undertake a PEF assessment.</w:t>
            </w:r>
            <w:r w:rsidRPr="00C84A99">
              <w:rPr>
                <w:rFonts w:ascii="Times New Roman" w:hAnsi="Times New Roman"/>
                <w:noProof/>
                <w:sz w:val="24"/>
                <w:szCs w:val="24"/>
              </w:rPr>
              <w:t xml:space="preserve">  Such  mandatory information will only be possible when considered for a specific sector or market, subject to an in-depth </w:t>
            </w:r>
            <w:r w:rsidR="783FAA30" w:rsidRPr="00C84A99">
              <w:rPr>
                <w:rFonts w:ascii="Times New Roman" w:hAnsi="Times New Roman"/>
                <w:noProof/>
                <w:sz w:val="24"/>
                <w:szCs w:val="24"/>
              </w:rPr>
              <w:t>I</w:t>
            </w:r>
            <w:r w:rsidRPr="00946905">
              <w:rPr>
                <w:rFonts w:ascii="Times New Roman" w:hAnsi="Times New Roman"/>
                <w:noProof/>
                <w:sz w:val="24"/>
                <w:szCs w:val="24"/>
              </w:rPr>
              <w:t xml:space="preserve">mpact </w:t>
            </w:r>
            <w:r w:rsidR="783FAA30" w:rsidRPr="00946905">
              <w:rPr>
                <w:rFonts w:ascii="Times New Roman" w:hAnsi="Times New Roman"/>
                <w:noProof/>
                <w:sz w:val="24"/>
                <w:szCs w:val="24"/>
              </w:rPr>
              <w:t>A</w:t>
            </w:r>
            <w:r w:rsidRPr="00946905">
              <w:rPr>
                <w:rFonts w:ascii="Times New Roman" w:hAnsi="Times New Roman"/>
                <w:noProof/>
                <w:sz w:val="24"/>
                <w:szCs w:val="24"/>
              </w:rPr>
              <w:t>ssessment for that sector, for example in the context or a future product implementing measure under the future SPI.</w:t>
            </w:r>
          </w:p>
          <w:p w:rsidR="00EA45F9" w:rsidRPr="009B5734" w:rsidRDefault="00EA45F9" w:rsidP="00981615">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p>
        </w:tc>
      </w:tr>
      <w:tr w:rsidR="00EA45F9" w:rsidRPr="009B5734" w:rsidTr="00C84A99">
        <w:trPr>
          <w:trHeight w:val="181"/>
        </w:trPr>
        <w:tc>
          <w:tcPr>
            <w:cnfStyle w:val="001000000000" w:firstRow="0" w:lastRow="0" w:firstColumn="1" w:lastColumn="0" w:oddVBand="0" w:evenVBand="0" w:oddHBand="0" w:evenHBand="0" w:firstRowFirstColumn="0" w:firstRowLastColumn="0" w:lastRowFirstColumn="0" w:lastRowLastColumn="0"/>
            <w:tcW w:w="2411" w:type="dxa"/>
            <w:shd w:val="clear" w:color="auto" w:fill="FFFFFF" w:themeFill="background1"/>
          </w:tcPr>
          <w:p w:rsidR="00EA45F9" w:rsidRPr="009B5734" w:rsidRDefault="00EA45F9" w:rsidP="00981615">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 xml:space="preserve">Obligation to warn on products with high negative impacts on the environment </w:t>
            </w:r>
          </w:p>
          <w:p w:rsidR="00EA45F9" w:rsidRPr="009B5734" w:rsidRDefault="00EA45F9" w:rsidP="00981615">
            <w:pPr>
              <w:ind w:left="0" w:firstLine="0"/>
              <w:rPr>
                <w:rFonts w:ascii="Times New Roman" w:hAnsi="Times New Roman" w:cs="Times New Roman"/>
                <w:noProof/>
                <w:sz w:val="24"/>
                <w:szCs w:val="24"/>
              </w:rPr>
            </w:pPr>
          </w:p>
        </w:tc>
        <w:tc>
          <w:tcPr>
            <w:tcW w:w="6945" w:type="dxa"/>
            <w:shd w:val="clear" w:color="auto" w:fill="FFFFFF" w:themeFill="background1"/>
          </w:tcPr>
          <w:p w:rsidR="00EA45F9" w:rsidRPr="009B5734" w:rsidRDefault="00EA45F9" w:rsidP="00981615">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B5734">
              <w:rPr>
                <w:rFonts w:ascii="Times New Roman" w:hAnsi="Times New Roman" w:cs="Times New Roman"/>
                <w:noProof/>
                <w:sz w:val="24"/>
                <w:szCs w:val="24"/>
              </w:rPr>
              <w:t xml:space="preserve">This option would require sellers, based on information provided by manufacturers, to inform consumers by way of a warning of the high negative environmental impacts of the product, within a given product category (‘worst in class’), during its life cycle. </w:t>
            </w:r>
          </w:p>
          <w:p w:rsidR="00EA45F9" w:rsidRPr="009B5734" w:rsidRDefault="00EA45F9" w:rsidP="00981615">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p>
          <w:p w:rsidR="00EA45F9" w:rsidRPr="009B5734" w:rsidRDefault="00EA45F9" w:rsidP="00981615">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sidRPr="009B5734">
              <w:rPr>
                <w:rFonts w:ascii="Times New Roman" w:hAnsi="Times New Roman"/>
                <w:noProof/>
                <w:sz w:val="24"/>
              </w:rPr>
              <w:t xml:space="preserve">This option has been discarded at an early stage as the impact on consumer decision-making will depend on the availability of PEFCR for the specific product category in the future, which can confirm the high negative impacts. Moreover, companies are expected to be discouraged to assess the environmental impacts of their products (even if PEFCRs are available) as they would be obliged to inform the seller/consumer in case of negative environmental impacts and may thus prefer to remain in the “unknown”. This could have the consequence that fewer companies perform a PEF analysis for fear of a negative result that they would then have to disclose. This is contrary to the objectives of the Green Claims Initiative in preparation. </w:t>
            </w:r>
          </w:p>
          <w:p w:rsidR="00EA45F9" w:rsidRPr="009B5734" w:rsidRDefault="00EA45F9" w:rsidP="00981615">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2411" w:type="dxa"/>
            <w:shd w:val="clear" w:color="auto" w:fill="FFFFFF" w:themeFill="background1"/>
          </w:tcPr>
          <w:p w:rsidR="00EA45F9" w:rsidRPr="009B5734" w:rsidRDefault="00EA45F9" w:rsidP="00981615">
            <w:pPr>
              <w:ind w:left="0" w:firstLine="0"/>
              <w:rPr>
                <w:rFonts w:ascii="Times New Roman" w:hAnsi="Times New Roman" w:cs="Times New Roman"/>
                <w:noProof/>
                <w:sz w:val="24"/>
                <w:szCs w:val="24"/>
              </w:rPr>
            </w:pPr>
            <w:r w:rsidRPr="009B5734" w:rsidDel="002539B4">
              <w:rPr>
                <w:rFonts w:ascii="Times New Roman" w:hAnsi="Times New Roman" w:cs="Times New Roman"/>
                <w:noProof/>
                <w:sz w:val="24"/>
                <w:szCs w:val="24"/>
              </w:rPr>
              <w:t xml:space="preserve">Obligation to </w:t>
            </w:r>
            <w:r w:rsidRPr="009B5734">
              <w:rPr>
                <w:rFonts w:ascii="Times New Roman" w:hAnsi="Times New Roman" w:cs="Times New Roman"/>
                <w:noProof/>
                <w:sz w:val="24"/>
                <w:szCs w:val="24"/>
              </w:rPr>
              <w:t>warn</w:t>
            </w:r>
            <w:r w:rsidRPr="009B5734" w:rsidDel="002539B4">
              <w:rPr>
                <w:rFonts w:ascii="Times New Roman" w:hAnsi="Times New Roman" w:cs="Times New Roman"/>
                <w:noProof/>
                <w:sz w:val="24"/>
                <w:szCs w:val="24"/>
              </w:rPr>
              <w:t xml:space="preserve"> when </w:t>
            </w:r>
            <w:r w:rsidRPr="009B5734">
              <w:rPr>
                <w:rFonts w:ascii="Times New Roman" w:hAnsi="Times New Roman" w:cs="Times New Roman"/>
                <w:noProof/>
                <w:sz w:val="24"/>
                <w:szCs w:val="24"/>
              </w:rPr>
              <w:t>there is “no proof” of good environmental performance of the product</w:t>
            </w:r>
          </w:p>
        </w:tc>
        <w:tc>
          <w:tcPr>
            <w:tcW w:w="6945" w:type="dxa"/>
            <w:shd w:val="clear" w:color="auto" w:fill="FFFFFF" w:themeFill="background1"/>
          </w:tcPr>
          <w:p w:rsidR="00EA45F9" w:rsidRPr="009B5734" w:rsidRDefault="00EA45F9" w:rsidP="00981615">
            <w:pPr>
              <w:ind w:left="0" w:firstLine="0"/>
              <w:cnfStyle w:val="000000100000" w:firstRow="0" w:lastRow="0" w:firstColumn="0" w:lastColumn="0" w:oddVBand="0" w:evenVBand="0" w:oddHBand="1" w:evenHBand="0" w:firstRowFirstColumn="0" w:firstRowLastColumn="0" w:lastRowFirstColumn="0" w:lastRowLastColumn="0"/>
              <w:rPr>
                <w:noProof/>
                <w:szCs w:val="24"/>
              </w:rPr>
            </w:pPr>
            <w:r w:rsidRPr="009B5734">
              <w:rPr>
                <w:rFonts w:ascii="Times New Roman" w:hAnsi="Times New Roman" w:cs="Times New Roman"/>
                <w:noProof/>
                <w:sz w:val="24"/>
                <w:szCs w:val="24"/>
              </w:rPr>
              <w:t>This option would require sellers, based on information provided by manufacturers, to inform consumers by way of a warning statement at the point of sale when a product has not been the subject of an environmental life cycle assessment in accordance with the Product Environmental Footprint method or when no good environmental performance could be confirmed from this assessment.</w:t>
            </w:r>
            <w:r w:rsidRPr="009B5734">
              <w:rPr>
                <w:noProof/>
                <w:szCs w:val="24"/>
              </w:rPr>
              <w:t xml:space="preserve"> </w:t>
            </w:r>
          </w:p>
          <w:p w:rsidR="00EA45F9" w:rsidRPr="009B5734" w:rsidRDefault="00EA45F9" w:rsidP="00981615">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9B5734">
              <w:rPr>
                <w:rFonts w:ascii="Times New Roman" w:hAnsi="Times New Roman" w:cs="Times New Roman"/>
                <w:noProof/>
                <w:sz w:val="24"/>
                <w:szCs w:val="24"/>
              </w:rPr>
              <w:t xml:space="preserve">Concretely, this option would inform consumers in this situation that “the product has no proof of good environmental performance in accordance with applicable EU legislation”. </w:t>
            </w:r>
          </w:p>
          <w:p w:rsidR="00EA45F9" w:rsidRPr="009B5734" w:rsidRDefault="00EA45F9" w:rsidP="00981615">
            <w:pPr>
              <w:ind w:left="0" w:firstLine="0"/>
              <w:cnfStyle w:val="000000100000" w:firstRow="0" w:lastRow="0" w:firstColumn="0" w:lastColumn="0" w:oddVBand="0" w:evenVBand="0" w:oddHBand="1" w:evenHBand="0" w:firstRowFirstColumn="0" w:firstRowLastColumn="0" w:lastRowFirstColumn="0" w:lastRowLastColumn="0"/>
              <w:rPr>
                <w:noProof/>
                <w:szCs w:val="24"/>
              </w:rPr>
            </w:pPr>
          </w:p>
          <w:p w:rsidR="00EA45F9" w:rsidRPr="009B5734" w:rsidRDefault="00EA45F9" w:rsidP="00981615">
            <w:pPr>
              <w:ind w:left="0" w:firstLine="0"/>
              <w:cnfStyle w:val="000000100000" w:firstRow="0" w:lastRow="0" w:firstColumn="0" w:lastColumn="0" w:oddVBand="0" w:evenVBand="0" w:oddHBand="1" w:evenHBand="0" w:firstRowFirstColumn="0" w:firstRowLastColumn="0" w:lastRowFirstColumn="0" w:lastRowLastColumn="0"/>
              <w:rPr>
                <w:noProof/>
                <w:szCs w:val="24"/>
              </w:rPr>
            </w:pPr>
            <w:r w:rsidRPr="009B5734">
              <w:rPr>
                <w:rFonts w:ascii="Times New Roman" w:hAnsi="Times New Roman" w:cs="Times New Roman"/>
                <w:noProof/>
                <w:sz w:val="24"/>
                <w:szCs w:val="24"/>
              </w:rPr>
              <w:t xml:space="preserve">This option has been discarded at an early stage given the limited  added value in terms of consumer information (due to length of such warning statement; the complications it may have with several languages in the EU; uncertain consumer understanding etc.) while being intrusive and creating costs for companies. </w:t>
            </w:r>
          </w:p>
        </w:tc>
      </w:tr>
      <w:tr w:rsidR="00EA45F9" w:rsidRPr="009B5734" w:rsidTr="00C84A99">
        <w:trPr>
          <w:trHeight w:val="181"/>
        </w:trPr>
        <w:tc>
          <w:tcPr>
            <w:cnfStyle w:val="001000000000" w:firstRow="0" w:lastRow="0" w:firstColumn="1" w:lastColumn="0" w:oddVBand="0" w:evenVBand="0" w:oddHBand="0" w:evenHBand="0" w:firstRowFirstColumn="0" w:firstRowLastColumn="0" w:lastRowFirstColumn="0" w:lastRowLastColumn="0"/>
            <w:tcW w:w="2411" w:type="dxa"/>
            <w:shd w:val="clear" w:color="auto" w:fill="FFFFFF" w:themeFill="background1"/>
          </w:tcPr>
          <w:p w:rsidR="00EA45F9" w:rsidRPr="009B5734" w:rsidRDefault="00EA45F9" w:rsidP="00981615">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Obligation to inform on one single key environmental characteristic, i.e. related to climate change</w:t>
            </w:r>
          </w:p>
          <w:p w:rsidR="00EA45F9" w:rsidRPr="009B5734" w:rsidRDefault="00EA45F9" w:rsidP="00981615">
            <w:pPr>
              <w:ind w:left="0" w:firstLine="0"/>
              <w:rPr>
                <w:rFonts w:ascii="Times New Roman" w:hAnsi="Times New Roman" w:cs="Times New Roman"/>
                <w:noProof/>
                <w:sz w:val="24"/>
                <w:szCs w:val="24"/>
              </w:rPr>
            </w:pPr>
          </w:p>
        </w:tc>
        <w:tc>
          <w:tcPr>
            <w:tcW w:w="6945" w:type="dxa"/>
            <w:shd w:val="clear" w:color="auto" w:fill="FFFFFF" w:themeFill="background1"/>
          </w:tcPr>
          <w:p w:rsidR="00EA45F9" w:rsidRPr="009B5734" w:rsidRDefault="00EA45F9" w:rsidP="00981615">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sidRPr="009B5734">
              <w:rPr>
                <w:rFonts w:ascii="Times New Roman" w:hAnsi="Times New Roman"/>
                <w:noProof/>
                <w:sz w:val="24"/>
              </w:rPr>
              <w:t xml:space="preserve">This option would require companies to provide information to consumers on one single key environmental characteristic, i.e. related to climate change. It would contain information on greenhouse gas emissions considering the life cycle of the product, expressed in CO2 equivalents or alternatively require companies to warn consumers in case the product within its product category has a high impact on climate change (again expressed in CO2 equivalents). </w:t>
            </w:r>
          </w:p>
          <w:p w:rsidR="00EA45F9" w:rsidRPr="009B5734" w:rsidRDefault="00EA45F9" w:rsidP="00981615">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p w:rsidR="00EA45F9" w:rsidRPr="009B5734" w:rsidRDefault="00EA45F9" w:rsidP="00981615">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B5734">
              <w:rPr>
                <w:rFonts w:ascii="Times New Roman" w:hAnsi="Times New Roman"/>
                <w:noProof/>
                <w:sz w:val="24"/>
              </w:rPr>
              <w:t>This option has been discarded at an early stage as it would provide incomplete and potentially misleading information to consumers, given the focus on only one single environmental impact. By omitting many other relevant environmental impacts, it would also be inconsistent with the use of the Product Environmental Footprint method, as foreseen in the</w:t>
            </w:r>
            <w:r w:rsidR="00F515B2">
              <w:rPr>
                <w:rFonts w:ascii="Times New Roman" w:hAnsi="Times New Roman"/>
                <w:noProof/>
                <w:sz w:val="24"/>
              </w:rPr>
              <w:t xml:space="preserve"> </w:t>
            </w:r>
            <w:r w:rsidR="00F515B2" w:rsidRPr="00D2111D">
              <w:rPr>
                <w:rFonts w:ascii="Times New Roman" w:hAnsi="Times New Roman"/>
                <w:noProof/>
                <w:sz w:val="24"/>
              </w:rPr>
              <w:t>upcoming</w:t>
            </w:r>
            <w:r w:rsidRPr="009B5734">
              <w:rPr>
                <w:rFonts w:ascii="Times New Roman" w:hAnsi="Times New Roman"/>
                <w:noProof/>
                <w:sz w:val="24"/>
              </w:rPr>
              <w:t xml:space="preserve"> Green Claims Initiative, which covers more </w:t>
            </w:r>
            <w:r w:rsidR="007F4487" w:rsidRPr="009B5734">
              <w:rPr>
                <w:rFonts w:ascii="Times New Roman" w:hAnsi="Times New Roman" w:cs="Times New Roman"/>
                <w:noProof/>
                <w:sz w:val="24"/>
                <w:szCs w:val="24"/>
              </w:rPr>
              <w:t>(16)</w:t>
            </w:r>
            <w:r w:rsidRPr="009B5734">
              <w:rPr>
                <w:rFonts w:ascii="Times New Roman" w:hAnsi="Times New Roman" w:cs="Times New Roman"/>
                <w:noProof/>
                <w:sz w:val="24"/>
                <w:szCs w:val="24"/>
              </w:rPr>
              <w:t xml:space="preserve"> </w:t>
            </w:r>
            <w:r w:rsidRPr="009B5734">
              <w:rPr>
                <w:rFonts w:ascii="Times New Roman" w:hAnsi="Times New Roman"/>
                <w:noProof/>
                <w:sz w:val="24"/>
              </w:rPr>
              <w:t>impacts than just those on climate change.</w:t>
            </w:r>
          </w:p>
        </w:tc>
      </w:tr>
    </w:tbl>
    <w:p w:rsidR="00EA45F9" w:rsidRPr="009B5734" w:rsidRDefault="00EA45F9" w:rsidP="00EA45F9">
      <w:pPr>
        <w:rPr>
          <w:noProof/>
        </w:rPr>
      </w:pPr>
    </w:p>
    <w:p w:rsidR="00EA45F9" w:rsidRPr="009B5734" w:rsidRDefault="00EA45F9" w:rsidP="00EA45F9">
      <w:pPr>
        <w:pStyle w:val="Text2"/>
        <w:ind w:left="0" w:firstLine="0"/>
        <w:rPr>
          <w:noProof/>
        </w:rPr>
      </w:pPr>
    </w:p>
    <w:p w:rsidR="00EA45F9" w:rsidRPr="009B5734" w:rsidRDefault="00EA45F9" w:rsidP="00EA45F9">
      <w:pPr>
        <w:pStyle w:val="Text2"/>
        <w:ind w:left="0" w:firstLine="0"/>
        <w:rPr>
          <w:b/>
          <w:noProof/>
        </w:rPr>
        <w:sectPr w:rsidR="00EA45F9" w:rsidRPr="009B5734" w:rsidSect="007A1ADE">
          <w:headerReference w:type="even" r:id="rId128"/>
          <w:headerReference w:type="default" r:id="rId129"/>
          <w:footerReference w:type="even" r:id="rId130"/>
          <w:footerReference w:type="default" r:id="rId131"/>
          <w:headerReference w:type="first" r:id="rId132"/>
          <w:footerReference w:type="first" r:id="rId133"/>
          <w:pgSz w:w="11906" w:h="16838"/>
          <w:pgMar w:top="1417" w:right="1417" w:bottom="1417" w:left="1701" w:header="567" w:footer="340" w:gutter="0"/>
          <w:cols w:space="708"/>
          <w:docGrid w:linePitch="360"/>
        </w:sectPr>
      </w:pPr>
    </w:p>
    <w:p w:rsidR="00EA45F9" w:rsidRPr="009B5734" w:rsidRDefault="00A00208" w:rsidP="00A00208">
      <w:pPr>
        <w:pStyle w:val="Heading2"/>
        <w:rPr>
          <w:noProof/>
        </w:rPr>
      </w:pPr>
      <w:bookmarkStart w:id="806" w:name="_Toc75441462"/>
      <w:bookmarkStart w:id="807" w:name="_Toc75447028"/>
      <w:bookmarkStart w:id="808" w:name="_Toc75448901"/>
      <w:bookmarkStart w:id="809" w:name="_Toc77844275"/>
      <w:bookmarkStart w:id="810" w:name="_Toc86391778"/>
      <w:r w:rsidRPr="00A00208">
        <w:t>2.</w:t>
      </w:r>
      <w:r w:rsidRPr="00A00208">
        <w:tab/>
      </w:r>
      <w:r w:rsidR="00EA45F9" w:rsidRPr="009B5734" w:rsidDel="00E77CEF">
        <w:rPr>
          <w:noProof/>
        </w:rPr>
        <w:t xml:space="preserve">Problem 2: Consumers face </w:t>
      </w:r>
      <w:r w:rsidR="00B73C39" w:rsidRPr="00B73C39">
        <w:rPr>
          <w:noProof/>
        </w:rPr>
        <w:t>misleading commercial</w:t>
      </w:r>
      <w:r w:rsidR="00EA45F9" w:rsidRPr="009B5734" w:rsidDel="00E77CEF">
        <w:rPr>
          <w:noProof/>
        </w:rPr>
        <w:t xml:space="preserve"> practices </w:t>
      </w:r>
      <w:r w:rsidR="0080633B">
        <w:rPr>
          <w:noProof/>
        </w:rPr>
        <w:t>related</w:t>
      </w:r>
      <w:r w:rsidR="00EA45F9" w:rsidRPr="009B5734" w:rsidDel="00E77CEF">
        <w:rPr>
          <w:noProof/>
        </w:rPr>
        <w:t xml:space="preserve"> to </w:t>
      </w:r>
      <w:bookmarkEnd w:id="806"/>
      <w:bookmarkEnd w:id="807"/>
      <w:bookmarkEnd w:id="808"/>
      <w:r w:rsidR="0080633B">
        <w:rPr>
          <w:noProof/>
        </w:rPr>
        <w:t>the sustainability of products</w:t>
      </w:r>
      <w:bookmarkEnd w:id="809"/>
      <w:bookmarkEnd w:id="810"/>
    </w:p>
    <w:p w:rsidR="00EA45F9" w:rsidRPr="009B5734" w:rsidRDefault="00EA45F9" w:rsidP="00EA45F9">
      <w:pPr>
        <w:ind w:left="0" w:firstLine="0"/>
        <w:rPr>
          <w:rFonts w:ascii="Times New Roman" w:hAnsi="Times New Roman"/>
          <w:noProof/>
          <w:sz w:val="24"/>
        </w:rPr>
      </w:pPr>
    </w:p>
    <w:p w:rsidR="00EA45F9" w:rsidRPr="009B5734" w:rsidRDefault="00A00208" w:rsidP="00A00208">
      <w:pPr>
        <w:pStyle w:val="Heading4"/>
        <w:rPr>
          <w:noProof/>
        </w:rPr>
      </w:pPr>
      <w:bookmarkStart w:id="811" w:name="_Sub-problem_2.1:_Consumers"/>
      <w:bookmarkStart w:id="812" w:name="_Toc75441463"/>
      <w:bookmarkStart w:id="813" w:name="_Toc75447029"/>
      <w:bookmarkStart w:id="814" w:name="_Toc75448902"/>
      <w:bookmarkEnd w:id="811"/>
      <w:r w:rsidRPr="00A00208">
        <w:t>2.1.</w:t>
      </w:r>
      <w:r w:rsidRPr="00A00208">
        <w:tab/>
      </w:r>
      <w:r w:rsidR="00EA45F9" w:rsidRPr="009B5734">
        <w:rPr>
          <w:noProof/>
        </w:rPr>
        <w:t>Sub-problem 2.1: Consumers are sold products that do not last as long as they could and consumers expect</w:t>
      </w:r>
      <w:bookmarkEnd w:id="812"/>
      <w:bookmarkEnd w:id="813"/>
      <w:bookmarkEnd w:id="814"/>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b/>
          <w:noProof/>
          <w:u w:val="single"/>
        </w:rPr>
        <w:t>For this sub-problem, the following options have been discarded at an early stage:</w:t>
      </w:r>
    </w:p>
    <w:p w:rsidR="00EA45F9" w:rsidRPr="009B5734" w:rsidRDefault="00EA45F9" w:rsidP="00EA45F9">
      <w:pPr>
        <w:ind w:left="0" w:firstLine="0"/>
        <w:rPr>
          <w:rFonts w:ascii="Times New Roman" w:hAnsi="Times New Roman" w:cs="Times New Roman"/>
          <w:noProof/>
          <w:sz w:val="24"/>
          <w:szCs w:val="24"/>
        </w:rPr>
      </w:pPr>
    </w:p>
    <w:tbl>
      <w:tblPr>
        <w:tblStyle w:val="GridTable4-Accent2"/>
        <w:tblW w:w="9029" w:type="dxa"/>
        <w:tblInd w:w="-176" w:type="dxa"/>
        <w:tblLook w:val="04A0" w:firstRow="1" w:lastRow="0" w:firstColumn="1" w:lastColumn="0" w:noHBand="0" w:noVBand="1"/>
      </w:tblPr>
      <w:tblGrid>
        <w:gridCol w:w="3310"/>
        <w:gridCol w:w="5719"/>
      </w:tblGrid>
      <w:tr w:rsidR="00EA45F9" w:rsidRPr="009B5734" w:rsidTr="00C84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694" w:type="dxa"/>
          </w:tcPr>
          <w:p w:rsidR="00EA45F9" w:rsidRPr="009B5734" w:rsidRDefault="00EA45F9" w:rsidP="00981615">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Options discarded at an early stage</w:t>
            </w:r>
          </w:p>
        </w:tc>
        <w:tc>
          <w:tcPr>
            <w:tcW w:w="6335" w:type="dxa"/>
          </w:tcPr>
          <w:p w:rsidR="00EA45F9" w:rsidRPr="009B5734" w:rsidRDefault="00EA45F9" w:rsidP="00981615">
            <w:pPr>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B5734">
              <w:rPr>
                <w:rFonts w:ascii="Times New Roman" w:hAnsi="Times New Roman" w:cs="Times New Roman"/>
                <w:noProof/>
                <w:sz w:val="24"/>
                <w:szCs w:val="24"/>
              </w:rPr>
              <w:t xml:space="preserve">Rationale </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rsidR="00EA45F9" w:rsidRPr="009B5734" w:rsidRDefault="00C00147" w:rsidP="00981615">
            <w:pPr>
              <w:ind w:left="0" w:firstLine="0"/>
              <w:rPr>
                <w:rFonts w:ascii="Times New Roman" w:hAnsi="Times New Roman" w:cs="Times New Roman"/>
                <w:noProof/>
                <w:sz w:val="24"/>
                <w:szCs w:val="24"/>
              </w:rPr>
            </w:pPr>
            <w:r>
              <w:rPr>
                <w:rFonts w:ascii="Times New Roman" w:hAnsi="Times New Roman" w:cs="Times New Roman"/>
                <w:noProof/>
                <w:sz w:val="24"/>
                <w:szCs w:val="24"/>
              </w:rPr>
              <w:t>General</w:t>
            </w:r>
            <w:r w:rsidRPr="009B5734">
              <w:rPr>
                <w:rFonts w:ascii="Times New Roman" w:hAnsi="Times New Roman" w:cs="Times New Roman"/>
                <w:noProof/>
                <w:sz w:val="24"/>
                <w:szCs w:val="24"/>
              </w:rPr>
              <w:t xml:space="preserve"> </w:t>
            </w:r>
            <w:r w:rsidR="00EA45F9" w:rsidRPr="009B5734">
              <w:rPr>
                <w:rFonts w:ascii="Times New Roman" w:hAnsi="Times New Roman" w:cs="Times New Roman"/>
                <w:noProof/>
                <w:sz w:val="24"/>
                <w:szCs w:val="24"/>
              </w:rPr>
              <w:t xml:space="preserve">ban of  planned/intentional/deliberate obsolescence </w:t>
            </w:r>
          </w:p>
        </w:tc>
        <w:tc>
          <w:tcPr>
            <w:tcW w:w="6335" w:type="dxa"/>
            <w:shd w:val="clear" w:color="auto" w:fill="FFFFFF" w:themeFill="background1"/>
          </w:tcPr>
          <w:p w:rsidR="00EA45F9" w:rsidRPr="009B5734" w:rsidRDefault="00EA45F9" w:rsidP="00981615">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9B5734">
              <w:rPr>
                <w:rFonts w:ascii="Times New Roman" w:hAnsi="Times New Roman" w:cs="Times New Roman"/>
                <w:noProof/>
                <w:sz w:val="24"/>
                <w:szCs w:val="24"/>
              </w:rPr>
              <w:t xml:space="preserve">Under this option, planned/intentional/deliberate obsolescence would be </w:t>
            </w:r>
            <w:r w:rsidR="00D0500A">
              <w:rPr>
                <w:rFonts w:ascii="Times New Roman" w:hAnsi="Times New Roman" w:cs="Times New Roman"/>
                <w:noProof/>
                <w:sz w:val="24"/>
                <w:szCs w:val="24"/>
              </w:rPr>
              <w:t>horizontally</w:t>
            </w:r>
            <w:r w:rsidR="00D0500A" w:rsidRPr="009B5734">
              <w:rPr>
                <w:rFonts w:ascii="Times New Roman" w:hAnsi="Times New Roman" w:cs="Times New Roman"/>
                <w:noProof/>
                <w:sz w:val="24"/>
                <w:szCs w:val="24"/>
              </w:rPr>
              <w:t xml:space="preserve"> </w:t>
            </w:r>
            <w:r w:rsidRPr="009B5734">
              <w:rPr>
                <w:rFonts w:ascii="Times New Roman" w:hAnsi="Times New Roman" w:cs="Times New Roman"/>
                <w:noProof/>
                <w:sz w:val="24"/>
                <w:szCs w:val="24"/>
              </w:rPr>
              <w:t xml:space="preserve">banned. Such a ban  would cover practices, like for instance: </w:t>
            </w:r>
          </w:p>
          <w:p w:rsidR="00EA45F9" w:rsidRPr="009B5734" w:rsidRDefault="00EA45F9" w:rsidP="00981615">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9B5734">
              <w:rPr>
                <w:rFonts w:ascii="Times New Roman" w:hAnsi="Times New Roman" w:cs="Times New Roman"/>
                <w:noProof/>
                <w:sz w:val="24"/>
                <w:szCs w:val="24"/>
              </w:rPr>
              <w:t xml:space="preserve">- the practice of incorporating </w:t>
            </w:r>
            <w:r w:rsidRPr="009B5734">
              <w:rPr>
                <w:rFonts w:ascii="Times New Roman" w:hAnsi="Times New Roman" w:cs="Times New Roman"/>
                <w:i/>
                <w:noProof/>
                <w:sz w:val="24"/>
                <w:szCs w:val="24"/>
              </w:rPr>
              <w:t>intentionally</w:t>
            </w:r>
            <w:r w:rsidRPr="009B5734">
              <w:rPr>
                <w:rFonts w:ascii="Times New Roman" w:hAnsi="Times New Roman" w:cs="Times New Roman"/>
                <w:noProof/>
                <w:sz w:val="24"/>
                <w:szCs w:val="24"/>
              </w:rPr>
              <w:t xml:space="preserve"> product design features for the specific purpose of reducing the durability of the product;</w:t>
            </w:r>
          </w:p>
          <w:p w:rsidR="00EA45F9" w:rsidRPr="009B5734" w:rsidRDefault="00EA45F9" w:rsidP="00981615">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9B5734">
              <w:rPr>
                <w:rFonts w:ascii="Times New Roman" w:hAnsi="Times New Roman" w:cs="Times New Roman"/>
                <w:noProof/>
                <w:sz w:val="24"/>
                <w:szCs w:val="24"/>
              </w:rPr>
              <w:t xml:space="preserve">- the practice of </w:t>
            </w:r>
            <w:r w:rsidRPr="009B5734">
              <w:rPr>
                <w:rFonts w:ascii="Times New Roman" w:hAnsi="Times New Roman" w:cs="Times New Roman"/>
                <w:i/>
                <w:noProof/>
                <w:sz w:val="24"/>
                <w:szCs w:val="24"/>
              </w:rPr>
              <w:t>deliberately</w:t>
            </w:r>
            <w:r w:rsidRPr="009B5734">
              <w:rPr>
                <w:rFonts w:ascii="Times New Roman" w:hAnsi="Times New Roman" w:cs="Times New Roman"/>
                <w:noProof/>
                <w:sz w:val="24"/>
                <w:szCs w:val="24"/>
              </w:rPr>
              <w:t xml:space="preserve"> introducing a device/component into the product, which renders the product unusable after a certain period of time or a certain number of uses.</w:t>
            </w:r>
          </w:p>
          <w:p w:rsidR="00EA45F9" w:rsidRPr="009B5734" w:rsidRDefault="00EA45F9" w:rsidP="00981615">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p>
          <w:p w:rsidR="00EA45F9" w:rsidRPr="009B5734" w:rsidRDefault="00EA45F9" w:rsidP="00981615">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rPr>
            </w:pPr>
            <w:r w:rsidRPr="009B5734">
              <w:rPr>
                <w:rFonts w:ascii="Times New Roman" w:hAnsi="Times New Roman" w:cs="Times New Roman"/>
                <w:noProof/>
                <w:sz w:val="24"/>
              </w:rPr>
              <w:t>This option has been discarded at an early stage given the expected difficulties in enforcement, mostly due to documented challenges in proving intent as highlighted by the various stakeholder groups consulted and the French experience.</w:t>
            </w:r>
          </w:p>
          <w:p w:rsidR="00EA45F9" w:rsidRPr="009B5734" w:rsidRDefault="00EA45F9" w:rsidP="00981615">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rPr>
            </w:pPr>
          </w:p>
          <w:p w:rsidR="00EA45F9" w:rsidRPr="009B5734" w:rsidRDefault="009D53AD" w:rsidP="00981615">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rPr>
            </w:pPr>
            <w:r w:rsidRPr="009B5734">
              <w:rPr>
                <w:rFonts w:ascii="Times New Roman" w:hAnsi="Times New Roman" w:cs="Times New Roman"/>
                <w:noProof/>
                <w:sz w:val="24"/>
              </w:rPr>
              <w:t xml:space="preserve">However, </w:t>
            </w:r>
            <w:r w:rsidR="00EA45F9" w:rsidRPr="009B5734">
              <w:rPr>
                <w:rFonts w:ascii="Times New Roman" w:hAnsi="Times New Roman" w:cs="Times New Roman"/>
                <w:noProof/>
                <w:sz w:val="24"/>
              </w:rPr>
              <w:t>Option 2.1.</w:t>
            </w:r>
            <w:r w:rsidRPr="009B5734">
              <w:rPr>
                <w:rFonts w:ascii="Times New Roman" w:hAnsi="Times New Roman" w:cs="Times New Roman"/>
                <w:noProof/>
                <w:sz w:val="24"/>
              </w:rPr>
              <w:t>B ‘Ban of certain identified practices associated with early obsolescence’</w:t>
            </w:r>
            <w:r w:rsidR="00EA45F9" w:rsidRPr="009B5734">
              <w:rPr>
                <w:rFonts w:ascii="Times New Roman" w:hAnsi="Times New Roman" w:cs="Times New Roman"/>
                <w:noProof/>
                <w:sz w:val="24"/>
              </w:rPr>
              <w:t xml:space="preserve"> would be able to address planned obsolescence practices without the need for market surveillance authorities to prove intent. </w:t>
            </w:r>
          </w:p>
          <w:p w:rsidR="00EA45F9" w:rsidRPr="009B5734" w:rsidRDefault="00EA45F9" w:rsidP="00981615">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p>
        </w:tc>
      </w:tr>
      <w:tr w:rsidR="00EA45F9" w:rsidRPr="009B5734" w:rsidTr="00C84A99">
        <w:trPr>
          <w:trHeight w:val="325"/>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rsidR="00EA45F9" w:rsidRPr="009B5734" w:rsidRDefault="00EA45F9" w:rsidP="00981615">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Setting minimum lifetimes per product category</w:t>
            </w:r>
          </w:p>
        </w:tc>
        <w:tc>
          <w:tcPr>
            <w:tcW w:w="6335" w:type="dxa"/>
            <w:shd w:val="clear" w:color="auto" w:fill="FFFFFF" w:themeFill="background1"/>
          </w:tcPr>
          <w:p w:rsidR="00EA45F9" w:rsidRPr="009B5734" w:rsidRDefault="00EA45F9" w:rsidP="00981615">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B5734">
              <w:rPr>
                <w:rFonts w:ascii="Times New Roman" w:hAnsi="Times New Roman" w:cs="Times New Roman"/>
                <w:noProof/>
                <w:sz w:val="24"/>
                <w:szCs w:val="24"/>
              </w:rPr>
              <w:t>This option would have consisted in setting minimum lifetimes per product category.</w:t>
            </w:r>
          </w:p>
          <w:p w:rsidR="00EA45F9" w:rsidRPr="009B5734" w:rsidRDefault="00EA45F9" w:rsidP="00981615">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p>
          <w:p w:rsidR="00EA45F9" w:rsidRPr="009B5734" w:rsidRDefault="00EA45F9" w:rsidP="00981615">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B5734">
              <w:rPr>
                <w:rFonts w:ascii="Times New Roman" w:hAnsi="Times New Roman" w:cs="Times New Roman"/>
                <w:noProof/>
                <w:sz w:val="24"/>
                <w:szCs w:val="24"/>
              </w:rPr>
              <w:t xml:space="preserve">It has been discarded from the outset as it is, by its nature, too product specific and it would require the development of product-specific methodologies and requirements. It is thus not fit for a horizontal consumer law instrument, which does not regulate the design of specific products and which focuses primarily on the obligations of the seller towards the consumers. </w:t>
            </w:r>
          </w:p>
          <w:p w:rsidR="00EA45F9" w:rsidRPr="009B5734" w:rsidRDefault="00EA45F9" w:rsidP="00981615">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p>
          <w:p w:rsidR="00EA45F9" w:rsidRPr="009B5734" w:rsidRDefault="00EA45F9" w:rsidP="00981615">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B5734">
              <w:rPr>
                <w:rFonts w:ascii="Times New Roman" w:hAnsi="Times New Roman" w:cs="Times New Roman"/>
                <w:noProof/>
                <w:sz w:val="24"/>
                <w:szCs w:val="24"/>
              </w:rPr>
              <w:t xml:space="preserve">It is more appropriate to consider such an option under product design rules. For instance, the upcoming Sustainable Product Initiative will consider specific options to improve the sustainability and circularity of certain product categories. </w:t>
            </w:r>
          </w:p>
        </w:tc>
      </w:tr>
    </w:tbl>
    <w:p w:rsidR="00EA45F9" w:rsidRPr="009B5734" w:rsidRDefault="00EA45F9" w:rsidP="00EA45F9">
      <w:pPr>
        <w:ind w:left="0" w:firstLine="0"/>
        <w:rPr>
          <w:rFonts w:ascii="Times New Roman" w:hAnsi="Times New Roman" w:cs="Times New Roman"/>
          <w:noProof/>
          <w:sz w:val="24"/>
          <w:szCs w:val="24"/>
        </w:rPr>
      </w:pPr>
    </w:p>
    <w:p w:rsidR="00EA45F9" w:rsidRPr="009B5734" w:rsidRDefault="00EA45F9" w:rsidP="00EA45F9">
      <w:pPr>
        <w:ind w:left="0" w:firstLine="0"/>
        <w:rPr>
          <w:rFonts w:ascii="Times New Roman" w:hAnsi="Times New Roman" w:cs="Times New Roman"/>
          <w:noProof/>
          <w:sz w:val="24"/>
          <w:szCs w:val="24"/>
        </w:rPr>
      </w:pPr>
    </w:p>
    <w:p w:rsidR="00EA45F9" w:rsidRPr="009B5734" w:rsidRDefault="00A00208" w:rsidP="00A00208">
      <w:pPr>
        <w:pStyle w:val="Heading4"/>
        <w:rPr>
          <w:noProof/>
          <w:szCs w:val="24"/>
        </w:rPr>
      </w:pPr>
      <w:bookmarkStart w:id="815" w:name="_Sub-problem_2.2:_Consumers_1"/>
      <w:bookmarkStart w:id="816" w:name="_Toc75441464"/>
      <w:bookmarkStart w:id="817" w:name="_Toc75447030"/>
      <w:bookmarkStart w:id="818" w:name="_Toc75448903"/>
      <w:bookmarkEnd w:id="815"/>
      <w:r w:rsidRPr="00A00208">
        <w:t>2.2.</w:t>
      </w:r>
      <w:r w:rsidRPr="00A00208">
        <w:tab/>
      </w:r>
      <w:r w:rsidR="00EA45F9" w:rsidRPr="009B5734">
        <w:rPr>
          <w:noProof/>
        </w:rPr>
        <w:t xml:space="preserve">Sub-problem 2.2: </w:t>
      </w:r>
      <w:bookmarkEnd w:id="816"/>
      <w:bookmarkEnd w:id="817"/>
      <w:bookmarkEnd w:id="818"/>
      <w:r w:rsidR="00D60C0B" w:rsidRPr="009B5734">
        <w:rPr>
          <w:noProof/>
        </w:rPr>
        <w:t>Consumers are faced with the practice of making unclear or not well-substantiated green claims (“Greenwashing”)</w:t>
      </w:r>
    </w:p>
    <w:p w:rsidR="00EA45F9" w:rsidRPr="009B5734" w:rsidRDefault="00EA45F9" w:rsidP="005B13EF">
      <w:pPr>
        <w:pStyle w:val="NumbList1Space"/>
        <w:tabs>
          <w:tab w:val="clear" w:pos="480"/>
        </w:tabs>
        <w:ind w:left="0" w:firstLine="0"/>
        <w:rPr>
          <w:rFonts w:ascii="Times New Roman" w:hAnsi="Times New Roman" w:cs="Times New Roman"/>
          <w:b/>
          <w:noProof/>
          <w:u w:val="single"/>
        </w:rPr>
      </w:pPr>
      <w:r w:rsidRPr="009B5734">
        <w:rPr>
          <w:noProof/>
        </w:rPr>
        <w:t xml:space="preserve"> </w:t>
      </w:r>
    </w:p>
    <w:p w:rsidR="00EA45F9" w:rsidRPr="009B5734" w:rsidRDefault="00EA45F9" w:rsidP="00EA45F9">
      <w:pPr>
        <w:ind w:left="0" w:firstLine="0"/>
        <w:rPr>
          <w:rFonts w:ascii="Times New Roman" w:hAnsi="Times New Roman" w:cs="Times New Roman"/>
          <w:noProof/>
          <w:sz w:val="24"/>
          <w:szCs w:val="24"/>
        </w:rPr>
      </w:pPr>
      <w:r w:rsidRPr="009B5734">
        <w:rPr>
          <w:rFonts w:ascii="Times New Roman" w:hAnsi="Times New Roman" w:cs="Times New Roman"/>
          <w:b/>
          <w:noProof/>
          <w:u w:val="single"/>
        </w:rPr>
        <w:t>For this sub-problem, the following option has been discarded at an early stage:</w:t>
      </w:r>
    </w:p>
    <w:p w:rsidR="00EA45F9" w:rsidRPr="009B5734" w:rsidRDefault="00EA45F9" w:rsidP="00EA45F9">
      <w:pPr>
        <w:ind w:left="0" w:firstLine="0"/>
        <w:rPr>
          <w:rFonts w:ascii="Times New Roman" w:hAnsi="Times New Roman" w:cs="Times New Roman"/>
          <w:noProof/>
          <w:sz w:val="24"/>
        </w:rPr>
      </w:pPr>
    </w:p>
    <w:tbl>
      <w:tblPr>
        <w:tblStyle w:val="GridTable4-Accent2"/>
        <w:tblW w:w="9116" w:type="dxa"/>
        <w:tblInd w:w="-176" w:type="dxa"/>
        <w:tblLook w:val="04A0" w:firstRow="1" w:lastRow="0" w:firstColumn="1" w:lastColumn="0" w:noHBand="0" w:noVBand="1"/>
      </w:tblPr>
      <w:tblGrid>
        <w:gridCol w:w="2669"/>
        <w:gridCol w:w="6447"/>
      </w:tblGrid>
      <w:tr w:rsidR="00EA45F9" w:rsidRPr="009B5734" w:rsidTr="00C84A99">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9" w:type="dxa"/>
          </w:tcPr>
          <w:p w:rsidR="00EA45F9" w:rsidRPr="009B5734" w:rsidRDefault="00EA45F9" w:rsidP="00981615">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Options discarded at an early stage</w:t>
            </w:r>
          </w:p>
        </w:tc>
        <w:tc>
          <w:tcPr>
            <w:tcW w:w="6447" w:type="dxa"/>
          </w:tcPr>
          <w:p w:rsidR="00EA45F9" w:rsidRPr="009B5734" w:rsidRDefault="00EA45F9" w:rsidP="00981615">
            <w:pPr>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B5734">
              <w:rPr>
                <w:rFonts w:ascii="Times New Roman" w:hAnsi="Times New Roman" w:cs="Times New Roman"/>
                <w:noProof/>
                <w:sz w:val="24"/>
                <w:szCs w:val="24"/>
              </w:rPr>
              <w:t xml:space="preserve">Rationale </w:t>
            </w:r>
          </w:p>
        </w:tc>
      </w:tr>
      <w:tr w:rsidR="00EA45F9" w:rsidRPr="009B5734" w:rsidTr="00C84A99">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669" w:type="dxa"/>
            <w:shd w:val="clear" w:color="auto" w:fill="auto"/>
          </w:tcPr>
          <w:p w:rsidR="00EA45F9" w:rsidRPr="009B5734" w:rsidRDefault="00EA45F9" w:rsidP="00981615">
            <w:pPr>
              <w:ind w:left="0" w:firstLine="0"/>
              <w:rPr>
                <w:rFonts w:ascii="Times New Roman" w:hAnsi="Times New Roman" w:cs="Times New Roman"/>
                <w:noProof/>
                <w:sz w:val="24"/>
                <w:szCs w:val="24"/>
              </w:rPr>
            </w:pPr>
            <w:r w:rsidRPr="009B5734">
              <w:rPr>
                <w:rFonts w:ascii="Times New Roman" w:hAnsi="Times New Roman" w:cs="Times New Roman"/>
                <w:noProof/>
                <w:sz w:val="24"/>
                <w:szCs w:val="24"/>
              </w:rPr>
              <w:t>Pre-approval of environmental claims via an EU body</w:t>
            </w:r>
          </w:p>
        </w:tc>
        <w:tc>
          <w:tcPr>
            <w:tcW w:w="6447" w:type="dxa"/>
            <w:shd w:val="clear" w:color="auto" w:fill="auto"/>
          </w:tcPr>
          <w:p w:rsidR="00EA45F9" w:rsidRPr="009B5734" w:rsidRDefault="00EA45F9" w:rsidP="00981615">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9B5734">
              <w:rPr>
                <w:rFonts w:ascii="Times New Roman" w:hAnsi="Times New Roman" w:cs="Times New Roman"/>
                <w:noProof/>
                <w:sz w:val="24"/>
                <w:szCs w:val="24"/>
              </w:rPr>
              <w:t>Under this option, environmental claims would have had to be pre-approved by an EU body to check their reliability and truthfulness</w:t>
            </w:r>
            <w:r w:rsidR="00F675C3">
              <w:rPr>
                <w:rStyle w:val="FootnoteReference"/>
                <w:rFonts w:ascii="Times New Roman" w:hAnsi="Times New Roman" w:cs="Times New Roman"/>
                <w:noProof/>
                <w:sz w:val="24"/>
                <w:szCs w:val="24"/>
              </w:rPr>
              <w:footnoteReference w:id="266"/>
            </w:r>
            <w:r w:rsidRPr="009B5734">
              <w:rPr>
                <w:rFonts w:ascii="Times New Roman" w:hAnsi="Times New Roman" w:cs="Times New Roman"/>
                <w:noProof/>
                <w:sz w:val="24"/>
                <w:szCs w:val="24"/>
              </w:rPr>
              <w:t xml:space="preserve">. </w:t>
            </w:r>
          </w:p>
          <w:p w:rsidR="00EA45F9" w:rsidRPr="009B5734" w:rsidRDefault="00EA45F9" w:rsidP="00981615">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p>
          <w:p w:rsidR="00EA45F9" w:rsidRPr="009B5734" w:rsidRDefault="00EA45F9" w:rsidP="00981615">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9B5734">
              <w:rPr>
                <w:rFonts w:ascii="Times New Roman" w:hAnsi="Times New Roman" w:cs="Times New Roman"/>
                <w:noProof/>
                <w:sz w:val="24"/>
                <w:szCs w:val="24"/>
              </w:rPr>
              <w:t xml:space="preserve">This option has been discarded given the expected high </w:t>
            </w:r>
            <w:r w:rsidRPr="44230C38">
              <w:rPr>
                <w:rFonts w:ascii="Times New Roman" w:hAnsi="Times New Roman" w:cs="Times New Roman"/>
                <w:noProof/>
                <w:sz w:val="24"/>
                <w:szCs w:val="24"/>
              </w:rPr>
              <w:t xml:space="preserve">costs of setting up and running </w:t>
            </w:r>
            <w:r w:rsidRPr="00703416">
              <w:rPr>
                <w:rFonts w:ascii="Times New Roman" w:hAnsi="Times New Roman" w:cs="Times New Roman"/>
                <w:noProof/>
                <w:sz w:val="24"/>
                <w:szCs w:val="24"/>
              </w:rPr>
              <w:t>such EU body while providing only limited added value compared to the alternatives identified</w:t>
            </w:r>
            <w:r w:rsidR="00F67503" w:rsidRPr="44230C38">
              <w:rPr>
                <w:rFonts w:ascii="Times New Roman" w:hAnsi="Times New Roman" w:cs="Times New Roman"/>
                <w:noProof/>
                <w:sz w:val="24"/>
                <w:szCs w:val="24"/>
              </w:rPr>
              <w:t xml:space="preserve"> </w:t>
            </w:r>
            <w:r w:rsidR="00A73E6B">
              <w:rPr>
                <w:rFonts w:ascii="Times New Roman" w:hAnsi="Times New Roman" w:cs="Times New Roman"/>
                <w:noProof/>
                <w:sz w:val="24"/>
                <w:szCs w:val="24"/>
              </w:rPr>
              <w:t>which</w:t>
            </w:r>
            <w:r w:rsidR="00F67503" w:rsidRPr="44122D72">
              <w:rPr>
                <w:rFonts w:ascii="Times New Roman" w:hAnsi="Times New Roman" w:cs="Times New Roman"/>
                <w:noProof/>
                <w:sz w:val="24"/>
                <w:szCs w:val="24"/>
              </w:rPr>
              <w:t xml:space="preserve"> can be done</w:t>
            </w:r>
            <w:r w:rsidR="00F675C3" w:rsidRPr="00946905">
              <w:rPr>
                <w:rFonts w:ascii="Times New Roman" w:hAnsi="Times New Roman" w:cs="Times New Roman"/>
                <w:noProof/>
                <w:sz w:val="24"/>
                <w:szCs w:val="24"/>
              </w:rPr>
              <w:t xml:space="preserve"> via </w:t>
            </w:r>
            <w:r w:rsidR="00A73E6B">
              <w:rPr>
                <w:rFonts w:ascii="Times New Roman" w:hAnsi="Times New Roman" w:cs="Times New Roman"/>
                <w:noProof/>
                <w:sz w:val="24"/>
                <w:szCs w:val="24"/>
              </w:rPr>
              <w:t xml:space="preserve">targeted </w:t>
            </w:r>
            <w:r w:rsidR="00F675C3" w:rsidRPr="00946905">
              <w:rPr>
                <w:rFonts w:ascii="Times New Roman" w:hAnsi="Times New Roman" w:cs="Times New Roman"/>
                <w:noProof/>
                <w:sz w:val="24"/>
                <w:szCs w:val="24"/>
              </w:rPr>
              <w:t xml:space="preserve">amendments </w:t>
            </w:r>
            <w:r w:rsidR="00A73E6B">
              <w:rPr>
                <w:rFonts w:ascii="Times New Roman" w:hAnsi="Times New Roman" w:cs="Times New Roman"/>
                <w:noProof/>
                <w:sz w:val="24"/>
                <w:szCs w:val="24"/>
              </w:rPr>
              <w:t>of</w:t>
            </w:r>
            <w:r w:rsidR="00F675C3" w:rsidRPr="00946905">
              <w:rPr>
                <w:rFonts w:ascii="Times New Roman" w:hAnsi="Times New Roman" w:cs="Times New Roman"/>
                <w:noProof/>
                <w:sz w:val="24"/>
                <w:szCs w:val="24"/>
              </w:rPr>
              <w:t xml:space="preserve"> consumer law</w:t>
            </w:r>
            <w:r w:rsidRPr="44230C38">
              <w:rPr>
                <w:rFonts w:ascii="Times New Roman" w:hAnsi="Times New Roman" w:cs="Times New Roman"/>
                <w:noProof/>
                <w:sz w:val="24"/>
                <w:szCs w:val="24"/>
              </w:rPr>
              <w:t xml:space="preserve">.  </w:t>
            </w:r>
          </w:p>
          <w:p w:rsidR="00EA45F9" w:rsidRPr="009B5734" w:rsidRDefault="00EA45F9" w:rsidP="00981615">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p>
        </w:tc>
      </w:tr>
    </w:tbl>
    <w:p w:rsidR="00EA45F9" w:rsidRPr="009B5734" w:rsidRDefault="00EA45F9" w:rsidP="00EA45F9">
      <w:pPr>
        <w:ind w:left="0" w:firstLine="0"/>
        <w:rPr>
          <w:rFonts w:ascii="Times New Roman" w:hAnsi="Times New Roman" w:cs="Times New Roman"/>
          <w:noProof/>
          <w:sz w:val="24"/>
        </w:rPr>
      </w:pPr>
      <w:r w:rsidRPr="009B5734">
        <w:rPr>
          <w:rFonts w:ascii="Times New Roman" w:hAnsi="Times New Roman" w:cs="Times New Roman"/>
          <w:noProof/>
          <w:sz w:val="24"/>
        </w:rPr>
        <w:t xml:space="preserve"> </w:t>
      </w:r>
    </w:p>
    <w:p w:rsidR="00EA45F9" w:rsidRPr="009B5734" w:rsidRDefault="00EA45F9" w:rsidP="00EA45F9">
      <w:pPr>
        <w:ind w:left="0" w:firstLine="0"/>
        <w:rPr>
          <w:noProof/>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801A53" w:rsidRPr="009B5734" w:rsidRDefault="00801A53" w:rsidP="00EA45F9">
      <w:pPr>
        <w:ind w:left="0" w:firstLine="0"/>
        <w:rPr>
          <w:rFonts w:ascii="Times New Roman" w:hAnsi="Times New Roman"/>
          <w:b/>
          <w:noProof/>
          <w:sz w:val="24"/>
        </w:rPr>
      </w:pPr>
    </w:p>
    <w:p w:rsidR="00801A53" w:rsidRPr="009B5734" w:rsidRDefault="00801A53" w:rsidP="00EA45F9">
      <w:pPr>
        <w:ind w:left="0" w:firstLine="0"/>
        <w:rPr>
          <w:rFonts w:ascii="Times New Roman" w:hAnsi="Times New Roman"/>
          <w:b/>
          <w:noProof/>
          <w:sz w:val="24"/>
        </w:rPr>
      </w:pPr>
    </w:p>
    <w:p w:rsidR="00801A53" w:rsidRPr="009B5734" w:rsidRDefault="00801A53" w:rsidP="00EA45F9">
      <w:pPr>
        <w:ind w:left="0" w:firstLine="0"/>
        <w:rPr>
          <w:rFonts w:ascii="Times New Roman" w:hAnsi="Times New Roman"/>
          <w:b/>
          <w:noProof/>
          <w:sz w:val="24"/>
        </w:rPr>
      </w:pPr>
    </w:p>
    <w:p w:rsidR="00801A53" w:rsidRPr="009B5734" w:rsidRDefault="00801A53" w:rsidP="00EA45F9">
      <w:pPr>
        <w:ind w:left="0" w:firstLine="0"/>
        <w:rPr>
          <w:rFonts w:ascii="Times New Roman" w:hAnsi="Times New Roman"/>
          <w:b/>
          <w:noProof/>
          <w:sz w:val="24"/>
        </w:rPr>
      </w:pPr>
    </w:p>
    <w:p w:rsidR="00801A53" w:rsidRPr="009B5734" w:rsidRDefault="00801A53" w:rsidP="00EA45F9">
      <w:pPr>
        <w:ind w:left="0" w:firstLine="0"/>
        <w:rPr>
          <w:rFonts w:ascii="Times New Roman" w:hAnsi="Times New Roman"/>
          <w:b/>
          <w:noProof/>
          <w:sz w:val="24"/>
        </w:rPr>
      </w:pPr>
    </w:p>
    <w:p w:rsidR="00801A53" w:rsidRPr="009B5734" w:rsidRDefault="00801A53" w:rsidP="00EA45F9">
      <w:pPr>
        <w:ind w:left="0" w:firstLine="0"/>
        <w:rPr>
          <w:rFonts w:ascii="Times New Roman" w:hAnsi="Times New Roman"/>
          <w:b/>
          <w:noProof/>
          <w:sz w:val="24"/>
        </w:rPr>
      </w:pPr>
    </w:p>
    <w:p w:rsidR="00801A53" w:rsidRPr="009B5734" w:rsidRDefault="00801A53" w:rsidP="00EA45F9">
      <w:pPr>
        <w:ind w:left="0" w:firstLine="0"/>
        <w:rPr>
          <w:rFonts w:ascii="Times New Roman" w:hAnsi="Times New Roman"/>
          <w:b/>
          <w:noProof/>
          <w:sz w:val="24"/>
        </w:rPr>
      </w:pPr>
    </w:p>
    <w:p w:rsidR="00801A53" w:rsidRPr="009B5734" w:rsidRDefault="00801A53" w:rsidP="00EA45F9">
      <w:pPr>
        <w:ind w:left="0" w:firstLine="0"/>
        <w:rPr>
          <w:rFonts w:ascii="Times New Roman" w:hAnsi="Times New Roman"/>
          <w:b/>
          <w:noProof/>
          <w:sz w:val="24"/>
        </w:rPr>
      </w:pPr>
    </w:p>
    <w:p w:rsidR="00801A53" w:rsidRPr="009B5734" w:rsidRDefault="00801A53" w:rsidP="00EA45F9">
      <w:pPr>
        <w:ind w:left="0" w:firstLine="0"/>
        <w:rPr>
          <w:rFonts w:ascii="Times New Roman" w:hAnsi="Times New Roman"/>
          <w:b/>
          <w:noProof/>
          <w:sz w:val="24"/>
        </w:rPr>
      </w:pPr>
    </w:p>
    <w:p w:rsidR="00801A53" w:rsidRPr="009B5734" w:rsidRDefault="00801A53" w:rsidP="00EA45F9">
      <w:pPr>
        <w:ind w:left="0" w:firstLine="0"/>
        <w:rPr>
          <w:rFonts w:ascii="Times New Roman" w:hAnsi="Times New Roman"/>
          <w:b/>
          <w:noProof/>
          <w:sz w:val="24"/>
        </w:rPr>
      </w:pPr>
    </w:p>
    <w:p w:rsidR="00801A53" w:rsidRPr="009B5734" w:rsidRDefault="00801A53" w:rsidP="00EA45F9">
      <w:pPr>
        <w:ind w:left="0" w:firstLine="0"/>
        <w:rPr>
          <w:rFonts w:ascii="Times New Roman" w:hAnsi="Times New Roman"/>
          <w:b/>
          <w:noProof/>
          <w:sz w:val="24"/>
        </w:rPr>
      </w:pPr>
    </w:p>
    <w:p w:rsidR="00EA45F9" w:rsidRPr="009B5734" w:rsidRDefault="00EA45F9" w:rsidP="00EA45F9">
      <w:pPr>
        <w:pStyle w:val="Heading1"/>
        <w:jc w:val="center"/>
        <w:rPr>
          <w:noProof/>
        </w:rPr>
      </w:pPr>
      <w:bookmarkStart w:id="819" w:name="_Annex_12:_Consequences_1"/>
      <w:bookmarkStart w:id="820" w:name="_Toc75441466"/>
      <w:bookmarkStart w:id="821" w:name="_Toc75447032"/>
      <w:bookmarkStart w:id="822" w:name="_Toc75448905"/>
      <w:bookmarkStart w:id="823" w:name="_Toc77844276"/>
      <w:bookmarkStart w:id="824" w:name="_Toc86391779"/>
      <w:bookmarkEnd w:id="819"/>
      <w:r w:rsidRPr="009B5734">
        <w:rPr>
          <w:noProof/>
        </w:rPr>
        <w:t>Annex 12: Consequences of the problems for Consumers, the Market and the Environment</w:t>
      </w:r>
      <w:bookmarkEnd w:id="820"/>
      <w:bookmarkEnd w:id="821"/>
      <w:bookmarkEnd w:id="822"/>
      <w:bookmarkEnd w:id="823"/>
      <w:bookmarkEnd w:id="824"/>
    </w:p>
    <w:p w:rsidR="00EA45F9" w:rsidRPr="009B5734" w:rsidRDefault="00A00208" w:rsidP="00A00208">
      <w:pPr>
        <w:pStyle w:val="Heading2"/>
        <w:rPr>
          <w:noProof/>
          <w:szCs w:val="24"/>
        </w:rPr>
      </w:pPr>
      <w:bookmarkStart w:id="825" w:name="_Toc77844277"/>
      <w:bookmarkStart w:id="826" w:name="_Toc86391780"/>
      <w:r w:rsidRPr="00A00208">
        <w:t>1.</w:t>
      </w:r>
      <w:r w:rsidRPr="00A00208">
        <w:tab/>
      </w:r>
      <w:r w:rsidR="00EA45F9" w:rsidRPr="009B5734">
        <w:rPr>
          <w:noProof/>
        </w:rPr>
        <w:t>Consequences of Problem 1</w:t>
      </w:r>
      <w:bookmarkEnd w:id="825"/>
      <w:bookmarkEnd w:id="826"/>
    </w:p>
    <w:p w:rsidR="00EA45F9" w:rsidRPr="009B5734" w:rsidRDefault="00A00208" w:rsidP="00A00208">
      <w:pPr>
        <w:pStyle w:val="Heading4"/>
        <w:rPr>
          <w:noProof/>
        </w:rPr>
      </w:pPr>
      <w:r w:rsidRPr="00A00208">
        <w:t>1.1.</w:t>
      </w:r>
      <w:r w:rsidRPr="00A00208">
        <w:tab/>
      </w:r>
      <w:r w:rsidR="00EA45F9" w:rsidRPr="009B5734">
        <w:rPr>
          <w:noProof/>
        </w:rPr>
        <w:t>Consequences for consumers</w:t>
      </w:r>
    </w:p>
    <w:p w:rsidR="00EA45F9" w:rsidRPr="009B5734" w:rsidRDefault="00EA45F9" w:rsidP="00EA45F9">
      <w:pPr>
        <w:pStyle w:val="BTNumbList"/>
        <w:rPr>
          <w:rFonts w:ascii="Times New Roman" w:hAnsi="Times New Roman"/>
          <w:noProof/>
          <w:sz w:val="24"/>
        </w:rPr>
      </w:pPr>
      <w:r w:rsidRPr="009B5734">
        <w:rPr>
          <w:rFonts w:ascii="Times New Roman" w:hAnsi="Times New Roman"/>
          <w:b/>
          <w:noProof/>
          <w:sz w:val="24"/>
        </w:rPr>
        <w:t xml:space="preserve">A </w:t>
      </w:r>
      <w:r w:rsidR="00D60C0B" w:rsidRPr="009B5734">
        <w:rPr>
          <w:rFonts w:ascii="Times New Roman" w:hAnsi="Times New Roman"/>
          <w:b/>
          <w:noProof/>
          <w:sz w:val="24"/>
        </w:rPr>
        <w:t>lack of reliable information</w:t>
      </w:r>
      <w:r w:rsidRPr="009B5734">
        <w:rPr>
          <w:rFonts w:ascii="Times New Roman" w:hAnsi="Times New Roman"/>
          <w:b/>
          <w:noProof/>
          <w:sz w:val="24"/>
        </w:rPr>
        <w:t xml:space="preserve"> at the point of sale about a product’s environmental sustainability prevents consumers from translating their desire</w:t>
      </w:r>
      <w:r w:rsidRPr="009B5734">
        <w:rPr>
          <w:rFonts w:ascii="Times New Roman" w:hAnsi="Times New Roman"/>
          <w:noProof/>
          <w:sz w:val="24"/>
        </w:rPr>
        <w:t xml:space="preserve"> to purchase sustainable products into green purchasing decisions. This shows a non-realised potential to increase the share of consumers who choose more sustainable products.</w:t>
      </w:r>
    </w:p>
    <w:p w:rsidR="00EA45F9" w:rsidRPr="009B5734" w:rsidRDefault="00EA45F9" w:rsidP="00EA45F9">
      <w:pPr>
        <w:spacing w:before="240"/>
        <w:ind w:left="0" w:firstLine="0"/>
        <w:rPr>
          <w:noProof/>
        </w:rPr>
      </w:pPr>
      <w:r w:rsidRPr="005D24D2">
        <w:rPr>
          <w:rFonts w:ascii="Times New Roman" w:hAnsi="Times New Roman"/>
          <w:noProof/>
          <w:sz w:val="24"/>
          <w:szCs w:val="24"/>
        </w:rPr>
        <w:t xml:space="preserve">Having </w:t>
      </w:r>
      <w:r w:rsidRPr="005D24D2">
        <w:rPr>
          <w:rFonts w:ascii="Times New Roman" w:hAnsi="Times New Roman"/>
          <w:b/>
          <w:bCs/>
          <w:noProof/>
          <w:sz w:val="24"/>
          <w:szCs w:val="24"/>
        </w:rPr>
        <w:t>information about the environmental characteristics of products</w:t>
      </w:r>
      <w:r w:rsidRPr="005773BA">
        <w:rPr>
          <w:rFonts w:ascii="Times New Roman" w:hAnsi="Times New Roman"/>
          <w:noProof/>
          <w:sz w:val="24"/>
          <w:szCs w:val="24"/>
        </w:rPr>
        <w:t xml:space="preserve"> is important for about 50% of consumers who report that they want to purchase products that are environmentally</w:t>
      </w:r>
      <w:r w:rsidRPr="005773BA">
        <w:rPr>
          <w:rFonts w:ascii="Times New Roman" w:hAnsi="Times New Roman"/>
          <w:noProof/>
          <w:sz w:val="24"/>
          <w:szCs w:val="24"/>
        </w:rPr>
        <w:noBreakHyphen/>
        <w:t>friendly</w:t>
      </w:r>
      <w:r w:rsidRPr="005D24D2">
        <w:rPr>
          <w:rStyle w:val="FootnoteReference"/>
          <w:rFonts w:ascii="Times New Roman" w:hAnsi="Times New Roman"/>
          <w:noProof/>
          <w:sz w:val="24"/>
          <w:szCs w:val="24"/>
        </w:rPr>
        <w:footnoteReference w:id="267"/>
      </w:r>
      <w:r w:rsidRPr="005D24D2">
        <w:rPr>
          <w:rFonts w:ascii="Times New Roman" w:hAnsi="Times New Roman"/>
          <w:noProof/>
          <w:sz w:val="24"/>
          <w:szCs w:val="24"/>
        </w:rPr>
        <w:t xml:space="preserve">, many of whom </w:t>
      </w:r>
      <w:r w:rsidRPr="005D24D2">
        <w:rPr>
          <w:rFonts w:ascii="Times New Roman" w:hAnsi="Times New Roman"/>
          <w:b/>
          <w:bCs/>
          <w:noProof/>
          <w:sz w:val="24"/>
          <w:szCs w:val="24"/>
        </w:rPr>
        <w:t>are willing to pay a premium for more environmentally friendly products</w:t>
      </w:r>
      <w:r w:rsidRPr="005D24D2">
        <w:rPr>
          <w:rStyle w:val="FootnoteReference"/>
          <w:rFonts w:ascii="Times New Roman" w:hAnsi="Times New Roman"/>
          <w:noProof/>
          <w:sz w:val="24"/>
          <w:szCs w:val="24"/>
        </w:rPr>
        <w:footnoteReference w:id="268"/>
      </w:r>
      <w:r w:rsidRPr="005D24D2">
        <w:rPr>
          <w:rFonts w:ascii="Times New Roman" w:hAnsi="Times New Roman"/>
          <w:noProof/>
          <w:sz w:val="24"/>
          <w:szCs w:val="24"/>
        </w:rPr>
        <w:t xml:space="preserve">. </w:t>
      </w:r>
      <w:r w:rsidRPr="009B5734">
        <w:rPr>
          <w:rFonts w:ascii="Times New Roman" w:hAnsi="Times New Roman" w:cs="Times New Roman"/>
          <w:noProof/>
          <w:sz w:val="24"/>
          <w:szCs w:val="24"/>
        </w:rPr>
        <w:t>The number of consumers affected by this sub-problem is at least equal to the number of consumers who would like to receive the information and consider that the information is insufficient, i.e., 60%</w:t>
      </w:r>
      <w:r w:rsidRPr="009B5734">
        <w:rPr>
          <w:rStyle w:val="FootnoteReference"/>
          <w:noProof/>
        </w:rPr>
        <w:footnoteReference w:id="269"/>
      </w:r>
      <w:r w:rsidRPr="009B5734">
        <w:rPr>
          <w:rFonts w:ascii="Times New Roman" w:hAnsi="Times New Roman" w:cs="Times New Roman"/>
          <w:noProof/>
          <w:sz w:val="24"/>
          <w:szCs w:val="24"/>
        </w:rPr>
        <w:t xml:space="preserve"> of consumers or about 225 million European consumers. Based on the consumer survey carried out for this Impact Assessment, around 164 million of those would even be willing to pay for this information (EUR 5.32 on average). The same consumer survey also suggests that 56% of consumers, i.e., 210 million consumers when extrapolated, would use the information to buy “more environmentally friendly products”. </w:t>
      </w:r>
    </w:p>
    <w:p w:rsidR="00EA45F9" w:rsidRPr="009B5734" w:rsidRDefault="00EA45F9" w:rsidP="00EA45F9">
      <w:pPr>
        <w:ind w:left="0" w:firstLine="0"/>
        <w:rPr>
          <w:rFonts w:ascii="Times New Roman" w:hAnsi="Times New Roman"/>
          <w:noProof/>
          <w:sz w:val="24"/>
        </w:rPr>
      </w:pPr>
    </w:p>
    <w:p w:rsidR="00EA45F9" w:rsidRPr="00014EB8" w:rsidRDefault="00EA45F9" w:rsidP="00EA45F9">
      <w:pPr>
        <w:ind w:left="0" w:firstLine="0"/>
        <w:rPr>
          <w:rFonts w:ascii="Times New Roman" w:hAnsi="Times New Roman"/>
          <w:noProof/>
          <w:sz w:val="24"/>
        </w:rPr>
      </w:pPr>
      <w:r w:rsidRPr="009B5734">
        <w:rPr>
          <w:rFonts w:ascii="Times New Roman" w:hAnsi="Times New Roman"/>
          <w:noProof/>
          <w:sz w:val="24"/>
        </w:rPr>
        <w:t xml:space="preserve">Equally, </w:t>
      </w:r>
      <w:r w:rsidRPr="009B5734">
        <w:rPr>
          <w:rFonts w:ascii="Times New Roman" w:hAnsi="Times New Roman"/>
          <w:b/>
          <w:noProof/>
          <w:sz w:val="24"/>
        </w:rPr>
        <w:t>consumers are</w:t>
      </w:r>
      <w:r w:rsidRPr="009B5734" w:rsidDel="00A26376">
        <w:rPr>
          <w:rFonts w:ascii="Times New Roman" w:hAnsi="Times New Roman"/>
          <w:b/>
          <w:noProof/>
          <w:sz w:val="24"/>
        </w:rPr>
        <w:t xml:space="preserve"> </w:t>
      </w:r>
      <w:r w:rsidRPr="009B5734">
        <w:rPr>
          <w:rFonts w:ascii="Times New Roman" w:hAnsi="Times New Roman"/>
          <w:b/>
          <w:noProof/>
          <w:sz w:val="24"/>
        </w:rPr>
        <w:t>very interested in having information about the lifespan of goods</w:t>
      </w:r>
      <w:r w:rsidRPr="009B5734">
        <w:rPr>
          <w:rFonts w:ascii="Times New Roman" w:hAnsi="Times New Roman"/>
          <w:noProof/>
          <w:sz w:val="24"/>
        </w:rPr>
        <w:t xml:space="preserve">: as mentioned, 92% of European consumers (e.g. around 344 million when extrapolated) would like to receive such information. Based on the consumer survey for this Impact Assessment, around 74% would even be willing to pay for this information (EUR 5.88 per year on average). Consumers also say that </w:t>
      </w:r>
      <w:r w:rsidRPr="009B5734">
        <w:rPr>
          <w:rFonts w:ascii="Times New Roman" w:hAnsi="Times New Roman"/>
          <w:b/>
          <w:noProof/>
          <w:sz w:val="24"/>
        </w:rPr>
        <w:t>durability is one of the most important decision factors</w:t>
      </w:r>
      <w:r w:rsidRPr="009B5734">
        <w:rPr>
          <w:rFonts w:ascii="Times New Roman" w:hAnsi="Times New Roman"/>
          <w:noProof/>
          <w:sz w:val="24"/>
        </w:rPr>
        <w:t xml:space="preserve"> for them when buying goods such as dishwashers, vacuum cleaners, televisions, smartphones or coats (with quality and price)</w:t>
      </w:r>
      <w:r w:rsidRPr="009B5734">
        <w:rPr>
          <w:rStyle w:val="FootnoteReference"/>
          <w:rFonts w:ascii="Times New Roman" w:hAnsi="Times New Roman"/>
          <w:noProof/>
          <w:sz w:val="24"/>
        </w:rPr>
        <w:footnoteReference w:id="270"/>
      </w:r>
      <w:r w:rsidRPr="009B5734">
        <w:rPr>
          <w:rFonts w:ascii="Times New Roman" w:hAnsi="Times New Roman"/>
          <w:noProof/>
          <w:sz w:val="24"/>
        </w:rPr>
        <w:t xml:space="preserve">. Evidence also shows that a significant share of consumers is interested in purchasing products with longer lifespans. </w:t>
      </w:r>
      <w:r w:rsidRPr="009B5734">
        <w:rPr>
          <w:rFonts w:ascii="Times New Roman" w:hAnsi="Times New Roman"/>
          <w:b/>
          <w:noProof/>
          <w:sz w:val="24"/>
        </w:rPr>
        <w:t>A recent behavioural experiment showed</w:t>
      </w:r>
      <w:r w:rsidRPr="009B5734">
        <w:rPr>
          <w:rStyle w:val="FootnoteReference"/>
          <w:rFonts w:ascii="Times New Roman" w:hAnsi="Times New Roman"/>
          <w:b/>
          <w:noProof/>
          <w:sz w:val="24"/>
        </w:rPr>
        <w:footnoteReference w:id="271"/>
      </w:r>
      <w:r w:rsidRPr="009B5734">
        <w:rPr>
          <w:rFonts w:ascii="Times New Roman" w:hAnsi="Times New Roman"/>
          <w:b/>
          <w:noProof/>
          <w:sz w:val="24"/>
        </w:rPr>
        <w:t xml:space="preserve">  that when durability information is provided at the point of sale,</w:t>
      </w:r>
      <w:r w:rsidRPr="009B5734">
        <w:rPr>
          <w:rFonts w:ascii="Times New Roman" w:hAnsi="Times New Roman"/>
          <w:noProof/>
          <w:sz w:val="24"/>
        </w:rPr>
        <w:t xml:space="preserve"> </w:t>
      </w:r>
      <w:r w:rsidRPr="009B5734">
        <w:rPr>
          <w:rFonts w:ascii="Times New Roman" w:hAnsi="Times New Roman"/>
          <w:b/>
          <w:noProof/>
          <w:sz w:val="24"/>
        </w:rPr>
        <w:t>consumers are almost three times more likely to choose products with the longest durability on offer</w:t>
      </w:r>
      <w:r w:rsidRPr="009B5734">
        <w:rPr>
          <w:rFonts w:ascii="Times New Roman" w:hAnsi="Times New Roman"/>
          <w:noProof/>
          <w:sz w:val="24"/>
        </w:rPr>
        <w:t xml:space="preserve">. </w:t>
      </w:r>
      <w:r w:rsidR="00655572" w:rsidRPr="009B5734">
        <w:rPr>
          <w:rFonts w:ascii="Times New Roman" w:hAnsi="Times New Roman"/>
          <w:noProof/>
          <w:sz w:val="24"/>
        </w:rPr>
        <w:t>Another behavioural experiment</w:t>
      </w:r>
      <w:r w:rsidR="00655572" w:rsidRPr="009B5734">
        <w:rPr>
          <w:rStyle w:val="FootnoteReference"/>
          <w:rFonts w:ascii="Times New Roman" w:hAnsi="Times New Roman"/>
          <w:noProof/>
          <w:sz w:val="24"/>
        </w:rPr>
        <w:footnoteReference w:id="272"/>
      </w:r>
      <w:r w:rsidR="00655572" w:rsidRPr="009B5734">
        <w:rPr>
          <w:rFonts w:ascii="Times New Roman" w:hAnsi="Times New Roman"/>
          <w:noProof/>
          <w:sz w:val="24"/>
        </w:rPr>
        <w:t xml:space="preserve"> </w:t>
      </w:r>
      <w:r w:rsidR="00FB7FE5" w:rsidRPr="002027FA">
        <w:rPr>
          <w:rFonts w:ascii="Times New Roman" w:hAnsi="Times New Roman"/>
          <w:noProof/>
          <w:sz w:val="24"/>
        </w:rPr>
        <w:t>showed that adding a label informing consumers of the relative lifespan performance of all products on the market could increase the market share of the products with the best lifespan, decrease the market share of the products with the worst lifespan, and increase the overall lifespan score of products purchased.</w:t>
      </w:r>
      <w:r w:rsidR="00FB7FE5">
        <w:rPr>
          <w:rFonts w:ascii="Times New Roman" w:hAnsi="Times New Roman"/>
          <w:noProof/>
          <w:sz w:val="24"/>
        </w:rPr>
        <w:t xml:space="preserve"> </w:t>
      </w:r>
      <w:r w:rsidRPr="009B5734">
        <w:rPr>
          <w:rFonts w:ascii="Times New Roman" w:hAnsi="Times New Roman"/>
          <w:noProof/>
          <w:sz w:val="24"/>
        </w:rPr>
        <w:t>Another study</w:t>
      </w:r>
      <w:r w:rsidRPr="009B5734">
        <w:rPr>
          <w:rStyle w:val="FootnoteReference"/>
          <w:rFonts w:ascii="Times New Roman" w:hAnsi="Times New Roman"/>
          <w:noProof/>
          <w:sz w:val="24"/>
        </w:rPr>
        <w:footnoteReference w:id="273"/>
      </w:r>
      <w:r w:rsidRPr="009B5734">
        <w:rPr>
          <w:rFonts w:ascii="Times New Roman" w:hAnsi="Times New Roman"/>
          <w:noProof/>
          <w:sz w:val="24"/>
        </w:rPr>
        <w:t xml:space="preserve"> found that across the tested products (which included washing machines, vacuum cleaners and coffee makers), products with a label showing a longer lifespan than the competing products were chosen an average of 13.8% more. Moreover, the same study showed </w:t>
      </w:r>
      <w:r w:rsidRPr="009B5734">
        <w:rPr>
          <w:rFonts w:ascii="Times New Roman" w:hAnsi="Times New Roman"/>
          <w:b/>
          <w:noProof/>
          <w:sz w:val="24"/>
        </w:rPr>
        <w:t xml:space="preserve">many consumers are willing to pay more for products that have a longer durability: 90% of the consumers surveyed indicated that they would be willing to pay an additional EUR 102 for a dishwasher with two additional years of lifespan. </w:t>
      </w:r>
      <w:r w:rsidRPr="009B5734">
        <w:rPr>
          <w:rFonts w:ascii="Times New Roman" w:hAnsi="Times New Roman"/>
          <w:noProof/>
          <w:sz w:val="24"/>
        </w:rPr>
        <w:t>A similar outcome was demonstrated by another behavioural study which showed that when  durability  information  was present, respondents were on average willing to pay €19 more for high (versus low) durability products</w:t>
      </w:r>
      <w:r w:rsidRPr="009B5734">
        <w:rPr>
          <w:rStyle w:val="FootnoteReference"/>
          <w:rFonts w:ascii="Times New Roman" w:hAnsi="Times New Roman"/>
          <w:noProof/>
          <w:sz w:val="24"/>
        </w:rPr>
        <w:footnoteReference w:id="274"/>
      </w:r>
      <w:r w:rsidRPr="009B5734">
        <w:rPr>
          <w:rFonts w:ascii="Times New Roman" w:hAnsi="Times New Roman"/>
          <w:noProof/>
          <w:sz w:val="24"/>
        </w:rPr>
        <w:t xml:space="preserve">. </w:t>
      </w:r>
      <w:r w:rsidRPr="00014EB8">
        <w:rPr>
          <w:rFonts w:ascii="Times New Roman" w:hAnsi="Times New Roman"/>
          <w:noProof/>
          <w:sz w:val="24"/>
        </w:rPr>
        <w:t xml:space="preserve">Other recent evidence reveals that an increasing number of consumers are willing to know the expected lifespan of a product. </w:t>
      </w:r>
      <w:r w:rsidRPr="00014EB8">
        <w:rPr>
          <w:rStyle w:val="FootnoteReference"/>
          <w:rFonts w:ascii="Times New Roman" w:hAnsi="Times New Roman"/>
          <w:noProof/>
          <w:sz w:val="24"/>
        </w:rPr>
        <w:footnoteReference w:id="275"/>
      </w:r>
    </w:p>
    <w:p w:rsidR="00EA45F9" w:rsidRPr="009B5734" w:rsidRDefault="00EA45F9" w:rsidP="00EA45F9">
      <w:pPr>
        <w:pStyle w:val="FootnoteText"/>
        <w:spacing w:before="240" w:after="0"/>
        <w:ind w:left="0" w:firstLine="0"/>
        <w:rPr>
          <w:noProof/>
          <w:sz w:val="24"/>
        </w:rPr>
      </w:pPr>
      <w:r w:rsidRPr="009B5734">
        <w:rPr>
          <w:noProof/>
          <w:sz w:val="24"/>
        </w:rPr>
        <w:t>Evidence from the consumer survey for this IA indicates that 80% of consumers (about 300 million consumers)</w:t>
      </w:r>
      <w:r w:rsidRPr="009B5734">
        <w:rPr>
          <w:b/>
          <w:noProof/>
          <w:sz w:val="24"/>
        </w:rPr>
        <w:t xml:space="preserve"> would be interested in receiving information about the reparability of goods </w:t>
      </w:r>
      <w:r w:rsidRPr="009B5734">
        <w:rPr>
          <w:noProof/>
          <w:sz w:val="24"/>
        </w:rPr>
        <w:t xml:space="preserve">(e.g. availability of repair services, spare parts, repair manuals, repair scoring). </w:t>
      </w:r>
      <w:r w:rsidRPr="009B5734">
        <w:rPr>
          <w:noProof/>
          <w:sz w:val="24"/>
          <w:szCs w:val="24"/>
        </w:rPr>
        <w:t>Around 52% of those would be willing to pay for this information (EUR 5.53 per year on average).</w:t>
      </w:r>
      <w:r w:rsidRPr="009B5734">
        <w:rPr>
          <w:noProof/>
          <w:sz w:val="24"/>
        </w:rPr>
        <w:t xml:space="preserve"> 50%-55% of all consumers (187-205 million consumers) would use such information to buy “products that would be easier to repair”. Further evidence shows that </w:t>
      </w:r>
      <w:r w:rsidRPr="009B5734">
        <w:rPr>
          <w:b/>
          <w:noProof/>
          <w:sz w:val="24"/>
        </w:rPr>
        <w:t>consumers are generally willing to pay more for products with better reparability</w:t>
      </w:r>
      <w:r w:rsidRPr="009B5734">
        <w:rPr>
          <w:rStyle w:val="FootnoteReference"/>
          <w:noProof/>
          <w:sz w:val="24"/>
        </w:rPr>
        <w:footnoteReference w:id="276"/>
      </w:r>
      <w:r w:rsidRPr="009B5734">
        <w:rPr>
          <w:noProof/>
          <w:sz w:val="24"/>
        </w:rPr>
        <w:t xml:space="preserve">. </w:t>
      </w:r>
      <w:r w:rsidRPr="009B5734">
        <w:rPr>
          <w:b/>
          <w:noProof/>
          <w:sz w:val="24"/>
        </w:rPr>
        <w:t>Evidence from behavioural experiments suggest that when reparability information, in particular repair scoring in this case, is provided at the point of sale, it is effective in guiding consumers towards more reparable products</w:t>
      </w:r>
      <w:r w:rsidRPr="009B5734">
        <w:rPr>
          <w:rStyle w:val="FootnoteReference"/>
          <w:noProof/>
          <w:sz w:val="24"/>
        </w:rPr>
        <w:footnoteReference w:id="277"/>
      </w:r>
      <w:r w:rsidRPr="009B5734">
        <w:rPr>
          <w:noProof/>
          <w:sz w:val="24"/>
          <w:vertAlign w:val="superscript"/>
        </w:rPr>
        <w:t>,</w:t>
      </w:r>
      <w:r w:rsidRPr="009B5734">
        <w:rPr>
          <w:rStyle w:val="FootnoteReference"/>
          <w:noProof/>
          <w:sz w:val="24"/>
        </w:rPr>
        <w:footnoteReference w:id="278"/>
      </w:r>
      <w:r w:rsidRPr="009B5734">
        <w:rPr>
          <w:noProof/>
          <w:sz w:val="24"/>
        </w:rPr>
        <w:t xml:space="preserve">. </w:t>
      </w:r>
    </w:p>
    <w:p w:rsidR="00EA45F9" w:rsidRPr="009B5734" w:rsidRDefault="00EA45F9" w:rsidP="00EA45F9">
      <w:pPr>
        <w:pStyle w:val="BTNumbList"/>
        <w:rPr>
          <w:rFonts w:ascii="Times New Roman" w:hAnsi="Times New Roman"/>
          <w:noProof/>
          <w:sz w:val="24"/>
        </w:rPr>
      </w:pPr>
      <w:r w:rsidRPr="009B5734">
        <w:rPr>
          <w:rFonts w:ascii="Times New Roman" w:hAnsi="Times New Roman"/>
          <w:noProof/>
          <w:sz w:val="24"/>
        </w:rPr>
        <w:t xml:space="preserve">Studies also show that a </w:t>
      </w:r>
      <w:r w:rsidRPr="009B5734">
        <w:rPr>
          <w:rFonts w:ascii="Times New Roman" w:hAnsi="Times New Roman"/>
          <w:b/>
          <w:noProof/>
          <w:sz w:val="24"/>
        </w:rPr>
        <w:t>significant share of consumers is interested in repairing broken goods</w:t>
      </w:r>
      <w:r w:rsidRPr="009B5734">
        <w:rPr>
          <w:rFonts w:ascii="Times New Roman" w:hAnsi="Times New Roman"/>
          <w:noProof/>
          <w:sz w:val="24"/>
        </w:rPr>
        <w:t xml:space="preserve"> (instead of replacing them)</w:t>
      </w:r>
      <w:r w:rsidRPr="009B5734">
        <w:rPr>
          <w:rStyle w:val="FootnoteReference"/>
          <w:rFonts w:ascii="Times New Roman" w:hAnsi="Times New Roman"/>
          <w:noProof/>
          <w:sz w:val="24"/>
        </w:rPr>
        <w:footnoteReference w:id="279"/>
      </w:r>
      <w:r w:rsidRPr="009B5734">
        <w:rPr>
          <w:rFonts w:ascii="Times New Roman" w:hAnsi="Times New Roman"/>
          <w:noProof/>
          <w:sz w:val="24"/>
        </w:rPr>
        <w:t>. However, about 36% consumers do not generally repair defective products</w:t>
      </w:r>
      <w:r w:rsidRPr="009B5734">
        <w:rPr>
          <w:rStyle w:val="FootnoteReference"/>
          <w:rFonts w:ascii="Times New Roman" w:hAnsi="Times New Roman"/>
          <w:noProof/>
          <w:sz w:val="24"/>
        </w:rPr>
        <w:footnoteReference w:id="280"/>
      </w:r>
      <w:r w:rsidRPr="009B5734">
        <w:rPr>
          <w:rFonts w:ascii="Times New Roman" w:hAnsi="Times New Roman"/>
          <w:noProof/>
          <w:sz w:val="24"/>
        </w:rPr>
        <w:t xml:space="preserve">. </w:t>
      </w:r>
      <w:r w:rsidRPr="009B5734">
        <w:rPr>
          <w:rFonts w:ascii="Times New Roman" w:hAnsi="Times New Roman"/>
          <w:b/>
          <w:noProof/>
          <w:sz w:val="24"/>
        </w:rPr>
        <w:t xml:space="preserve">The fact that respondents did not know how to repair it/where to get it repaired </w:t>
      </w:r>
      <w:r w:rsidRPr="009B5734">
        <w:rPr>
          <w:rFonts w:ascii="Times New Roman" w:hAnsi="Times New Roman"/>
          <w:noProof/>
          <w:sz w:val="24"/>
        </w:rPr>
        <w:t xml:space="preserve">(i.e. due to lack of repair manual and information about the availability of repair services) and the unavailability of spare parts </w:t>
      </w:r>
      <w:r w:rsidRPr="009B5734">
        <w:rPr>
          <w:rFonts w:ascii="Times New Roman" w:hAnsi="Times New Roman"/>
          <w:b/>
          <w:noProof/>
          <w:sz w:val="24"/>
        </w:rPr>
        <w:t>play a role in the decision not to repair a broken good</w:t>
      </w:r>
      <w:r w:rsidRPr="009B5734">
        <w:rPr>
          <w:rFonts w:ascii="Times New Roman" w:hAnsi="Times New Roman"/>
          <w:noProof/>
          <w:sz w:val="24"/>
        </w:rPr>
        <w:t>.</w:t>
      </w:r>
    </w:p>
    <w:p w:rsidR="00EA45F9" w:rsidRPr="009B5734" w:rsidRDefault="00EA45F9" w:rsidP="00EA45F9">
      <w:pPr>
        <w:pStyle w:val="BTNumbList"/>
        <w:rPr>
          <w:rFonts w:ascii="Times New Roman" w:hAnsi="Times New Roman"/>
          <w:noProof/>
          <w:sz w:val="24"/>
        </w:rPr>
      </w:pPr>
    </w:p>
    <w:p w:rsidR="00EA45F9" w:rsidRPr="009B5734" w:rsidRDefault="00A00208" w:rsidP="00A00208">
      <w:pPr>
        <w:pStyle w:val="Heading4"/>
        <w:rPr>
          <w:noProof/>
        </w:rPr>
      </w:pPr>
      <w:r w:rsidRPr="00A00208">
        <w:t>1.2.</w:t>
      </w:r>
      <w:r w:rsidRPr="00A00208">
        <w:tab/>
      </w:r>
      <w:r w:rsidR="00EA45F9" w:rsidRPr="009B5734">
        <w:rPr>
          <w:noProof/>
        </w:rPr>
        <w:t>Consequences for the market</w:t>
      </w:r>
    </w:p>
    <w:p w:rsidR="00EA45F9" w:rsidRPr="009B5734" w:rsidRDefault="00EA45F9" w:rsidP="00EA45F9">
      <w:pPr>
        <w:pStyle w:val="BTNumbList"/>
        <w:rPr>
          <w:b/>
          <w:i/>
          <w:noProof/>
        </w:rPr>
      </w:pPr>
      <w:r w:rsidRPr="009B5734">
        <w:rPr>
          <w:rFonts w:ascii="Times New Roman" w:hAnsi="Times New Roman"/>
          <w:b/>
          <w:i/>
          <w:noProof/>
          <w:sz w:val="24"/>
        </w:rPr>
        <w:t>Manufacturers do not improve the environmental performance of their products</w:t>
      </w:r>
    </w:p>
    <w:p w:rsidR="00EA45F9" w:rsidRPr="009B5734" w:rsidRDefault="00EA45F9" w:rsidP="00EA45F9">
      <w:pPr>
        <w:pStyle w:val="Default"/>
        <w:spacing w:before="120" w:after="120"/>
        <w:ind w:left="0" w:firstLine="0"/>
        <w:rPr>
          <w:noProof/>
          <w:lang w:val="en-GB"/>
        </w:rPr>
      </w:pPr>
      <w:r w:rsidRPr="009B5734">
        <w:rPr>
          <w:noProof/>
          <w:lang w:val="en-GB"/>
        </w:rPr>
        <w:t xml:space="preserve">The fact that consumers cannot compare and choose products </w:t>
      </w:r>
      <w:r w:rsidRPr="009B5734">
        <w:rPr>
          <w:b/>
          <w:noProof/>
          <w:lang w:val="en-GB"/>
        </w:rPr>
        <w:t>based on their environmental sustainability characteristics</w:t>
      </w:r>
      <w:r w:rsidRPr="009B5734">
        <w:rPr>
          <w:noProof/>
          <w:lang w:val="en-GB"/>
        </w:rPr>
        <w:t xml:space="preserve"> leads to manufacturers having fewer incentives to improve the environmental sustainability performance of their products</w:t>
      </w:r>
      <w:r w:rsidRPr="009B5734">
        <w:rPr>
          <w:rStyle w:val="FootnoteReference"/>
          <w:noProof/>
          <w:lang w:val="en-GB"/>
        </w:rPr>
        <w:footnoteReference w:id="281"/>
      </w:r>
      <w:r w:rsidRPr="009B5734">
        <w:rPr>
          <w:noProof/>
          <w:lang w:val="en-GB"/>
        </w:rPr>
        <w:t xml:space="preserve">. </w:t>
      </w:r>
    </w:p>
    <w:p w:rsidR="00EA45F9" w:rsidRPr="009B5734" w:rsidRDefault="00EA45F9" w:rsidP="00EA45F9">
      <w:pPr>
        <w:pStyle w:val="BTNumbList"/>
        <w:rPr>
          <w:rFonts w:ascii="Times New Roman" w:hAnsi="Times New Roman"/>
          <w:noProof/>
          <w:sz w:val="24"/>
        </w:rPr>
      </w:pPr>
      <w:r w:rsidRPr="009B5734">
        <w:rPr>
          <w:rFonts w:ascii="Times New Roman" w:hAnsi="Times New Roman"/>
          <w:noProof/>
          <w:sz w:val="24"/>
        </w:rPr>
        <w:t xml:space="preserve">The </w:t>
      </w:r>
      <w:r w:rsidRPr="009B5734">
        <w:rPr>
          <w:rFonts w:ascii="Times New Roman" w:hAnsi="Times New Roman"/>
          <w:b/>
          <w:noProof/>
          <w:sz w:val="24"/>
        </w:rPr>
        <w:t>market share of goods with longer lifespans is likely to be lower than what it would be if consumers would have information on the lifespan of goods</w:t>
      </w:r>
      <w:r w:rsidRPr="009B5734">
        <w:rPr>
          <w:rStyle w:val="FootnoteReference"/>
          <w:rFonts w:ascii="Times New Roman" w:hAnsi="Times New Roman"/>
          <w:b/>
          <w:noProof/>
          <w:sz w:val="24"/>
        </w:rPr>
        <w:footnoteReference w:id="282"/>
      </w:r>
      <w:r w:rsidRPr="009B5734">
        <w:rPr>
          <w:rFonts w:ascii="Times New Roman" w:hAnsi="Times New Roman"/>
          <w:noProof/>
          <w:sz w:val="24"/>
        </w:rPr>
        <w:t>. A study of the European Parliament</w:t>
      </w:r>
      <w:r w:rsidRPr="009B5734">
        <w:rPr>
          <w:rStyle w:val="FootnoteReference"/>
          <w:rFonts w:ascii="Times New Roman" w:hAnsi="Times New Roman"/>
          <w:noProof/>
          <w:sz w:val="24"/>
        </w:rPr>
        <w:footnoteReference w:id="283"/>
      </w:r>
      <w:r w:rsidRPr="009B5734">
        <w:rPr>
          <w:rFonts w:ascii="Times New Roman" w:hAnsi="Times New Roman"/>
          <w:noProof/>
          <w:sz w:val="24"/>
        </w:rPr>
        <w:t xml:space="preserve"> concludes that providing information on expected and/or guaranteed lifespan can bring net positive impacts to the Single Market, to consumers and to the environment. Furthermore, in a related area, the experience from mandatory EU energy labelling for household appliances also shows how consumer information – when clear and easy to compare - can trigger positive and large-scale market change.</w:t>
      </w:r>
      <w:r w:rsidRPr="009B5734">
        <w:rPr>
          <w:rStyle w:val="FootnoteReference"/>
          <w:rFonts w:ascii="Times New Roman" w:hAnsi="Times New Roman"/>
          <w:noProof/>
          <w:sz w:val="24"/>
        </w:rPr>
        <w:footnoteReference w:id="284"/>
      </w:r>
    </w:p>
    <w:p w:rsidR="00EA45F9" w:rsidRPr="009B5734" w:rsidRDefault="00EA45F9" w:rsidP="00EA45F9">
      <w:pPr>
        <w:pStyle w:val="BTNumbList"/>
        <w:rPr>
          <w:rFonts w:ascii="Times New Roman" w:hAnsi="Times New Roman"/>
          <w:noProof/>
          <w:sz w:val="24"/>
        </w:rPr>
      </w:pPr>
      <w:r w:rsidRPr="009B5734">
        <w:rPr>
          <w:rFonts w:ascii="Times New Roman" w:hAnsi="Times New Roman"/>
          <w:noProof/>
          <w:sz w:val="24"/>
        </w:rPr>
        <w:t>As consumers are not able to take into account the reparability of goods in their decisions, the market share of easy-to-repair goods and, consequently, the demand for repair services are potentially lower than they would be if information on reparability would be available to consumers</w:t>
      </w:r>
      <w:r w:rsidRPr="009B5734">
        <w:rPr>
          <w:rStyle w:val="FootnoteReference"/>
          <w:rFonts w:ascii="Times New Roman" w:hAnsi="Times New Roman"/>
          <w:noProof/>
          <w:sz w:val="24"/>
        </w:rPr>
        <w:footnoteReference w:id="285"/>
      </w:r>
      <w:r w:rsidRPr="009B5734">
        <w:rPr>
          <w:rFonts w:ascii="Times New Roman" w:hAnsi="Times New Roman"/>
          <w:noProof/>
          <w:sz w:val="24"/>
        </w:rPr>
        <w:t xml:space="preserve">. </w:t>
      </w:r>
      <w:r w:rsidRPr="009B5734">
        <w:rPr>
          <w:rFonts w:ascii="Times New Roman" w:hAnsi="Times New Roman"/>
          <w:b/>
          <w:noProof/>
          <w:sz w:val="24"/>
        </w:rPr>
        <w:t>In addition, producers have fewer incentives to improve their commitments regarding availability of repair services, spare parts and repair manuals and their software update/upgrade policies</w:t>
      </w:r>
      <w:r w:rsidRPr="009B5734">
        <w:rPr>
          <w:rFonts w:ascii="Times New Roman" w:hAnsi="Times New Roman"/>
          <w:noProof/>
          <w:sz w:val="24"/>
        </w:rPr>
        <w:t>.</w:t>
      </w:r>
    </w:p>
    <w:p w:rsidR="00EA45F9" w:rsidRPr="009B5734" w:rsidRDefault="00EA45F9" w:rsidP="00EA45F9">
      <w:pPr>
        <w:pStyle w:val="BTNumbList"/>
        <w:rPr>
          <w:b/>
          <w:i/>
          <w:noProof/>
          <w:sz w:val="24"/>
        </w:rPr>
      </w:pPr>
      <w:r w:rsidRPr="009B5734">
        <w:rPr>
          <w:rFonts w:ascii="Times New Roman" w:hAnsi="Times New Roman"/>
          <w:b/>
          <w:i/>
          <w:noProof/>
          <w:sz w:val="24"/>
        </w:rPr>
        <w:t xml:space="preserve">Manufacturers and sellers risk increased compliance costs due to fragmented legislation </w:t>
      </w:r>
    </w:p>
    <w:p w:rsidR="00EA45F9" w:rsidRPr="009B5734" w:rsidRDefault="00EA45F9" w:rsidP="00EA45F9">
      <w:pPr>
        <w:pStyle w:val="Default"/>
        <w:spacing w:before="120" w:after="120"/>
        <w:ind w:left="0" w:firstLine="0"/>
        <w:rPr>
          <w:noProof/>
          <w:lang w:val="en-GB"/>
        </w:rPr>
      </w:pPr>
      <w:r w:rsidRPr="009B5734">
        <w:rPr>
          <w:noProof/>
          <w:lang w:val="en-GB"/>
        </w:rPr>
        <w:t>In the absence of EU-wide harmonised rules to ensure consumers are informed about a product’s environmental sustainability, including its durability or reparability, manufacturers and sellers operating cross-border may also face different legal regimes with which they must comply</w:t>
      </w:r>
      <w:r w:rsidRPr="009B5734">
        <w:rPr>
          <w:rStyle w:val="FootnoteReference"/>
          <w:noProof/>
          <w:lang w:val="en-GB"/>
        </w:rPr>
        <w:footnoteReference w:id="286"/>
      </w:r>
      <w:r w:rsidRPr="009B5734">
        <w:rPr>
          <w:noProof/>
          <w:lang w:val="en-GB"/>
        </w:rPr>
        <w:t xml:space="preserve">, thereby </w:t>
      </w:r>
      <w:r w:rsidRPr="009B5734">
        <w:rPr>
          <w:b/>
          <w:noProof/>
          <w:lang w:val="en-GB"/>
        </w:rPr>
        <w:t>increasing their compliance costs and limiting their ability to compete on a level-playing field</w:t>
      </w:r>
      <w:r w:rsidRPr="009B5734">
        <w:rPr>
          <w:noProof/>
          <w:lang w:val="en-GB"/>
        </w:rPr>
        <w:t xml:space="preserve">. This legal fragmentation also </w:t>
      </w:r>
      <w:r w:rsidRPr="009B5734">
        <w:rPr>
          <w:b/>
          <w:noProof/>
          <w:lang w:val="en-GB"/>
        </w:rPr>
        <w:t xml:space="preserve">prevents an effective and coherent enforcement </w:t>
      </w:r>
      <w:r w:rsidRPr="009B5734">
        <w:rPr>
          <w:noProof/>
          <w:lang w:val="en-GB"/>
        </w:rPr>
        <w:t>of consumer protection across the EU</w:t>
      </w:r>
      <w:r w:rsidRPr="009B5734">
        <w:rPr>
          <w:rStyle w:val="FootnoteReference"/>
          <w:noProof/>
          <w:lang w:val="en-GB"/>
        </w:rPr>
        <w:footnoteReference w:id="287"/>
      </w:r>
      <w:r w:rsidRPr="009B5734">
        <w:rPr>
          <w:noProof/>
          <w:lang w:val="en-GB"/>
        </w:rPr>
        <w:t>.</w:t>
      </w:r>
    </w:p>
    <w:p w:rsidR="00EA45F9" w:rsidRPr="009B5734" w:rsidRDefault="00EA45F9" w:rsidP="00EA45F9">
      <w:pPr>
        <w:pStyle w:val="Default"/>
        <w:spacing w:before="120" w:after="120"/>
        <w:ind w:left="0" w:firstLine="0"/>
        <w:rPr>
          <w:noProof/>
          <w:lang w:val="en-GB"/>
        </w:rPr>
      </w:pPr>
    </w:p>
    <w:p w:rsidR="00EA45F9" w:rsidRPr="009B5734" w:rsidRDefault="00A00208" w:rsidP="00A00208">
      <w:pPr>
        <w:pStyle w:val="Heading4"/>
        <w:rPr>
          <w:noProof/>
        </w:rPr>
      </w:pPr>
      <w:r w:rsidRPr="00A00208">
        <w:t>1.3.</w:t>
      </w:r>
      <w:r w:rsidRPr="00A00208">
        <w:tab/>
      </w:r>
      <w:r w:rsidR="00EA45F9" w:rsidRPr="009B5734">
        <w:rPr>
          <w:noProof/>
        </w:rPr>
        <w:t>Consequences for the environment</w:t>
      </w:r>
    </w:p>
    <w:p w:rsidR="00EA45F9" w:rsidRPr="009B5734" w:rsidRDefault="00EA45F9" w:rsidP="00EA45F9">
      <w:pPr>
        <w:pStyle w:val="BTNumbList"/>
        <w:rPr>
          <w:b/>
          <w:i/>
          <w:noProof/>
        </w:rPr>
      </w:pPr>
      <w:r w:rsidRPr="009B5734">
        <w:rPr>
          <w:rFonts w:ascii="Times New Roman" w:hAnsi="Times New Roman"/>
          <w:b/>
          <w:i/>
          <w:noProof/>
          <w:sz w:val="24"/>
        </w:rPr>
        <w:t>The negative environmental impacts of consumption, including climate impacts, are increased</w:t>
      </w:r>
    </w:p>
    <w:p w:rsidR="00EA45F9" w:rsidRPr="009B5734" w:rsidRDefault="00EA45F9" w:rsidP="00EA45F9">
      <w:pPr>
        <w:pStyle w:val="Default"/>
        <w:spacing w:before="120" w:after="120"/>
        <w:ind w:left="0" w:firstLine="0"/>
        <w:rPr>
          <w:noProof/>
          <w:lang w:val="en-GB"/>
        </w:rPr>
      </w:pPr>
      <w:r w:rsidRPr="009B5734">
        <w:rPr>
          <w:noProof/>
          <w:lang w:val="en-GB"/>
        </w:rPr>
        <w:t xml:space="preserve">This </w:t>
      </w:r>
      <w:r w:rsidR="00D60C0B" w:rsidRPr="009B5734">
        <w:rPr>
          <w:noProof/>
          <w:lang w:val="en-GB"/>
        </w:rPr>
        <w:t>lack of reliable information</w:t>
      </w:r>
      <w:r w:rsidRPr="009B5734">
        <w:rPr>
          <w:noProof/>
          <w:lang w:val="en-GB"/>
        </w:rPr>
        <w:t xml:space="preserve"> on products’ sustainability ultimately leads to </w:t>
      </w:r>
      <w:r w:rsidRPr="009B5734">
        <w:rPr>
          <w:b/>
          <w:noProof/>
          <w:lang w:val="en-GB"/>
        </w:rPr>
        <w:t>negative environmental and climate impacts</w:t>
      </w:r>
      <w:r w:rsidRPr="009B5734">
        <w:rPr>
          <w:noProof/>
          <w:lang w:val="en-GB"/>
        </w:rPr>
        <w:t xml:space="preserve"> of European consumption, as consumers cannot make their consumption choices based on this information. This further leads to negative health, social and economic impacts on consumers. As a result, market shares of more environmentally friendly products are lower than if information on products’ environmental sustainability was available to consumers. </w:t>
      </w:r>
    </w:p>
    <w:p w:rsidR="00EA45F9" w:rsidRPr="009B5734" w:rsidRDefault="00EA45F9" w:rsidP="00EA45F9">
      <w:pPr>
        <w:pStyle w:val="Default"/>
        <w:spacing w:before="120" w:after="120"/>
        <w:ind w:left="0" w:firstLine="0"/>
        <w:rPr>
          <w:noProof/>
          <w:lang w:val="en-GB"/>
        </w:rPr>
      </w:pPr>
      <w:r w:rsidRPr="009B5734">
        <w:rPr>
          <w:noProof/>
          <w:lang w:val="en-GB"/>
        </w:rPr>
        <w:t>For example, rough estimates</w:t>
      </w:r>
      <w:r w:rsidRPr="009B5734">
        <w:rPr>
          <w:rStyle w:val="FootnoteReference"/>
          <w:noProof/>
          <w:lang w:val="en-GB"/>
        </w:rPr>
        <w:footnoteReference w:id="288"/>
      </w:r>
      <w:r w:rsidRPr="009B5734">
        <w:rPr>
          <w:noProof/>
          <w:lang w:val="en-GB"/>
        </w:rPr>
        <w:t xml:space="preserve"> show that in case 5% more environmentally sustainable products were purchased, this would lead to a reduction of CO2 emitted of 1.1 MtCO2e per year (EUR 40 million). In case the demand is shifted towards products that have a </w:t>
      </w:r>
      <w:r w:rsidRPr="009B5734">
        <w:rPr>
          <w:b/>
          <w:noProof/>
          <w:lang w:val="en-GB"/>
        </w:rPr>
        <w:t>longer lifespan of one more year</w:t>
      </w:r>
      <w:r w:rsidRPr="009B5734">
        <w:rPr>
          <w:noProof/>
          <w:lang w:val="en-GB"/>
        </w:rPr>
        <w:t xml:space="preserve">, this would lead to a reduction of CO2 emitted of 1 MtCO2e per year (EUR 34 million). In case the demand is shifted towards products that are </w:t>
      </w:r>
      <w:r w:rsidRPr="009B5734">
        <w:rPr>
          <w:b/>
          <w:noProof/>
          <w:lang w:val="en-GB"/>
        </w:rPr>
        <w:t>easier to repair</w:t>
      </w:r>
      <w:r w:rsidRPr="009B5734">
        <w:rPr>
          <w:noProof/>
          <w:lang w:val="en-GB"/>
        </w:rPr>
        <w:t xml:space="preserve"> (and thus can last one year longer), the estimated impact would be of 0,4 MtCO2e (EUR 13 million). </w:t>
      </w:r>
    </w:p>
    <w:p w:rsidR="00EA45F9" w:rsidRPr="009B5734" w:rsidRDefault="00EA45F9" w:rsidP="00EA45F9">
      <w:pPr>
        <w:pStyle w:val="BTNumbList"/>
        <w:tabs>
          <w:tab w:val="num" w:pos="567"/>
        </w:tabs>
        <w:rPr>
          <w:rFonts w:ascii="Times New Roman" w:hAnsi="Times New Roman"/>
          <w:noProof/>
          <w:sz w:val="24"/>
          <w:lang w:eastAsia="es-ES_tradnl"/>
        </w:rPr>
      </w:pPr>
    </w:p>
    <w:p w:rsidR="00EA45F9" w:rsidRPr="009B5734" w:rsidRDefault="00A00208" w:rsidP="00A00208">
      <w:pPr>
        <w:pStyle w:val="Heading2"/>
        <w:rPr>
          <w:noProof/>
          <w:szCs w:val="24"/>
        </w:rPr>
      </w:pPr>
      <w:bookmarkStart w:id="827" w:name="_Toc77844278"/>
      <w:bookmarkStart w:id="828" w:name="_Toc86391781"/>
      <w:r w:rsidRPr="00A00208">
        <w:t>2.</w:t>
      </w:r>
      <w:r w:rsidRPr="00A00208">
        <w:tab/>
      </w:r>
      <w:r w:rsidR="00EA45F9" w:rsidRPr="009B5734">
        <w:rPr>
          <w:noProof/>
        </w:rPr>
        <w:t>Consequences of Problem 2</w:t>
      </w:r>
      <w:bookmarkEnd w:id="827"/>
      <w:bookmarkEnd w:id="828"/>
    </w:p>
    <w:p w:rsidR="00EA45F9" w:rsidRPr="009B5734" w:rsidRDefault="00A00208" w:rsidP="00A00208">
      <w:pPr>
        <w:pStyle w:val="Heading4"/>
        <w:rPr>
          <w:noProof/>
        </w:rPr>
      </w:pPr>
      <w:r w:rsidRPr="00A00208">
        <w:t>2.1.</w:t>
      </w:r>
      <w:r w:rsidRPr="00A00208">
        <w:tab/>
      </w:r>
      <w:r w:rsidR="00EA45F9" w:rsidRPr="009B5734">
        <w:rPr>
          <w:noProof/>
        </w:rPr>
        <w:t>Consequences for consumers</w:t>
      </w:r>
    </w:p>
    <w:p w:rsidR="00EA45F9" w:rsidRPr="009B5734" w:rsidRDefault="00EA45F9" w:rsidP="00EA45F9">
      <w:pPr>
        <w:pStyle w:val="BTBullet1Last"/>
        <w:tabs>
          <w:tab w:val="clear" w:pos="1191"/>
          <w:tab w:val="left" w:pos="708"/>
        </w:tabs>
        <w:ind w:left="0" w:firstLine="0"/>
        <w:rPr>
          <w:rFonts w:ascii="Times New Roman" w:hAnsi="Times New Roman"/>
          <w:b/>
          <w:i/>
          <w:noProof/>
          <w:sz w:val="24"/>
        </w:rPr>
      </w:pPr>
      <w:r w:rsidRPr="009B5734">
        <w:rPr>
          <w:rFonts w:ascii="Times New Roman" w:hAnsi="Times New Roman"/>
          <w:b/>
          <w:i/>
          <w:noProof/>
          <w:sz w:val="24"/>
        </w:rPr>
        <w:t>Consumers face detriment and make sub-optimal choices</w:t>
      </w:r>
    </w:p>
    <w:p w:rsidR="00EA45F9" w:rsidRPr="009B5734" w:rsidRDefault="00EA45F9" w:rsidP="00EA45F9">
      <w:pPr>
        <w:pStyle w:val="BTBullet1Last"/>
        <w:tabs>
          <w:tab w:val="clear" w:pos="1191"/>
          <w:tab w:val="left" w:pos="708"/>
        </w:tabs>
        <w:ind w:left="0" w:firstLine="0"/>
        <w:rPr>
          <w:noProof/>
        </w:rPr>
      </w:pPr>
      <w:r w:rsidRPr="009B5734">
        <w:rPr>
          <w:rFonts w:ascii="Times New Roman" w:hAnsi="Times New Roman"/>
          <w:noProof/>
          <w:sz w:val="24"/>
        </w:rPr>
        <w:t xml:space="preserve">While consumers may replace some goods before the end of their lifespan (sometimes exacerbated by marketing campaigns leading consumers to perceive existing products as out-of-date), some recent </w:t>
      </w:r>
      <w:r w:rsidRPr="009B5734">
        <w:rPr>
          <w:rFonts w:ascii="Times New Roman" w:hAnsi="Times New Roman"/>
          <w:b/>
          <w:noProof/>
          <w:sz w:val="24"/>
        </w:rPr>
        <w:t>studies suggest that consumers would like their goods to last longer than they currently do</w:t>
      </w:r>
      <w:r w:rsidRPr="009B5734">
        <w:rPr>
          <w:rStyle w:val="FootnoteReference"/>
          <w:rFonts w:ascii="Times New Roman" w:hAnsi="Times New Roman"/>
          <w:noProof/>
          <w:sz w:val="24"/>
        </w:rPr>
        <w:footnoteReference w:id="289"/>
      </w:r>
      <w:r w:rsidRPr="009B5734">
        <w:rPr>
          <w:rFonts w:ascii="Times New Roman" w:hAnsi="Times New Roman"/>
          <w:noProof/>
          <w:sz w:val="24"/>
          <w:vertAlign w:val="superscript"/>
        </w:rPr>
        <w:t>,</w:t>
      </w:r>
      <w:r w:rsidRPr="009B5734">
        <w:rPr>
          <w:rStyle w:val="FootnoteReference"/>
          <w:rFonts w:ascii="Times New Roman" w:hAnsi="Times New Roman"/>
          <w:noProof/>
          <w:sz w:val="24"/>
        </w:rPr>
        <w:footnoteReference w:id="290"/>
      </w:r>
      <w:r w:rsidRPr="009B5734">
        <w:rPr>
          <w:rFonts w:ascii="Times New Roman" w:hAnsi="Times New Roman"/>
          <w:noProof/>
          <w:sz w:val="24"/>
        </w:rPr>
        <w:t>.</w:t>
      </w:r>
      <w:r w:rsidRPr="009B5734">
        <w:rPr>
          <w:rFonts w:ascii="Times New Roman" w:hAnsi="Times New Roman"/>
          <w:b/>
          <w:bCs/>
          <w:noProof/>
          <w:sz w:val="24"/>
        </w:rPr>
        <w:t xml:space="preserve"> </w:t>
      </w:r>
      <w:r w:rsidRPr="009B5734">
        <w:rPr>
          <w:rFonts w:ascii="Times New Roman" w:hAnsi="Times New Roman"/>
          <w:b/>
          <w:noProof/>
          <w:sz w:val="24"/>
        </w:rPr>
        <w:t>Consumers face additional costs</w:t>
      </w:r>
      <w:r w:rsidRPr="009B5734">
        <w:rPr>
          <w:rFonts w:ascii="Times New Roman" w:hAnsi="Times New Roman"/>
          <w:noProof/>
          <w:sz w:val="24"/>
        </w:rPr>
        <w:t xml:space="preserve"> related to the need to repair and/or replace the goods earlier than they could reasonably expect when they purchased the good</w:t>
      </w:r>
      <w:r w:rsidRPr="009B5734">
        <w:rPr>
          <w:rStyle w:val="FootnoteReference"/>
          <w:rFonts w:ascii="Times New Roman" w:hAnsi="Times New Roman"/>
          <w:noProof/>
          <w:sz w:val="24"/>
        </w:rPr>
        <w:footnoteReference w:id="291"/>
      </w:r>
      <w:r w:rsidRPr="009B5734">
        <w:rPr>
          <w:rFonts w:ascii="Times New Roman" w:hAnsi="Times New Roman"/>
          <w:noProof/>
          <w:sz w:val="24"/>
          <w:vertAlign w:val="superscript"/>
        </w:rPr>
        <w:t>,</w:t>
      </w:r>
      <w:r w:rsidRPr="009B5734">
        <w:rPr>
          <w:rStyle w:val="FootnoteReference"/>
          <w:rFonts w:ascii="Times New Roman" w:hAnsi="Times New Roman"/>
          <w:noProof/>
          <w:sz w:val="24"/>
        </w:rPr>
        <w:footnoteReference w:id="292"/>
      </w:r>
      <w:r w:rsidRPr="009B5734">
        <w:rPr>
          <w:noProof/>
        </w:rPr>
        <w:t xml:space="preserve">. </w:t>
      </w:r>
    </w:p>
    <w:p w:rsidR="00EA45F9" w:rsidRPr="009B5734" w:rsidRDefault="00EA45F9" w:rsidP="00EA45F9">
      <w:pPr>
        <w:pStyle w:val="BTBullet1Last"/>
        <w:tabs>
          <w:tab w:val="clear" w:pos="1191"/>
        </w:tabs>
        <w:ind w:left="0" w:firstLine="0"/>
        <w:rPr>
          <w:rFonts w:ascii="Times New Roman" w:hAnsi="Times New Roman"/>
          <w:noProof/>
          <w:sz w:val="24"/>
        </w:rPr>
      </w:pPr>
      <w:r w:rsidRPr="009B5734">
        <w:rPr>
          <w:rFonts w:ascii="Times New Roman" w:hAnsi="Times New Roman"/>
          <w:noProof/>
          <w:sz w:val="24"/>
        </w:rPr>
        <w:t xml:space="preserve">Moreover, consumers may choose a product over other alternatives based </w:t>
      </w:r>
      <w:r w:rsidRPr="009B5734">
        <w:rPr>
          <w:rFonts w:ascii="Times New Roman" w:hAnsi="Times New Roman"/>
          <w:b/>
          <w:noProof/>
          <w:sz w:val="24"/>
        </w:rPr>
        <w:t>on misleading claims</w:t>
      </w:r>
      <w:r w:rsidRPr="009B5734">
        <w:rPr>
          <w:rFonts w:ascii="Times New Roman" w:hAnsi="Times New Roman"/>
          <w:noProof/>
          <w:sz w:val="24"/>
        </w:rPr>
        <w:t xml:space="preserve">, sometimes paying a premium in order to buy a supposedly more environmentally friendly product. Thus, greenwashing affects all consumers that purchase “green products” some of which even pay a premium, i.e., 26% to 40% of consumers or 74-150 million consumers. </w:t>
      </w:r>
    </w:p>
    <w:p w:rsidR="00EA45F9" w:rsidRPr="009B5734" w:rsidRDefault="00EA45F9">
      <w:pPr>
        <w:pStyle w:val="BTBullet1Last"/>
        <w:tabs>
          <w:tab w:val="clear" w:pos="1191"/>
        </w:tabs>
        <w:ind w:left="0" w:firstLine="0"/>
        <w:rPr>
          <w:rFonts w:ascii="Times New Roman" w:hAnsi="Times New Roman"/>
          <w:noProof/>
          <w:sz w:val="24"/>
        </w:rPr>
      </w:pPr>
      <w:r w:rsidRPr="7F52AB9A">
        <w:rPr>
          <w:rFonts w:ascii="Times New Roman" w:hAnsi="Times New Roman"/>
          <w:noProof/>
          <w:sz w:val="24"/>
        </w:rPr>
        <w:t xml:space="preserve">Similarly, </w:t>
      </w:r>
      <w:r w:rsidRPr="7F52AB9A">
        <w:rPr>
          <w:rFonts w:ascii="Times New Roman" w:hAnsi="Times New Roman"/>
          <w:b/>
          <w:bCs/>
          <w:noProof/>
          <w:sz w:val="24"/>
        </w:rPr>
        <w:t>non-transparent and non-credible sustainability labels</w:t>
      </w:r>
      <w:r w:rsidRPr="7F52AB9A">
        <w:rPr>
          <w:rFonts w:ascii="Times New Roman" w:hAnsi="Times New Roman"/>
          <w:noProof/>
          <w:sz w:val="24"/>
        </w:rPr>
        <w:t xml:space="preserve"> can harm consumers because they purchase products based on the assumption that all labels are credible when they are not</w:t>
      </w:r>
      <w:r w:rsidRPr="7F52AB9A">
        <w:rPr>
          <w:rStyle w:val="FootnoteReference"/>
          <w:rFonts w:ascii="Times New Roman" w:hAnsi="Times New Roman"/>
          <w:noProof/>
          <w:sz w:val="24"/>
        </w:rPr>
        <w:footnoteReference w:id="293"/>
      </w:r>
      <w:r w:rsidRPr="7F52AB9A">
        <w:rPr>
          <w:rFonts w:ascii="Times New Roman" w:hAnsi="Times New Roman"/>
          <w:noProof/>
          <w:sz w:val="24"/>
        </w:rPr>
        <w:t xml:space="preserve">. However, the extent to which this affects consumers (and notably those wishing to purchase more sustainable products and ready to pay a premium) is difficult to quantify given the variety of labels. </w:t>
      </w:r>
    </w:p>
    <w:p w:rsidR="00EA45F9" w:rsidRPr="009B5734" w:rsidRDefault="00EA45F9" w:rsidP="00EA45F9">
      <w:pPr>
        <w:pStyle w:val="Default"/>
        <w:spacing w:before="120" w:after="120"/>
        <w:ind w:left="0" w:firstLine="0"/>
        <w:rPr>
          <w:i/>
          <w:noProof/>
          <w:sz w:val="20"/>
          <w:szCs w:val="20"/>
          <w:lang w:val="en-GB"/>
        </w:rPr>
      </w:pPr>
    </w:p>
    <w:p w:rsidR="00EA45F9" w:rsidRPr="009B5734" w:rsidRDefault="00EA45F9" w:rsidP="00EA45F9">
      <w:pPr>
        <w:pStyle w:val="BTBullet1Last"/>
        <w:tabs>
          <w:tab w:val="clear" w:pos="1191"/>
          <w:tab w:val="left" w:pos="708"/>
        </w:tabs>
        <w:ind w:left="0" w:firstLine="0"/>
        <w:rPr>
          <w:rFonts w:ascii="Times New Roman" w:hAnsi="Times New Roman"/>
          <w:b/>
          <w:i/>
          <w:noProof/>
          <w:sz w:val="24"/>
        </w:rPr>
      </w:pPr>
      <w:r w:rsidRPr="009B5734">
        <w:rPr>
          <w:rFonts w:ascii="Times New Roman" w:hAnsi="Times New Roman"/>
          <w:b/>
          <w:i/>
          <w:noProof/>
          <w:sz w:val="24"/>
        </w:rPr>
        <w:t>Consumers do not trust the sustainability information provided to them</w:t>
      </w:r>
    </w:p>
    <w:p w:rsidR="00EA45F9" w:rsidRPr="009B5734" w:rsidRDefault="00EA45F9" w:rsidP="00EA45F9">
      <w:pPr>
        <w:pStyle w:val="BTNumbList"/>
        <w:rPr>
          <w:rFonts w:ascii="Times New Roman" w:hAnsi="Times New Roman"/>
          <w:noProof/>
          <w:sz w:val="24"/>
        </w:rPr>
      </w:pPr>
      <w:r w:rsidRPr="009B5734">
        <w:rPr>
          <w:rFonts w:ascii="Times New Roman" w:hAnsi="Times New Roman"/>
          <w:noProof/>
          <w:sz w:val="24"/>
        </w:rPr>
        <w:t xml:space="preserve">Evidence shows that </w:t>
      </w:r>
      <w:r w:rsidRPr="009B5734">
        <w:rPr>
          <w:rFonts w:ascii="Times New Roman" w:hAnsi="Times New Roman"/>
          <w:b/>
          <w:noProof/>
          <w:sz w:val="24"/>
        </w:rPr>
        <w:t>consumers are increasingly confused about green claims.</w:t>
      </w:r>
      <w:r w:rsidRPr="009B5734">
        <w:rPr>
          <w:rFonts w:ascii="Times New Roman" w:hAnsi="Times New Roman"/>
          <w:noProof/>
          <w:sz w:val="24"/>
        </w:rPr>
        <w:t xml:space="preserve">  61% of consumers state that they find it difficult to understand which products are truly environmentally friendly, and 44% indicate that they </w:t>
      </w:r>
      <w:r w:rsidRPr="009B5734">
        <w:rPr>
          <w:rStyle w:val="Strong"/>
          <w:rFonts w:ascii="Times New Roman" w:hAnsi="Times New Roman"/>
          <w:noProof/>
          <w:sz w:val="24"/>
        </w:rPr>
        <w:t xml:space="preserve">do not trust </w:t>
      </w:r>
      <w:r w:rsidRPr="009B5734">
        <w:rPr>
          <w:rFonts w:ascii="Times New Roman" w:hAnsi="Times New Roman"/>
          <w:noProof/>
          <w:sz w:val="24"/>
        </w:rPr>
        <w:t>this type of information</w:t>
      </w:r>
      <w:r w:rsidRPr="009B5734">
        <w:rPr>
          <w:rStyle w:val="FootnoteReference"/>
          <w:rFonts w:ascii="Times New Roman" w:hAnsi="Times New Roman"/>
          <w:noProof/>
          <w:sz w:val="24"/>
        </w:rPr>
        <w:footnoteReference w:id="294"/>
      </w:r>
      <w:r w:rsidRPr="009B5734">
        <w:rPr>
          <w:rFonts w:ascii="Times New Roman" w:hAnsi="Times New Roman"/>
          <w:noProof/>
          <w:sz w:val="24"/>
        </w:rPr>
        <w:t>. Furthermore, trust in environmental claims is decreasing</w:t>
      </w:r>
      <w:r w:rsidRPr="009B5734">
        <w:rPr>
          <w:rStyle w:val="FootnoteReference"/>
          <w:rFonts w:ascii="Times New Roman" w:hAnsi="Times New Roman"/>
          <w:noProof/>
          <w:sz w:val="24"/>
        </w:rPr>
        <w:footnoteReference w:id="295"/>
      </w:r>
      <w:r w:rsidRPr="009B5734">
        <w:rPr>
          <w:rFonts w:ascii="Times New Roman" w:hAnsi="Times New Roman"/>
          <w:noProof/>
          <w:sz w:val="24"/>
        </w:rPr>
        <w:t>. Surveys</w:t>
      </w:r>
      <w:r w:rsidRPr="009B5734">
        <w:rPr>
          <w:rStyle w:val="FootnoteReference"/>
          <w:rFonts w:ascii="Times New Roman" w:hAnsi="Times New Roman"/>
          <w:noProof/>
          <w:sz w:val="24"/>
        </w:rPr>
        <w:footnoteReference w:id="296"/>
      </w:r>
      <w:r w:rsidRPr="009B5734">
        <w:rPr>
          <w:rFonts w:ascii="Times New Roman" w:hAnsi="Times New Roman"/>
          <w:noProof/>
          <w:sz w:val="24"/>
        </w:rPr>
        <w:t xml:space="preserve"> show that while 75% of EU consumers indicated they would buy green products, only 17% had actually done this in the month prior to the survey. This was because of a lack of trust in the environmental information provided by producers and retailers, among other reasons. </w:t>
      </w:r>
    </w:p>
    <w:p w:rsidR="00EA45F9" w:rsidRPr="009B5734" w:rsidRDefault="00EA45F9" w:rsidP="00EA45F9">
      <w:pPr>
        <w:pStyle w:val="BTNumbList"/>
        <w:rPr>
          <w:rFonts w:ascii="Times New Roman" w:hAnsi="Times New Roman"/>
          <w:noProof/>
          <w:sz w:val="24"/>
        </w:rPr>
      </w:pPr>
      <w:r w:rsidRPr="009B5734">
        <w:rPr>
          <w:rFonts w:ascii="Times New Roman" w:hAnsi="Times New Roman"/>
          <w:noProof/>
          <w:sz w:val="24"/>
        </w:rPr>
        <w:t xml:space="preserve">Consumers also </w:t>
      </w:r>
      <w:r w:rsidRPr="009B5734">
        <w:rPr>
          <w:rFonts w:ascii="Times New Roman" w:hAnsi="Times New Roman"/>
          <w:b/>
          <w:noProof/>
          <w:sz w:val="24"/>
        </w:rPr>
        <w:t>appear unable to understand the meaning of sustainability labels</w:t>
      </w:r>
      <w:r w:rsidRPr="009B5734">
        <w:rPr>
          <w:rFonts w:ascii="Times New Roman" w:hAnsi="Times New Roman"/>
          <w:noProof/>
          <w:sz w:val="24"/>
        </w:rPr>
        <w:t>, and make no distinction between non-certified (self-declarations) and third-party certified labels</w:t>
      </w:r>
      <w:r w:rsidRPr="009B5734">
        <w:rPr>
          <w:rStyle w:val="FootnoteReference"/>
          <w:rFonts w:ascii="Times New Roman" w:hAnsi="Times New Roman"/>
          <w:noProof/>
          <w:sz w:val="24"/>
        </w:rPr>
        <w:footnoteReference w:id="297"/>
      </w:r>
      <w:r w:rsidRPr="009B5734">
        <w:rPr>
          <w:rFonts w:ascii="Times New Roman" w:hAnsi="Times New Roman"/>
          <w:noProof/>
          <w:sz w:val="24"/>
        </w:rPr>
        <w:t xml:space="preserve">. The proliferation of sustainability labels and their lack of transparency, reliability or comprehensibility was considered as an obstacle to more sustainable consumption behaviour by 27% of the respondents to the OPC. </w:t>
      </w:r>
    </w:p>
    <w:p w:rsidR="00EA45F9" w:rsidRPr="009B5734" w:rsidRDefault="00EA45F9" w:rsidP="00EA45F9">
      <w:pPr>
        <w:pStyle w:val="BTNumbList"/>
        <w:rPr>
          <w:rFonts w:ascii="Times New Roman" w:hAnsi="Times New Roman"/>
          <w:noProof/>
          <w:sz w:val="24"/>
        </w:rPr>
      </w:pPr>
    </w:p>
    <w:p w:rsidR="00EA45F9" w:rsidRPr="009B5734" w:rsidRDefault="00A00208" w:rsidP="00A00208">
      <w:pPr>
        <w:pStyle w:val="Heading4"/>
        <w:rPr>
          <w:noProof/>
        </w:rPr>
      </w:pPr>
      <w:r w:rsidRPr="00A00208">
        <w:t>2.2.</w:t>
      </w:r>
      <w:r w:rsidRPr="00A00208">
        <w:tab/>
      </w:r>
      <w:r w:rsidR="00EA45F9" w:rsidRPr="009B5734">
        <w:rPr>
          <w:noProof/>
        </w:rPr>
        <w:t>Consequences for the market</w:t>
      </w:r>
    </w:p>
    <w:p w:rsidR="00EA45F9" w:rsidRPr="009B5734" w:rsidRDefault="00EA45F9" w:rsidP="00EA45F9">
      <w:pPr>
        <w:pStyle w:val="BTBullet1Last"/>
        <w:tabs>
          <w:tab w:val="clear" w:pos="1191"/>
          <w:tab w:val="left" w:pos="708"/>
        </w:tabs>
        <w:ind w:left="0" w:firstLine="0"/>
        <w:rPr>
          <w:rFonts w:ascii="Times New Roman" w:hAnsi="Times New Roman"/>
          <w:b/>
          <w:i/>
          <w:noProof/>
          <w:sz w:val="24"/>
        </w:rPr>
      </w:pPr>
      <w:r w:rsidRPr="009B5734">
        <w:rPr>
          <w:rFonts w:ascii="Times New Roman" w:hAnsi="Times New Roman"/>
          <w:b/>
          <w:i/>
          <w:noProof/>
          <w:sz w:val="24"/>
        </w:rPr>
        <w:t>Uneven level playing field between companies (e.g. between manufacturers and between sellers)</w:t>
      </w:r>
    </w:p>
    <w:p w:rsidR="00EA45F9" w:rsidRPr="009B5734" w:rsidRDefault="00EA45F9" w:rsidP="00EA45F9">
      <w:pPr>
        <w:pStyle w:val="BTBullet1Last"/>
        <w:tabs>
          <w:tab w:val="clear" w:pos="1191"/>
          <w:tab w:val="left" w:pos="708"/>
        </w:tabs>
        <w:ind w:left="0" w:firstLine="0"/>
        <w:rPr>
          <w:rFonts w:ascii="Times New Roman" w:hAnsi="Times New Roman"/>
          <w:noProof/>
          <w:sz w:val="24"/>
        </w:rPr>
      </w:pPr>
      <w:r w:rsidRPr="009B5734">
        <w:rPr>
          <w:rFonts w:ascii="Times New Roman" w:hAnsi="Times New Roman"/>
          <w:noProof/>
          <w:sz w:val="24"/>
        </w:rPr>
        <w:t xml:space="preserve">Unfair practices and imperfect information to consumers will harm the Single Market, as </w:t>
      </w:r>
      <w:r w:rsidRPr="009B5734">
        <w:rPr>
          <w:rFonts w:ascii="Times New Roman" w:hAnsi="Times New Roman"/>
          <w:b/>
          <w:noProof/>
          <w:sz w:val="24"/>
        </w:rPr>
        <w:t>goods with a shorter lifespan may be cheaper to produce and are therefore competing with other goods in price</w:t>
      </w:r>
      <w:r w:rsidRPr="009B5734">
        <w:rPr>
          <w:rFonts w:ascii="Times New Roman" w:hAnsi="Times New Roman"/>
          <w:noProof/>
          <w:sz w:val="24"/>
        </w:rPr>
        <w:t xml:space="preserve">, as consumers are not aware of the differences in the lifespan of goods. </w:t>
      </w:r>
    </w:p>
    <w:p w:rsidR="00EA45F9" w:rsidRPr="009B5734" w:rsidRDefault="00EA45F9" w:rsidP="00EA45F9">
      <w:pPr>
        <w:pStyle w:val="BTNumbList"/>
        <w:rPr>
          <w:rFonts w:ascii="Times New Roman" w:hAnsi="Times New Roman"/>
          <w:noProof/>
          <w:sz w:val="24"/>
        </w:rPr>
      </w:pPr>
      <w:r w:rsidRPr="009B5734">
        <w:rPr>
          <w:rFonts w:ascii="Times New Roman" w:hAnsi="Times New Roman"/>
          <w:b/>
          <w:noProof/>
          <w:sz w:val="24"/>
        </w:rPr>
        <w:t>Greenwashing also</w:t>
      </w:r>
      <w:r w:rsidRPr="009B5734">
        <w:rPr>
          <w:rFonts w:ascii="Times New Roman" w:hAnsi="Times New Roman"/>
          <w:noProof/>
          <w:sz w:val="24"/>
        </w:rPr>
        <w:t xml:space="preserve"> </w:t>
      </w:r>
      <w:r w:rsidRPr="009B5734">
        <w:rPr>
          <w:rFonts w:ascii="Times New Roman" w:hAnsi="Times New Roman"/>
          <w:b/>
          <w:noProof/>
          <w:sz w:val="24"/>
        </w:rPr>
        <w:t xml:space="preserve">harms the functioning of the Single Market </w:t>
      </w:r>
      <w:r w:rsidRPr="009B5734">
        <w:rPr>
          <w:rFonts w:ascii="Times New Roman" w:hAnsi="Times New Roman"/>
          <w:noProof/>
          <w:sz w:val="24"/>
        </w:rPr>
        <w:t>as it allows products and companies to gain an unfair advantage</w:t>
      </w:r>
      <w:r w:rsidRPr="009B5734">
        <w:rPr>
          <w:rFonts w:ascii="Times New Roman" w:hAnsi="Times New Roman"/>
          <w:b/>
          <w:noProof/>
          <w:sz w:val="24"/>
        </w:rPr>
        <w:t xml:space="preserve"> </w:t>
      </w:r>
      <w:r w:rsidRPr="009B5734">
        <w:rPr>
          <w:rFonts w:ascii="Times New Roman" w:hAnsi="Times New Roman"/>
          <w:noProof/>
          <w:sz w:val="24"/>
        </w:rPr>
        <w:t>over their competitors through the provision of unfounded or misleading information. As about 35% of companies undertake a life-cycle assessment study to assess the environmental impacts of (some of) their products</w:t>
      </w:r>
      <w:r w:rsidRPr="009B5734">
        <w:rPr>
          <w:rStyle w:val="FootnoteReference"/>
          <w:rFonts w:ascii="Times New Roman" w:hAnsi="Times New Roman"/>
          <w:noProof/>
        </w:rPr>
        <w:footnoteReference w:id="298"/>
      </w:r>
      <w:r w:rsidRPr="009B5734">
        <w:rPr>
          <w:rFonts w:ascii="Times New Roman" w:hAnsi="Times New Roman"/>
          <w:noProof/>
        </w:rPr>
        <w:t>,</w:t>
      </w:r>
      <w:r w:rsidRPr="009B5734">
        <w:rPr>
          <w:rFonts w:ascii="Times New Roman" w:hAnsi="Times New Roman"/>
          <w:noProof/>
          <w:sz w:val="24"/>
        </w:rPr>
        <w:t xml:space="preserve"> it may be assumed that at least these companies are faced with unfair practices from those which provide false or misleading information without any justifications. Greenwashing practices can also further stimulate the import and production of unsustainable products through supply chains in third-countries where lower environmental or consumer protection rules would apply. It will also drive unsustainable business practices of companies in the Single Market.</w:t>
      </w:r>
    </w:p>
    <w:p w:rsidR="00EA45F9" w:rsidRPr="009B5734" w:rsidRDefault="00EA45F9" w:rsidP="00EA45F9">
      <w:pPr>
        <w:pStyle w:val="BTNumbList"/>
        <w:rPr>
          <w:rFonts w:ascii="Times New Roman" w:hAnsi="Times New Roman"/>
          <w:b/>
          <w:i/>
          <w:noProof/>
          <w:sz w:val="24"/>
        </w:rPr>
      </w:pPr>
      <w:r w:rsidRPr="009B5734">
        <w:rPr>
          <w:rFonts w:ascii="Times New Roman" w:hAnsi="Times New Roman"/>
          <w:b/>
          <w:i/>
          <w:noProof/>
          <w:sz w:val="24"/>
        </w:rPr>
        <w:t>Risks of increased compliance costs for manufacturers and sellers due to fragmented legislation and proliferation of labels</w:t>
      </w:r>
    </w:p>
    <w:p w:rsidR="00EA45F9" w:rsidRPr="009B5734" w:rsidRDefault="00EA45F9" w:rsidP="00EA45F9">
      <w:pPr>
        <w:pStyle w:val="BTNumbList"/>
        <w:rPr>
          <w:rFonts w:ascii="Times New Roman" w:hAnsi="Times New Roman"/>
          <w:noProof/>
          <w:sz w:val="24"/>
        </w:rPr>
      </w:pPr>
      <w:r w:rsidRPr="009B5734">
        <w:rPr>
          <w:rFonts w:ascii="Times New Roman" w:hAnsi="Times New Roman"/>
          <w:noProof/>
          <w:sz w:val="24"/>
        </w:rPr>
        <w:t xml:space="preserve">The multitude of labelling schemes also means that companies often </w:t>
      </w:r>
      <w:r w:rsidRPr="009B5734">
        <w:rPr>
          <w:rFonts w:ascii="Times New Roman" w:hAnsi="Times New Roman"/>
          <w:b/>
          <w:noProof/>
          <w:sz w:val="24"/>
        </w:rPr>
        <w:t xml:space="preserve">adhere to more than one scheme and thus incur additional costs. </w:t>
      </w:r>
      <w:r w:rsidRPr="009B5734">
        <w:rPr>
          <w:rFonts w:ascii="Times New Roman" w:hAnsi="Times New Roman"/>
          <w:noProof/>
          <w:sz w:val="24"/>
        </w:rPr>
        <w:t>22% of sellers consulted in a 2019 study used at least three sustainability standards or codes for sourcing sustainable products</w:t>
      </w:r>
      <w:r w:rsidRPr="009B5734">
        <w:rPr>
          <w:rStyle w:val="FootnoteReference"/>
          <w:rFonts w:ascii="Times New Roman" w:hAnsi="Times New Roman"/>
          <w:noProof/>
          <w:sz w:val="24"/>
        </w:rPr>
        <w:footnoteReference w:id="299"/>
      </w:r>
      <w:r w:rsidRPr="009B5734">
        <w:rPr>
          <w:rFonts w:ascii="Times New Roman" w:hAnsi="Times New Roman"/>
          <w:noProof/>
          <w:sz w:val="24"/>
        </w:rPr>
        <w:t xml:space="preserve">. This may explain why, out of all the problems looked at in this Impact Assessment, the proliferation of labels was considered the most problematic for businesses in the OPC. In addition to the impact on costs, the </w:t>
      </w:r>
      <w:r w:rsidRPr="009B5734">
        <w:rPr>
          <w:rFonts w:ascii="Times New Roman" w:hAnsi="Times New Roman"/>
          <w:b/>
          <w:noProof/>
          <w:sz w:val="24"/>
        </w:rPr>
        <w:t>lack of harmonisation of rules can also become a barrier</w:t>
      </w:r>
      <w:r w:rsidRPr="009B5734">
        <w:rPr>
          <w:rFonts w:ascii="Times New Roman" w:hAnsi="Times New Roman"/>
          <w:noProof/>
          <w:sz w:val="24"/>
        </w:rPr>
        <w:t xml:space="preserve"> for companies to sell their goods and services in other markets (where different rules may exist), thus hindering the Single Market. </w:t>
      </w:r>
    </w:p>
    <w:p w:rsidR="00EA45F9" w:rsidRPr="009B5734" w:rsidRDefault="00EA45F9" w:rsidP="00EA45F9">
      <w:pPr>
        <w:pStyle w:val="BTNumbList"/>
        <w:rPr>
          <w:rFonts w:ascii="Times New Roman" w:hAnsi="Times New Roman"/>
          <w:noProof/>
          <w:sz w:val="24"/>
        </w:rPr>
      </w:pPr>
      <w:r w:rsidRPr="009B5734">
        <w:rPr>
          <w:rFonts w:ascii="Times New Roman" w:hAnsi="Times New Roman"/>
          <w:noProof/>
          <w:sz w:val="24"/>
        </w:rPr>
        <w:t>Furthermore, ass some Member States are enacting specific legislation to address early obsolescence, companies wishing to be active in those Member States face increased compliance costs</w:t>
      </w:r>
      <w:r w:rsidRPr="009B5734">
        <w:rPr>
          <w:rStyle w:val="FootnoteReference"/>
          <w:rFonts w:ascii="Times New Roman" w:hAnsi="Times New Roman"/>
          <w:noProof/>
          <w:sz w:val="24"/>
        </w:rPr>
        <w:footnoteReference w:id="300"/>
      </w:r>
      <w:r w:rsidRPr="009B5734">
        <w:rPr>
          <w:rFonts w:ascii="Times New Roman" w:hAnsi="Times New Roman"/>
          <w:noProof/>
          <w:sz w:val="24"/>
        </w:rPr>
        <w:t xml:space="preserve">.  </w:t>
      </w:r>
    </w:p>
    <w:p w:rsidR="00EA45F9" w:rsidRPr="009B5734" w:rsidRDefault="00EA45F9" w:rsidP="00EA45F9">
      <w:pPr>
        <w:pStyle w:val="BTNumbList"/>
        <w:rPr>
          <w:rFonts w:ascii="Times New Roman" w:hAnsi="Times New Roman"/>
          <w:noProof/>
          <w:sz w:val="24"/>
        </w:rPr>
      </w:pPr>
    </w:p>
    <w:p w:rsidR="00EA45F9" w:rsidRPr="009B5734" w:rsidRDefault="00A00208" w:rsidP="00A00208">
      <w:pPr>
        <w:pStyle w:val="Heading4"/>
        <w:rPr>
          <w:noProof/>
        </w:rPr>
      </w:pPr>
      <w:r w:rsidRPr="00A00208">
        <w:t>2.3.</w:t>
      </w:r>
      <w:r w:rsidRPr="00A00208">
        <w:tab/>
      </w:r>
      <w:r w:rsidR="00EA45F9" w:rsidRPr="009B5734">
        <w:rPr>
          <w:noProof/>
        </w:rPr>
        <w:t>Consequences for the environment</w:t>
      </w:r>
    </w:p>
    <w:p w:rsidR="00EA45F9" w:rsidRPr="009B5734" w:rsidRDefault="00EA45F9" w:rsidP="00EA45F9">
      <w:pPr>
        <w:tabs>
          <w:tab w:val="left" w:pos="708"/>
        </w:tabs>
        <w:spacing w:after="120"/>
        <w:ind w:left="0" w:firstLine="0"/>
        <w:rPr>
          <w:rFonts w:ascii="Times New Roman" w:hAnsi="Times New Roman"/>
          <w:noProof/>
          <w:sz w:val="24"/>
        </w:rPr>
      </w:pPr>
      <w:r w:rsidRPr="009B5734">
        <w:rPr>
          <w:rFonts w:ascii="Times New Roman" w:hAnsi="Times New Roman"/>
          <w:noProof/>
          <w:sz w:val="24"/>
        </w:rPr>
        <w:t xml:space="preserve">The need to </w:t>
      </w:r>
      <w:r w:rsidRPr="009B5734">
        <w:rPr>
          <w:rFonts w:ascii="Times New Roman" w:hAnsi="Times New Roman"/>
          <w:b/>
          <w:noProof/>
          <w:sz w:val="24"/>
        </w:rPr>
        <w:t>replace products more frequently and the reduced potential for circularity</w:t>
      </w:r>
      <w:r w:rsidRPr="009B5734">
        <w:rPr>
          <w:rFonts w:ascii="Times New Roman" w:hAnsi="Times New Roman"/>
          <w:noProof/>
          <w:sz w:val="24"/>
        </w:rPr>
        <w:t xml:space="preserve"> (i.e. re-sale and reuse)</w:t>
      </w:r>
      <w:r w:rsidRPr="009B5734">
        <w:rPr>
          <w:rStyle w:val="FootnoteReference"/>
          <w:rFonts w:ascii="Times New Roman" w:hAnsi="Times New Roman"/>
          <w:noProof/>
          <w:sz w:val="24"/>
        </w:rPr>
        <w:footnoteReference w:id="301"/>
      </w:r>
      <w:r w:rsidRPr="009B5734">
        <w:rPr>
          <w:rFonts w:ascii="Times New Roman" w:hAnsi="Times New Roman"/>
          <w:noProof/>
          <w:sz w:val="24"/>
          <w:vertAlign w:val="superscript"/>
        </w:rPr>
        <w:t>,</w:t>
      </w:r>
      <w:r w:rsidRPr="009B5734">
        <w:rPr>
          <w:rStyle w:val="FootnoteReference"/>
          <w:rFonts w:ascii="Times New Roman" w:hAnsi="Times New Roman"/>
          <w:noProof/>
          <w:sz w:val="24"/>
        </w:rPr>
        <w:footnoteReference w:id="302"/>
      </w:r>
      <w:r w:rsidRPr="009B5734">
        <w:rPr>
          <w:rFonts w:ascii="Times New Roman" w:hAnsi="Times New Roman"/>
          <w:noProof/>
          <w:sz w:val="24"/>
        </w:rPr>
        <w:t xml:space="preserve"> linked to early obsolescence lead to higher environmental impacts of consumption, estimated at 1,874 MtCO2e (EUR 64 million)</w:t>
      </w:r>
      <w:r w:rsidRPr="009B5734">
        <w:rPr>
          <w:rStyle w:val="FootnoteReference"/>
          <w:rFonts w:ascii="Times New Roman" w:hAnsi="Times New Roman"/>
          <w:noProof/>
          <w:sz w:val="24"/>
        </w:rPr>
        <w:footnoteReference w:id="303"/>
      </w:r>
      <w:r w:rsidRPr="009B5734">
        <w:rPr>
          <w:rFonts w:ascii="Times New Roman" w:hAnsi="Times New Roman"/>
          <w:noProof/>
          <w:sz w:val="24"/>
        </w:rPr>
        <w:t xml:space="preserve"> per year. </w:t>
      </w:r>
    </w:p>
    <w:p w:rsidR="00EA45F9" w:rsidRPr="009B5734" w:rsidRDefault="00EA45F9" w:rsidP="00EA45F9">
      <w:pPr>
        <w:pStyle w:val="BTBullet1Last"/>
        <w:tabs>
          <w:tab w:val="clear" w:pos="1191"/>
          <w:tab w:val="left" w:pos="708"/>
        </w:tabs>
        <w:ind w:left="0" w:firstLine="0"/>
        <w:rPr>
          <w:rFonts w:ascii="Times New Roman" w:hAnsi="Times New Roman"/>
          <w:noProof/>
          <w:sz w:val="24"/>
        </w:rPr>
      </w:pPr>
      <w:r w:rsidRPr="009B5734">
        <w:rPr>
          <w:rFonts w:ascii="Times New Roman" w:hAnsi="Times New Roman"/>
          <w:noProof/>
          <w:sz w:val="24"/>
        </w:rPr>
        <w:t xml:space="preserve">The fact that products offered and purchased in the Single Market </w:t>
      </w:r>
      <w:r w:rsidRPr="009B5734">
        <w:rPr>
          <w:rFonts w:ascii="Times New Roman" w:hAnsi="Times New Roman"/>
          <w:b/>
          <w:noProof/>
          <w:sz w:val="24"/>
        </w:rPr>
        <w:t>are not as environmentally friendly as presented, leads to negative environmental impacts</w:t>
      </w:r>
      <w:r w:rsidRPr="009B5734">
        <w:rPr>
          <w:rFonts w:ascii="Times New Roman" w:hAnsi="Times New Roman"/>
          <w:noProof/>
          <w:sz w:val="24"/>
        </w:rPr>
        <w:t xml:space="preserve"> (i.e., the difference between the environmental impact of the purchased product based on misleading claims and the environmental impact of the product that would have been purchased in the absence of greenwashing). The consequence of this practice is estimated at 1.4 MtCO2e (EUR 50 million) per year. </w:t>
      </w:r>
    </w:p>
    <w:p w:rsidR="00EA45F9" w:rsidRPr="009B5734" w:rsidRDefault="00EA45F9" w:rsidP="00EA45F9">
      <w:pPr>
        <w:pStyle w:val="BodyText"/>
        <w:ind w:left="0" w:firstLine="0"/>
        <w:rPr>
          <w:rFonts w:ascii="Times New Roman" w:hAnsi="Times New Roman"/>
          <w:noProof/>
          <w:sz w:val="24"/>
        </w:rPr>
      </w:pPr>
      <w:r w:rsidRPr="009B5734">
        <w:rPr>
          <w:rFonts w:ascii="Times New Roman" w:hAnsi="Times New Roman"/>
          <w:noProof/>
          <w:sz w:val="24"/>
        </w:rPr>
        <w:t xml:space="preserve">Whilst sustainability labels can have a positive impact on the environment, their proliferation and their various degrees of robustness and transparency can lead to distrust among consumers and hamper their effectiveness in guiding them towards more sustainable consumption choices. These losses are, however, difficult to quantify as many sustainability labels and logos cover other sustainability aspects that are not related to the environment pillar of sustainability. </w:t>
      </w:r>
    </w:p>
    <w:p w:rsidR="00EA45F9" w:rsidRPr="009B5734" w:rsidRDefault="00EA45F9" w:rsidP="00EA45F9">
      <w:pPr>
        <w:pStyle w:val="BodyText"/>
        <w:ind w:left="0" w:firstLine="0"/>
        <w:rPr>
          <w:noProof/>
        </w:rPr>
      </w:pPr>
      <w:r w:rsidRPr="009B5734">
        <w:rPr>
          <w:rFonts w:ascii="Times New Roman" w:hAnsi="Times New Roman"/>
          <w:noProof/>
          <w:sz w:val="24"/>
        </w:rPr>
        <w:t>Overall, these practices increase</w:t>
      </w:r>
      <w:r w:rsidRPr="009B5734">
        <w:rPr>
          <w:rFonts w:ascii="Times New Roman" w:hAnsi="Times New Roman"/>
          <w:b/>
          <w:noProof/>
          <w:sz w:val="24"/>
        </w:rPr>
        <w:t xml:space="preserve"> the negative environmental and climate impacts of consumption</w:t>
      </w:r>
      <w:r w:rsidRPr="009B5734">
        <w:rPr>
          <w:rFonts w:ascii="Times New Roman" w:hAnsi="Times New Roman"/>
          <w:noProof/>
          <w:sz w:val="24"/>
        </w:rPr>
        <w:t xml:space="preserve">. </w:t>
      </w: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EA45F9" w:rsidRPr="009B5734" w:rsidRDefault="00EA45F9" w:rsidP="00EA45F9">
      <w:pPr>
        <w:ind w:left="0" w:firstLine="0"/>
        <w:rPr>
          <w:rFonts w:ascii="Times New Roman" w:hAnsi="Times New Roman"/>
          <w:b/>
          <w:noProof/>
          <w:sz w:val="24"/>
        </w:rPr>
      </w:pPr>
    </w:p>
    <w:p w:rsidR="001D577F" w:rsidRPr="009B5734" w:rsidRDefault="001D577F" w:rsidP="00EA45F9">
      <w:pPr>
        <w:ind w:left="0" w:firstLine="0"/>
        <w:rPr>
          <w:rFonts w:ascii="Times New Roman" w:hAnsi="Times New Roman"/>
          <w:b/>
          <w:noProof/>
          <w:sz w:val="24"/>
        </w:rPr>
      </w:pPr>
    </w:p>
    <w:p w:rsidR="00EA45F9" w:rsidRPr="009B5734" w:rsidRDefault="00EA45F9" w:rsidP="6B053803">
      <w:pPr>
        <w:pStyle w:val="Heading1"/>
        <w:jc w:val="center"/>
        <w:rPr>
          <w:noProof/>
          <w:szCs w:val="24"/>
        </w:rPr>
      </w:pPr>
      <w:bookmarkStart w:id="829" w:name="_Annex_13:_Analysis"/>
      <w:bookmarkStart w:id="830" w:name="_Toc77844279"/>
      <w:bookmarkStart w:id="831" w:name="_Toc86391782"/>
      <w:bookmarkEnd w:id="829"/>
      <w:r w:rsidRPr="009B5734">
        <w:rPr>
          <w:noProof/>
        </w:rPr>
        <w:t xml:space="preserve">Annex 13: </w:t>
      </w:r>
      <w:r w:rsidRPr="005D24D2">
        <w:rPr>
          <w:noProof/>
        </w:rPr>
        <w:t>Analysis of product scope for providing durability/reparability information</w:t>
      </w:r>
      <w:bookmarkEnd w:id="830"/>
      <w:bookmarkEnd w:id="8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1862"/>
        <w:gridCol w:w="1862"/>
        <w:gridCol w:w="1232"/>
        <w:gridCol w:w="1384"/>
        <w:gridCol w:w="1092"/>
      </w:tblGrid>
      <w:tr w:rsidR="00E23B2B" w:rsidRPr="009B5734" w:rsidTr="00275642">
        <w:trPr>
          <w:trHeight w:val="1220"/>
        </w:trPr>
        <w:tc>
          <w:tcPr>
            <w:tcW w:w="683" w:type="pct"/>
            <w:vMerge w:val="restart"/>
            <w:shd w:val="clear" w:color="auto" w:fill="2F5496"/>
            <w:vAlign w:val="center"/>
            <w:hideMark/>
          </w:tcPr>
          <w:p w:rsidR="00E23B2B" w:rsidRPr="009B5734" w:rsidRDefault="00E23B2B" w:rsidP="00981615">
            <w:pPr>
              <w:ind w:left="0" w:firstLine="0"/>
              <w:jc w:val="left"/>
              <w:rPr>
                <w:rFonts w:ascii="Times New Roman" w:eastAsia="Times New Roman" w:hAnsi="Times New Roman" w:cs="Times New Roman"/>
                <w:b/>
                <w:bCs/>
                <w:noProof/>
                <w:color w:val="FFFFFF"/>
                <w:sz w:val="20"/>
                <w:szCs w:val="20"/>
                <w:lang w:eastAsia="en-GB"/>
              </w:rPr>
            </w:pPr>
            <w:r w:rsidRPr="009B5734">
              <w:rPr>
                <w:rFonts w:ascii="Times New Roman" w:eastAsia="Times New Roman" w:hAnsi="Times New Roman" w:cs="Times New Roman"/>
                <w:b/>
                <w:bCs/>
                <w:noProof/>
                <w:color w:val="FFFFFF"/>
                <w:sz w:val="20"/>
                <w:szCs w:val="20"/>
                <w:lang w:eastAsia="en-GB"/>
              </w:rPr>
              <w:t>Possible product scopes</w:t>
            </w:r>
          </w:p>
        </w:tc>
        <w:tc>
          <w:tcPr>
            <w:tcW w:w="1082" w:type="pct"/>
            <w:vMerge w:val="restart"/>
            <w:shd w:val="clear" w:color="auto" w:fill="2F5496"/>
            <w:vAlign w:val="center"/>
            <w:hideMark/>
          </w:tcPr>
          <w:p w:rsidR="00E23B2B" w:rsidRPr="009B5734" w:rsidRDefault="00E23B2B" w:rsidP="00981615">
            <w:pPr>
              <w:ind w:left="0" w:firstLine="0"/>
              <w:jc w:val="center"/>
              <w:rPr>
                <w:rFonts w:ascii="Times New Roman" w:eastAsia="Times New Roman" w:hAnsi="Times New Roman" w:cs="Times New Roman"/>
                <w:noProof/>
                <w:color w:val="FFFFFF"/>
                <w:sz w:val="20"/>
                <w:szCs w:val="20"/>
                <w:lang w:eastAsia="en-GB"/>
              </w:rPr>
            </w:pPr>
            <w:r w:rsidRPr="009B5734">
              <w:rPr>
                <w:rFonts w:ascii="Times New Roman" w:eastAsia="Times New Roman" w:hAnsi="Times New Roman" w:cs="Times New Roman"/>
                <w:noProof/>
                <w:color w:val="FFFFFF"/>
                <w:sz w:val="20"/>
                <w:szCs w:val="20"/>
                <w:lang w:eastAsia="en-GB"/>
              </w:rPr>
              <w:t>Availability of evidence about the existence and the size of the problem (limited durability and reparability)</w:t>
            </w:r>
          </w:p>
        </w:tc>
        <w:tc>
          <w:tcPr>
            <w:tcW w:w="1082" w:type="pct"/>
            <w:vMerge w:val="restart"/>
            <w:shd w:val="clear" w:color="auto" w:fill="2F5496"/>
            <w:vAlign w:val="center"/>
          </w:tcPr>
          <w:p w:rsidR="00E23B2B" w:rsidRPr="009B5734" w:rsidRDefault="00E23B2B" w:rsidP="00981615">
            <w:pPr>
              <w:ind w:left="0" w:firstLine="0"/>
              <w:jc w:val="center"/>
              <w:rPr>
                <w:rFonts w:ascii="Times New Roman" w:eastAsia="Times New Roman" w:hAnsi="Times New Roman" w:cs="Times New Roman"/>
                <w:noProof/>
                <w:color w:val="FFFFFF"/>
                <w:sz w:val="20"/>
                <w:szCs w:val="20"/>
                <w:lang w:eastAsia="en-GB"/>
              </w:rPr>
            </w:pPr>
            <w:r w:rsidRPr="009B5734">
              <w:rPr>
                <w:rFonts w:ascii="Times New Roman" w:eastAsia="Times New Roman" w:hAnsi="Times New Roman" w:cs="Times New Roman"/>
                <w:noProof/>
                <w:color w:val="FFFFFF"/>
                <w:sz w:val="20"/>
                <w:szCs w:val="20"/>
                <w:lang w:eastAsia="en-GB"/>
              </w:rPr>
              <w:t>Availability of evidence on consumer expectations regarding better durability and reparability beyond legal guarantee period</w:t>
            </w:r>
          </w:p>
          <w:p w:rsidR="00E23B2B" w:rsidRPr="009B5734" w:rsidRDefault="00E23B2B" w:rsidP="00981615">
            <w:pPr>
              <w:ind w:left="0" w:firstLine="0"/>
              <w:jc w:val="left"/>
              <w:rPr>
                <w:rFonts w:ascii="Times New Roman" w:eastAsia="Times New Roman" w:hAnsi="Times New Roman" w:cs="Times New Roman"/>
                <w:noProof/>
                <w:color w:val="FFFFFF"/>
                <w:sz w:val="20"/>
                <w:szCs w:val="20"/>
                <w:lang w:eastAsia="en-GB"/>
              </w:rPr>
            </w:pPr>
          </w:p>
        </w:tc>
        <w:tc>
          <w:tcPr>
            <w:tcW w:w="1520" w:type="pct"/>
            <w:gridSpan w:val="2"/>
            <w:shd w:val="clear" w:color="auto" w:fill="2F5496"/>
            <w:vAlign w:val="bottom"/>
            <w:hideMark/>
          </w:tcPr>
          <w:p w:rsidR="00E23B2B" w:rsidRPr="009B5734" w:rsidRDefault="00E23B2B" w:rsidP="00981615">
            <w:pPr>
              <w:ind w:left="0" w:firstLine="0"/>
              <w:jc w:val="center"/>
              <w:rPr>
                <w:rFonts w:ascii="Times New Roman" w:eastAsia="Times New Roman" w:hAnsi="Times New Roman" w:cs="Times New Roman"/>
                <w:noProof/>
                <w:color w:val="FFFFFF"/>
                <w:sz w:val="20"/>
                <w:szCs w:val="20"/>
                <w:lang w:eastAsia="en-GB"/>
              </w:rPr>
            </w:pPr>
            <w:r w:rsidRPr="009B5734">
              <w:rPr>
                <w:rFonts w:ascii="Times New Roman" w:eastAsia="Times New Roman" w:hAnsi="Times New Roman" w:cs="Times New Roman"/>
                <w:noProof/>
                <w:color w:val="FFFFFF"/>
                <w:sz w:val="20"/>
                <w:szCs w:val="20"/>
                <w:lang w:eastAsia="en-GB"/>
              </w:rPr>
              <w:t>Availability of evidence on the interest of consumers on information on durability and reparability</w:t>
            </w:r>
          </w:p>
        </w:tc>
        <w:tc>
          <w:tcPr>
            <w:tcW w:w="634" w:type="pct"/>
            <w:vMerge w:val="restart"/>
            <w:shd w:val="clear" w:color="auto" w:fill="2F5496"/>
          </w:tcPr>
          <w:p w:rsidR="00E23B2B" w:rsidRPr="009B5734" w:rsidRDefault="00E23B2B" w:rsidP="00981615">
            <w:pPr>
              <w:ind w:left="0" w:firstLine="0"/>
              <w:jc w:val="center"/>
              <w:rPr>
                <w:rFonts w:ascii="Times New Roman" w:eastAsia="Times New Roman" w:hAnsi="Times New Roman" w:cs="Times New Roman"/>
                <w:noProof/>
                <w:color w:val="1F3864"/>
                <w:sz w:val="20"/>
                <w:szCs w:val="20"/>
                <w:lang w:eastAsia="en-GB"/>
              </w:rPr>
            </w:pPr>
            <w:r w:rsidRPr="009B5734">
              <w:rPr>
                <w:rFonts w:ascii="Times New Roman" w:eastAsia="Times New Roman" w:hAnsi="Times New Roman" w:cs="Times New Roman"/>
                <w:noProof/>
                <w:color w:val="FFFFFF"/>
                <w:sz w:val="20"/>
                <w:szCs w:val="20"/>
                <w:lang w:eastAsia="en-GB"/>
              </w:rPr>
              <w:t>Level of uncertainty regarding expected benefits of providing information on durability and reparability per product type</w:t>
            </w:r>
          </w:p>
        </w:tc>
      </w:tr>
      <w:tr w:rsidR="00EA45F9" w:rsidRPr="009B5734" w:rsidTr="00275642">
        <w:trPr>
          <w:trHeight w:val="522"/>
        </w:trPr>
        <w:tc>
          <w:tcPr>
            <w:tcW w:w="683" w:type="pct"/>
            <w:vMerge/>
            <w:shd w:val="clear" w:color="auto" w:fill="FFFFFF"/>
            <w:vAlign w:val="center"/>
            <w:hideMark/>
          </w:tcPr>
          <w:p w:rsidR="00EA45F9" w:rsidRPr="009B5734" w:rsidRDefault="00EA45F9" w:rsidP="00981615">
            <w:pPr>
              <w:ind w:left="0" w:firstLine="0"/>
              <w:jc w:val="left"/>
              <w:rPr>
                <w:rFonts w:ascii="Times New Roman" w:eastAsia="Times New Roman" w:hAnsi="Times New Roman" w:cs="Times New Roman"/>
                <w:noProof/>
                <w:color w:val="FFFFFF"/>
                <w:sz w:val="20"/>
                <w:szCs w:val="20"/>
                <w:lang w:eastAsia="en-GB"/>
              </w:rPr>
            </w:pPr>
          </w:p>
        </w:tc>
        <w:tc>
          <w:tcPr>
            <w:tcW w:w="1082" w:type="pct"/>
            <w:vMerge/>
            <w:shd w:val="clear" w:color="auto" w:fill="FFFFFF"/>
            <w:vAlign w:val="center"/>
            <w:hideMark/>
          </w:tcPr>
          <w:p w:rsidR="00EA45F9" w:rsidRPr="009B5734" w:rsidRDefault="00EA45F9" w:rsidP="00981615">
            <w:pPr>
              <w:ind w:left="0" w:firstLine="0"/>
              <w:jc w:val="left"/>
              <w:rPr>
                <w:rFonts w:ascii="Times New Roman" w:eastAsia="Times New Roman" w:hAnsi="Times New Roman" w:cs="Times New Roman"/>
                <w:noProof/>
                <w:color w:val="FFFFFF"/>
                <w:sz w:val="20"/>
                <w:szCs w:val="20"/>
                <w:lang w:eastAsia="en-GB"/>
              </w:rPr>
            </w:pPr>
          </w:p>
        </w:tc>
        <w:tc>
          <w:tcPr>
            <w:tcW w:w="1082" w:type="pct"/>
            <w:vMerge/>
            <w:shd w:val="clear" w:color="auto" w:fill="FFFFFF"/>
            <w:vAlign w:val="bottom"/>
          </w:tcPr>
          <w:p w:rsidR="00EA45F9" w:rsidRPr="009B5734" w:rsidRDefault="00EA45F9" w:rsidP="00981615">
            <w:pPr>
              <w:ind w:left="0" w:firstLine="0"/>
              <w:jc w:val="center"/>
              <w:rPr>
                <w:rFonts w:ascii="Times New Roman" w:eastAsia="Times New Roman" w:hAnsi="Times New Roman" w:cs="Times New Roman"/>
                <w:noProof/>
                <w:color w:val="FFFFFF"/>
                <w:sz w:val="20"/>
                <w:szCs w:val="20"/>
                <w:lang w:eastAsia="en-GB"/>
              </w:rPr>
            </w:pPr>
          </w:p>
        </w:tc>
        <w:tc>
          <w:tcPr>
            <w:tcW w:w="716" w:type="pct"/>
            <w:shd w:val="clear" w:color="auto" w:fill="2F5496"/>
            <w:vAlign w:val="center"/>
            <w:hideMark/>
          </w:tcPr>
          <w:p w:rsidR="00EA45F9" w:rsidRPr="009B5734" w:rsidRDefault="00EA45F9" w:rsidP="00981615">
            <w:pPr>
              <w:ind w:left="0" w:firstLine="0"/>
              <w:jc w:val="center"/>
              <w:rPr>
                <w:rFonts w:ascii="Times New Roman" w:eastAsia="Times New Roman" w:hAnsi="Times New Roman" w:cs="Times New Roman"/>
                <w:noProof/>
                <w:color w:val="FFFFFF"/>
                <w:sz w:val="20"/>
                <w:szCs w:val="20"/>
                <w:lang w:eastAsia="en-GB"/>
              </w:rPr>
            </w:pPr>
            <w:r w:rsidRPr="009B5734">
              <w:rPr>
                <w:rFonts w:ascii="Times New Roman" w:eastAsia="Times New Roman" w:hAnsi="Times New Roman" w:cs="Times New Roman"/>
                <w:noProof/>
                <w:color w:val="FFFFFF"/>
                <w:sz w:val="20"/>
                <w:szCs w:val="20"/>
                <w:lang w:eastAsia="en-GB"/>
              </w:rPr>
              <w:t>Primary data: surveys, interviews, focus groups, behavioural experiments</w:t>
            </w:r>
          </w:p>
        </w:tc>
        <w:tc>
          <w:tcPr>
            <w:tcW w:w="804" w:type="pct"/>
            <w:shd w:val="clear" w:color="auto" w:fill="2F5496"/>
            <w:vAlign w:val="center"/>
            <w:hideMark/>
          </w:tcPr>
          <w:p w:rsidR="00EA45F9" w:rsidRPr="009B5734" w:rsidRDefault="00EA45F9" w:rsidP="00981615">
            <w:pPr>
              <w:ind w:left="0" w:firstLine="0"/>
              <w:jc w:val="center"/>
              <w:rPr>
                <w:rFonts w:ascii="Times New Roman" w:eastAsia="Times New Roman" w:hAnsi="Times New Roman" w:cs="Times New Roman"/>
                <w:noProof/>
                <w:color w:val="FFFFFF"/>
                <w:sz w:val="20"/>
                <w:szCs w:val="20"/>
                <w:lang w:eastAsia="en-GB"/>
              </w:rPr>
            </w:pPr>
            <w:r w:rsidRPr="009B5734">
              <w:rPr>
                <w:rFonts w:ascii="Times New Roman" w:eastAsia="Times New Roman" w:hAnsi="Times New Roman" w:cs="Times New Roman"/>
                <w:noProof/>
                <w:color w:val="FFFFFF"/>
                <w:sz w:val="20"/>
                <w:szCs w:val="20"/>
                <w:lang w:eastAsia="en-GB"/>
              </w:rPr>
              <w:t>Proxy: availability of commercial guarantees in the market</w:t>
            </w:r>
          </w:p>
        </w:tc>
        <w:tc>
          <w:tcPr>
            <w:tcW w:w="634" w:type="pct"/>
            <w:vMerge/>
            <w:shd w:val="clear" w:color="auto" w:fill="2F5496"/>
          </w:tcPr>
          <w:p w:rsidR="00EA45F9" w:rsidRPr="009B5734" w:rsidRDefault="00EA45F9" w:rsidP="00981615">
            <w:pPr>
              <w:ind w:left="0" w:firstLine="0"/>
              <w:jc w:val="center"/>
              <w:rPr>
                <w:rFonts w:ascii="Times New Roman" w:eastAsia="Times New Roman" w:hAnsi="Times New Roman" w:cs="Times New Roman"/>
                <w:noProof/>
                <w:color w:val="1F3864"/>
                <w:sz w:val="20"/>
                <w:szCs w:val="20"/>
                <w:lang w:eastAsia="en-GB"/>
              </w:rPr>
            </w:pPr>
          </w:p>
        </w:tc>
      </w:tr>
      <w:tr w:rsidR="00EA45F9" w:rsidRPr="009B5734" w:rsidTr="00C84A99">
        <w:trPr>
          <w:trHeight w:val="690"/>
        </w:trPr>
        <w:tc>
          <w:tcPr>
            <w:tcW w:w="683" w:type="pct"/>
            <w:shd w:val="clear" w:color="auto" w:fill="auto"/>
            <w:vAlign w:val="center"/>
            <w:hideMark/>
          </w:tcPr>
          <w:p w:rsidR="00EA45F9" w:rsidRPr="009B5734" w:rsidRDefault="00EA45F9" w:rsidP="00981615">
            <w:pPr>
              <w:spacing w:before="240"/>
              <w:ind w:left="0" w:firstLine="0"/>
              <w:jc w:val="left"/>
              <w:rPr>
                <w:rFonts w:ascii="Times New Roman" w:eastAsia="Times New Roman" w:hAnsi="Times New Roman" w:cs="Times New Roman"/>
                <w:noProof/>
                <w:color w:val="1F3864"/>
                <w:sz w:val="20"/>
                <w:szCs w:val="20"/>
                <w:lang w:eastAsia="en-GB"/>
              </w:rPr>
            </w:pPr>
            <w:r w:rsidRPr="009B5734">
              <w:rPr>
                <w:rFonts w:ascii="Times New Roman" w:eastAsia="Times New Roman" w:hAnsi="Times New Roman" w:cs="Times New Roman"/>
                <w:b/>
                <w:noProof/>
                <w:color w:val="1F3864"/>
                <w:sz w:val="20"/>
                <w:szCs w:val="20"/>
                <w:lang w:eastAsia="en-GB"/>
              </w:rPr>
              <w:t>Narrow product scope</w:t>
            </w:r>
            <w:r w:rsidRPr="009B5734">
              <w:rPr>
                <w:rFonts w:ascii="Times New Roman" w:eastAsia="Times New Roman" w:hAnsi="Times New Roman" w:cs="Times New Roman"/>
                <w:noProof/>
                <w:color w:val="1F3864"/>
                <w:sz w:val="20"/>
                <w:szCs w:val="20"/>
                <w:lang w:eastAsia="en-GB"/>
              </w:rPr>
              <w:t xml:space="preserve"> (i.e. all goods with digital content</w:t>
            </w:r>
            <w:r w:rsidRPr="009B5734">
              <w:rPr>
                <w:rFonts w:ascii="Times New Roman" w:eastAsia="Times New Roman" w:hAnsi="Times New Roman" w:cs="Times New Roman"/>
                <w:noProof/>
                <w:color w:val="1F3864"/>
                <w:sz w:val="20"/>
                <w:szCs w:val="20"/>
                <w:vertAlign w:val="superscript"/>
                <w:lang w:eastAsia="en-GB"/>
              </w:rPr>
              <w:footnoteReference w:id="304"/>
            </w:r>
            <w:r w:rsidRPr="009B5734">
              <w:rPr>
                <w:rFonts w:ascii="Times New Roman" w:eastAsia="Times New Roman" w:hAnsi="Times New Roman" w:cs="Times New Roman"/>
                <w:noProof/>
                <w:color w:val="1F3864"/>
                <w:sz w:val="20"/>
                <w:szCs w:val="20"/>
                <w:lang w:eastAsia="en-GB"/>
              </w:rPr>
              <w:t>)</w:t>
            </w:r>
          </w:p>
        </w:tc>
        <w:tc>
          <w:tcPr>
            <w:tcW w:w="1082" w:type="pct"/>
            <w:shd w:val="clear" w:color="auto" w:fill="auto"/>
            <w:hideMark/>
          </w:tcPr>
          <w:p w:rsidR="00EA45F9" w:rsidRPr="009B5734" w:rsidRDefault="00EA45F9" w:rsidP="00981615">
            <w:pPr>
              <w:spacing w:before="240"/>
              <w:ind w:left="0" w:firstLine="0"/>
              <w:jc w:val="center"/>
              <w:rPr>
                <w:rFonts w:ascii="Times New Roman" w:eastAsia="Times New Roman" w:hAnsi="Times New Roman" w:cs="Times New Roman"/>
                <w:noProof/>
                <w:color w:val="002395"/>
                <w:sz w:val="18"/>
                <w:szCs w:val="18"/>
                <w:lang w:eastAsia="en-GB"/>
              </w:rPr>
            </w:pPr>
            <w:r w:rsidRPr="009B5734">
              <w:rPr>
                <w:rFonts w:ascii="Times New Roman" w:eastAsia="Times New Roman" w:hAnsi="Times New Roman" w:cs="Times New Roman"/>
                <w:noProof/>
                <w:color w:val="002395"/>
                <w:sz w:val="18"/>
                <w:szCs w:val="18"/>
                <w:lang w:eastAsia="en-GB"/>
              </w:rPr>
              <w:sym w:font="Wingdings" w:char="F0FC"/>
            </w:r>
            <w:r w:rsidRPr="009B5734">
              <w:rPr>
                <w:rFonts w:ascii="Times New Roman" w:eastAsia="Times New Roman" w:hAnsi="Times New Roman" w:cs="Times New Roman"/>
                <w:noProof/>
                <w:color w:val="002395"/>
                <w:sz w:val="18"/>
                <w:szCs w:val="18"/>
                <w:lang w:eastAsia="en-GB"/>
              </w:rPr>
              <w:sym w:font="Wingdings" w:char="F0FC"/>
            </w:r>
          </w:p>
          <w:p w:rsidR="00EA45F9" w:rsidRPr="009B5734" w:rsidRDefault="00EA45F9" w:rsidP="00981615">
            <w:pPr>
              <w:spacing w:before="240"/>
              <w:ind w:left="0" w:firstLine="0"/>
              <w:jc w:val="center"/>
              <w:rPr>
                <w:rFonts w:ascii="Times New Roman" w:eastAsia="Times New Roman" w:hAnsi="Times New Roman" w:cs="Times New Roman"/>
                <w:noProof/>
                <w:color w:val="000000"/>
                <w:sz w:val="18"/>
                <w:szCs w:val="18"/>
                <w:lang w:eastAsia="en-GB"/>
              </w:rPr>
            </w:pPr>
            <w:r w:rsidRPr="009B5734">
              <w:rPr>
                <w:rFonts w:ascii="Times New Roman" w:eastAsia="Times New Roman" w:hAnsi="Times New Roman" w:cs="Times New Roman"/>
                <w:noProof/>
                <w:color w:val="000000"/>
                <w:sz w:val="18"/>
                <w:szCs w:val="18"/>
                <w:lang w:eastAsia="en-GB"/>
              </w:rPr>
              <w:t xml:space="preserve">Evidence available and stakeholder views on some key types of goods in this product category, such as smartphones and laptops, suggest the existence of problems with limited durability and reparability in this product category  </w:t>
            </w:r>
          </w:p>
          <w:p w:rsidR="00EA45F9" w:rsidRPr="009B5734" w:rsidRDefault="00EA45F9" w:rsidP="00981615">
            <w:pPr>
              <w:spacing w:before="240"/>
              <w:ind w:left="0" w:firstLine="0"/>
              <w:jc w:val="center"/>
              <w:rPr>
                <w:rFonts w:ascii="Times New Roman" w:eastAsia="Times New Roman" w:hAnsi="Times New Roman" w:cs="Times New Roman"/>
                <w:i/>
                <w:iCs/>
                <w:noProof/>
                <w:color w:val="000000"/>
                <w:sz w:val="18"/>
                <w:szCs w:val="18"/>
                <w:lang w:eastAsia="en-GB"/>
              </w:rPr>
            </w:pPr>
            <w:r w:rsidRPr="009B5734">
              <w:rPr>
                <w:rFonts w:ascii="Times New Roman" w:eastAsia="Times New Roman" w:hAnsi="Times New Roman" w:cs="Times New Roman"/>
                <w:i/>
                <w:iCs/>
                <w:noProof/>
                <w:color w:val="000000"/>
                <w:sz w:val="18"/>
                <w:szCs w:val="18"/>
                <w:lang w:eastAsia="en-GB"/>
              </w:rPr>
              <w:t>Main source: preparatory study</w:t>
            </w:r>
          </w:p>
          <w:p w:rsidR="00EA45F9" w:rsidRPr="009B5734" w:rsidRDefault="00EA45F9" w:rsidP="00981615">
            <w:pPr>
              <w:spacing w:before="240"/>
              <w:ind w:left="0" w:firstLine="0"/>
              <w:jc w:val="center"/>
              <w:rPr>
                <w:rFonts w:ascii="Times New Roman" w:eastAsia="Times New Roman" w:hAnsi="Times New Roman" w:cs="Times New Roman"/>
                <w:noProof/>
                <w:color w:val="000000"/>
                <w:sz w:val="18"/>
                <w:szCs w:val="18"/>
                <w:lang w:eastAsia="en-GB"/>
              </w:rPr>
            </w:pPr>
          </w:p>
          <w:p w:rsidR="00EA45F9" w:rsidRPr="009B5734" w:rsidRDefault="00EA45F9" w:rsidP="00981615">
            <w:pPr>
              <w:spacing w:before="240"/>
              <w:ind w:left="0" w:firstLine="0"/>
              <w:jc w:val="center"/>
              <w:rPr>
                <w:rFonts w:ascii="Times New Roman" w:eastAsia="Times New Roman" w:hAnsi="Times New Roman" w:cs="Times New Roman"/>
                <w:i/>
                <w:iCs/>
                <w:noProof/>
                <w:color w:val="000000"/>
                <w:sz w:val="18"/>
                <w:szCs w:val="18"/>
                <w:lang w:eastAsia="en-GB"/>
              </w:rPr>
            </w:pPr>
          </w:p>
        </w:tc>
        <w:tc>
          <w:tcPr>
            <w:tcW w:w="1082" w:type="pct"/>
          </w:tcPr>
          <w:p w:rsidR="00EA45F9" w:rsidRPr="009B5734" w:rsidRDefault="00EA45F9" w:rsidP="00981615">
            <w:pPr>
              <w:spacing w:before="240"/>
              <w:ind w:left="0" w:firstLine="0"/>
              <w:jc w:val="center"/>
              <w:rPr>
                <w:rFonts w:ascii="Times New Roman" w:eastAsia="Times New Roman" w:hAnsi="Times New Roman" w:cs="Times New Roman"/>
                <w:noProof/>
                <w:color w:val="002395"/>
                <w:sz w:val="18"/>
                <w:szCs w:val="18"/>
                <w:lang w:eastAsia="en-GB"/>
              </w:rPr>
            </w:pPr>
            <w:r w:rsidRPr="009B5734">
              <w:rPr>
                <w:rFonts w:ascii="Times New Roman" w:eastAsia="Times New Roman" w:hAnsi="Times New Roman" w:cs="Times New Roman"/>
                <w:noProof/>
                <w:color w:val="002395"/>
                <w:sz w:val="18"/>
                <w:szCs w:val="18"/>
                <w:lang w:eastAsia="en-GB"/>
              </w:rPr>
              <w:sym w:font="Wingdings" w:char="F0FC"/>
            </w:r>
            <w:r w:rsidRPr="009B5734">
              <w:rPr>
                <w:rFonts w:ascii="Times New Roman" w:eastAsia="Times New Roman" w:hAnsi="Times New Roman" w:cs="Times New Roman"/>
                <w:noProof/>
                <w:color w:val="002395"/>
                <w:sz w:val="18"/>
                <w:szCs w:val="18"/>
                <w:lang w:eastAsia="en-GB"/>
              </w:rPr>
              <w:sym w:font="Wingdings" w:char="F0FC"/>
            </w:r>
          </w:p>
          <w:p w:rsidR="00EA45F9" w:rsidRPr="009B5734" w:rsidRDefault="00EA45F9" w:rsidP="00981615">
            <w:pPr>
              <w:spacing w:before="240"/>
              <w:ind w:left="0" w:firstLine="0"/>
              <w:jc w:val="center"/>
              <w:rPr>
                <w:rFonts w:ascii="Times New Roman" w:eastAsia="Times New Roman" w:hAnsi="Times New Roman" w:cs="Times New Roman"/>
                <w:noProof/>
                <w:color w:val="000000"/>
                <w:sz w:val="18"/>
                <w:szCs w:val="18"/>
                <w:lang w:eastAsia="en-GB"/>
              </w:rPr>
            </w:pPr>
            <w:r w:rsidRPr="009B5734">
              <w:rPr>
                <w:rFonts w:ascii="Times New Roman" w:eastAsia="Times New Roman" w:hAnsi="Times New Roman" w:cs="Times New Roman"/>
                <w:noProof/>
                <w:color w:val="000000"/>
                <w:sz w:val="18"/>
                <w:szCs w:val="18"/>
                <w:lang w:eastAsia="en-GB"/>
              </w:rPr>
              <w:t>Evidence available and stakeholder views on some key types of goods in this category, such as smartphones and laptops, suggest, to some extent, expectations of consumers regarding better durability and reparability  (in this product group some evidence also suggests that consumers replace goods in order to have the latest model/technology)</w:t>
            </w:r>
          </w:p>
          <w:p w:rsidR="00EA45F9" w:rsidRPr="009B5734" w:rsidRDefault="00EA45F9" w:rsidP="00981615">
            <w:pPr>
              <w:spacing w:before="240"/>
              <w:ind w:left="0" w:firstLine="0"/>
              <w:jc w:val="center"/>
              <w:rPr>
                <w:rFonts w:ascii="Times New Roman" w:eastAsia="Times New Roman" w:hAnsi="Times New Roman" w:cs="Times New Roman"/>
                <w:i/>
                <w:iCs/>
                <w:noProof/>
                <w:color w:val="000000"/>
                <w:sz w:val="18"/>
                <w:szCs w:val="18"/>
                <w:lang w:eastAsia="en-GB"/>
              </w:rPr>
            </w:pPr>
            <w:r w:rsidRPr="009B5734">
              <w:rPr>
                <w:rFonts w:ascii="Times New Roman" w:eastAsia="Times New Roman" w:hAnsi="Times New Roman" w:cs="Times New Roman"/>
                <w:i/>
                <w:iCs/>
                <w:noProof/>
                <w:color w:val="000000"/>
                <w:sz w:val="18"/>
                <w:szCs w:val="18"/>
                <w:lang w:eastAsia="en-GB"/>
              </w:rPr>
              <w:t>Main source: preparatory study</w:t>
            </w:r>
          </w:p>
        </w:tc>
        <w:tc>
          <w:tcPr>
            <w:tcW w:w="716" w:type="pct"/>
            <w:shd w:val="clear" w:color="auto" w:fill="auto"/>
          </w:tcPr>
          <w:p w:rsidR="00EA45F9" w:rsidRPr="009B5734" w:rsidRDefault="00EA45F9" w:rsidP="00981615">
            <w:pPr>
              <w:spacing w:before="240"/>
              <w:ind w:left="0" w:firstLine="0"/>
              <w:jc w:val="center"/>
              <w:rPr>
                <w:rFonts w:ascii="Times New Roman" w:eastAsia="Times New Roman" w:hAnsi="Times New Roman" w:cs="Times New Roman"/>
                <w:noProof/>
                <w:color w:val="002395"/>
                <w:sz w:val="18"/>
                <w:szCs w:val="18"/>
                <w:lang w:eastAsia="en-GB"/>
              </w:rPr>
            </w:pPr>
            <w:r w:rsidRPr="009B5734">
              <w:rPr>
                <w:rFonts w:ascii="Times New Roman" w:eastAsia="Times New Roman" w:hAnsi="Times New Roman" w:cs="Times New Roman"/>
                <w:noProof/>
                <w:color w:val="002395"/>
                <w:sz w:val="18"/>
                <w:szCs w:val="18"/>
                <w:lang w:eastAsia="en-GB"/>
              </w:rPr>
              <w:sym w:font="Wingdings" w:char="F0FC"/>
            </w:r>
            <w:r w:rsidRPr="009B5734">
              <w:rPr>
                <w:rFonts w:ascii="Times New Roman" w:eastAsia="Times New Roman" w:hAnsi="Times New Roman" w:cs="Times New Roman"/>
                <w:noProof/>
                <w:color w:val="002395"/>
                <w:sz w:val="18"/>
                <w:szCs w:val="18"/>
                <w:lang w:eastAsia="en-GB"/>
              </w:rPr>
              <w:sym w:font="Wingdings" w:char="F0FC"/>
            </w:r>
          </w:p>
          <w:p w:rsidR="00EA45F9" w:rsidRPr="009B5734" w:rsidRDefault="00EA45F9" w:rsidP="00981615">
            <w:pPr>
              <w:spacing w:before="240"/>
              <w:ind w:left="0" w:firstLine="0"/>
              <w:jc w:val="center"/>
              <w:rPr>
                <w:rFonts w:ascii="Times New Roman" w:eastAsia="Times New Roman" w:hAnsi="Times New Roman" w:cs="Times New Roman"/>
                <w:noProof/>
                <w:color w:val="000000"/>
                <w:sz w:val="18"/>
                <w:szCs w:val="18"/>
                <w:lang w:eastAsia="en-GB"/>
              </w:rPr>
            </w:pPr>
            <w:r w:rsidRPr="009B5734">
              <w:rPr>
                <w:rFonts w:ascii="Times New Roman" w:eastAsia="Times New Roman" w:hAnsi="Times New Roman" w:cs="Times New Roman"/>
                <w:noProof/>
                <w:color w:val="000000"/>
                <w:sz w:val="18"/>
                <w:szCs w:val="18"/>
                <w:lang w:eastAsia="en-GB"/>
              </w:rPr>
              <w:t xml:space="preserve"> Evidence available and stakeholder views </w:t>
            </w:r>
            <w:r w:rsidRPr="009B5734">
              <w:rPr>
                <w:rFonts w:ascii="Times New Roman" w:eastAsia="Times New Roman" w:hAnsi="Times New Roman" w:cs="Times New Roman"/>
                <w:iCs/>
                <w:noProof/>
                <w:color w:val="000000"/>
                <w:sz w:val="18"/>
                <w:szCs w:val="18"/>
                <w:lang w:eastAsia="en-GB"/>
              </w:rPr>
              <w:t>on some key types of goods in this category, such as smartphones and laptops, suggest</w:t>
            </w:r>
            <w:r w:rsidRPr="009B5734">
              <w:rPr>
                <w:rFonts w:ascii="Times New Roman" w:eastAsia="Times New Roman" w:hAnsi="Times New Roman" w:cs="Times New Roman"/>
                <w:noProof/>
                <w:color w:val="000000"/>
                <w:sz w:val="18"/>
                <w:szCs w:val="18"/>
                <w:lang w:eastAsia="en-GB"/>
              </w:rPr>
              <w:t xml:space="preserve"> certain consumer  interest of receiving information on durability and reparability in this product group</w:t>
            </w:r>
          </w:p>
          <w:p w:rsidR="00EA45F9" w:rsidRPr="009B5734" w:rsidRDefault="00EA45F9" w:rsidP="00981615">
            <w:pPr>
              <w:spacing w:before="240"/>
              <w:ind w:left="0" w:firstLine="0"/>
              <w:jc w:val="center"/>
              <w:rPr>
                <w:rFonts w:ascii="Times New Roman" w:eastAsia="Times New Roman" w:hAnsi="Times New Roman" w:cs="Times New Roman"/>
                <w:i/>
                <w:iCs/>
                <w:noProof/>
                <w:color w:val="000000"/>
                <w:sz w:val="18"/>
                <w:szCs w:val="18"/>
                <w:lang w:eastAsia="en-GB"/>
              </w:rPr>
            </w:pPr>
            <w:r w:rsidRPr="009B5734">
              <w:rPr>
                <w:rFonts w:ascii="Times New Roman" w:eastAsia="Times New Roman" w:hAnsi="Times New Roman" w:cs="Times New Roman"/>
                <w:i/>
                <w:iCs/>
                <w:noProof/>
                <w:color w:val="000000"/>
                <w:sz w:val="18"/>
                <w:szCs w:val="18"/>
                <w:lang w:eastAsia="en-GB"/>
              </w:rPr>
              <w:t xml:space="preserve">Main sources: preparatory study, the </w:t>
            </w:r>
            <w:r w:rsidRPr="009B5734">
              <w:rPr>
                <w:rFonts w:ascii="Times New Roman" w:eastAsia="Calibri" w:hAnsi="Times New Roman" w:cs="Times New Roman"/>
                <w:i/>
                <w:iCs/>
                <w:noProof/>
                <w:sz w:val="18"/>
                <w:szCs w:val="18"/>
              </w:rPr>
              <w:t>EC “Behavioural Study on Consumers’ Engagement in the Circular Economy”</w:t>
            </w:r>
            <w:r w:rsidRPr="009B5734">
              <w:rPr>
                <w:rFonts w:ascii="Times New Roman" w:eastAsia="Calibri" w:hAnsi="Times New Roman" w:cs="Times New Roman"/>
                <w:i/>
                <w:iCs/>
                <w:noProof/>
                <w:sz w:val="18"/>
                <w:szCs w:val="18"/>
                <w:vertAlign w:val="superscript"/>
              </w:rPr>
              <w:footnoteReference w:id="305"/>
            </w:r>
            <w:r w:rsidRPr="009B5734">
              <w:rPr>
                <w:rFonts w:ascii="Times New Roman" w:eastAsia="Calibri" w:hAnsi="Times New Roman" w:cs="Times New Roman"/>
                <w:i/>
                <w:iCs/>
                <w:noProof/>
                <w:sz w:val="18"/>
                <w:szCs w:val="18"/>
              </w:rPr>
              <w:t xml:space="preserve">, </w:t>
            </w:r>
            <w:r w:rsidRPr="009B5734">
              <w:rPr>
                <w:rFonts w:ascii="Times New Roman" w:eastAsia="Times New Roman" w:hAnsi="Times New Roman" w:cs="Times New Roman"/>
                <w:i/>
                <w:iCs/>
                <w:noProof/>
                <w:color w:val="000000"/>
                <w:sz w:val="18"/>
                <w:szCs w:val="18"/>
                <w:lang w:eastAsia="en-GB"/>
              </w:rPr>
              <w:t xml:space="preserve"> 2019 Market Monitoring survey</w:t>
            </w:r>
            <w:r w:rsidRPr="009B5734">
              <w:rPr>
                <w:rFonts w:ascii="Times New Roman" w:eastAsia="Times New Roman" w:hAnsi="Times New Roman" w:cs="Times New Roman"/>
                <w:i/>
                <w:iCs/>
                <w:noProof/>
                <w:color w:val="000000"/>
                <w:sz w:val="18"/>
                <w:szCs w:val="18"/>
                <w:vertAlign w:val="superscript"/>
                <w:lang w:eastAsia="en-GB"/>
              </w:rPr>
              <w:footnoteReference w:id="306"/>
            </w:r>
            <w:r w:rsidRPr="009B5734">
              <w:rPr>
                <w:rFonts w:ascii="Times New Roman" w:eastAsia="Times New Roman" w:hAnsi="Times New Roman" w:cs="Times New Roman"/>
                <w:i/>
                <w:iCs/>
                <w:noProof/>
                <w:color w:val="000000"/>
                <w:sz w:val="18"/>
                <w:szCs w:val="18"/>
                <w:lang w:eastAsia="en-GB"/>
              </w:rPr>
              <w:t>, EESC “The influence of lifespan labelling on consumers”.</w:t>
            </w:r>
            <w:r w:rsidRPr="009B5734">
              <w:rPr>
                <w:rFonts w:ascii="Times New Roman" w:eastAsia="Times New Roman" w:hAnsi="Times New Roman" w:cs="Times New Roman"/>
                <w:i/>
                <w:iCs/>
                <w:noProof/>
                <w:color w:val="000000"/>
                <w:sz w:val="18"/>
                <w:szCs w:val="18"/>
                <w:vertAlign w:val="superscript"/>
                <w:lang w:eastAsia="en-GB"/>
              </w:rPr>
              <w:footnoteReference w:id="307"/>
            </w:r>
          </w:p>
          <w:p w:rsidR="00EA45F9" w:rsidRPr="009B5734" w:rsidRDefault="00EA45F9" w:rsidP="00981615">
            <w:pPr>
              <w:spacing w:before="240"/>
              <w:ind w:left="0" w:firstLine="0"/>
              <w:jc w:val="center"/>
              <w:rPr>
                <w:rFonts w:ascii="Times New Roman" w:eastAsia="Times New Roman" w:hAnsi="Times New Roman" w:cs="Times New Roman"/>
                <w:noProof/>
                <w:color w:val="000000"/>
                <w:sz w:val="18"/>
                <w:szCs w:val="18"/>
                <w:lang w:eastAsia="en-GB"/>
              </w:rPr>
            </w:pPr>
          </w:p>
          <w:p w:rsidR="00EA45F9" w:rsidRPr="009B5734" w:rsidRDefault="00EA45F9" w:rsidP="00981615">
            <w:pPr>
              <w:spacing w:before="240"/>
              <w:ind w:left="0" w:firstLine="0"/>
              <w:jc w:val="center"/>
              <w:rPr>
                <w:rFonts w:ascii="Times New Roman" w:eastAsia="Times New Roman" w:hAnsi="Times New Roman" w:cs="Times New Roman"/>
                <w:noProof/>
                <w:color w:val="000000"/>
                <w:sz w:val="18"/>
                <w:szCs w:val="18"/>
                <w:lang w:eastAsia="en-GB"/>
              </w:rPr>
            </w:pPr>
          </w:p>
        </w:tc>
        <w:tc>
          <w:tcPr>
            <w:tcW w:w="804" w:type="pct"/>
            <w:shd w:val="clear" w:color="auto" w:fill="auto"/>
          </w:tcPr>
          <w:p w:rsidR="00EA45F9" w:rsidRPr="009B5734" w:rsidRDefault="00EA45F9" w:rsidP="00981615">
            <w:pPr>
              <w:spacing w:before="240"/>
              <w:ind w:left="0" w:firstLine="0"/>
              <w:jc w:val="center"/>
              <w:rPr>
                <w:rFonts w:ascii="Times New Roman" w:eastAsia="Times New Roman" w:hAnsi="Times New Roman" w:cs="Times New Roman"/>
                <w:noProof/>
                <w:color w:val="002395"/>
                <w:sz w:val="20"/>
                <w:szCs w:val="20"/>
                <w:lang w:eastAsia="en-GB"/>
              </w:rPr>
            </w:pPr>
            <w:r w:rsidRPr="009B5734">
              <w:rPr>
                <w:rFonts w:ascii="Times New Roman" w:eastAsia="Times New Roman" w:hAnsi="Times New Roman" w:cs="Times New Roman"/>
                <w:noProof/>
                <w:color w:val="002395"/>
                <w:sz w:val="20"/>
                <w:szCs w:val="20"/>
                <w:lang w:eastAsia="en-GB"/>
              </w:rPr>
              <w:sym w:font="Wingdings" w:char="F0FC"/>
            </w:r>
          </w:p>
          <w:p w:rsidR="00EA45F9" w:rsidRPr="009B5734" w:rsidRDefault="00EA45F9" w:rsidP="00981615">
            <w:pPr>
              <w:spacing w:before="240"/>
              <w:ind w:left="0" w:firstLine="0"/>
              <w:jc w:val="center"/>
              <w:rPr>
                <w:rFonts w:ascii="Times New Roman" w:eastAsia="Times New Roman" w:hAnsi="Times New Roman" w:cs="Times New Roman"/>
                <w:noProof/>
                <w:color w:val="000000"/>
                <w:sz w:val="20"/>
                <w:szCs w:val="20"/>
                <w:lang w:eastAsia="en-GB"/>
              </w:rPr>
            </w:pPr>
          </w:p>
          <w:p w:rsidR="00EA45F9" w:rsidRPr="009B5734" w:rsidRDefault="00EA45F9" w:rsidP="00981615">
            <w:pPr>
              <w:spacing w:before="240"/>
              <w:ind w:left="0" w:firstLine="0"/>
              <w:jc w:val="center"/>
              <w:rPr>
                <w:rFonts w:ascii="Times New Roman" w:eastAsia="Calibri" w:hAnsi="Times New Roman" w:cs="Times New Roman"/>
                <w:noProof/>
                <w:sz w:val="18"/>
                <w:szCs w:val="18"/>
              </w:rPr>
            </w:pPr>
            <w:r w:rsidRPr="009B5734">
              <w:rPr>
                <w:rFonts w:ascii="Times New Roman" w:eastAsia="Calibri" w:hAnsi="Times New Roman" w:cs="Times New Roman"/>
                <w:noProof/>
                <w:sz w:val="18"/>
                <w:szCs w:val="18"/>
              </w:rPr>
              <w:t>Desk research and mystery shopping exercises indicates some presence of commercial guarantees in the market in this product group</w:t>
            </w:r>
          </w:p>
          <w:p w:rsidR="00EA45F9" w:rsidRPr="009B5734" w:rsidRDefault="00EA45F9" w:rsidP="00981615">
            <w:pPr>
              <w:spacing w:after="160"/>
              <w:ind w:left="0" w:firstLine="0"/>
              <w:jc w:val="left"/>
              <w:rPr>
                <w:rFonts w:ascii="Times New Roman" w:eastAsia="Calibri" w:hAnsi="Times New Roman" w:cs="Times New Roman"/>
                <w:noProof/>
                <w:sz w:val="18"/>
                <w:szCs w:val="18"/>
              </w:rPr>
            </w:pPr>
          </w:p>
          <w:p w:rsidR="00EA45F9" w:rsidRPr="009B5734" w:rsidRDefault="00EA45F9" w:rsidP="00981615">
            <w:pPr>
              <w:spacing w:after="160"/>
              <w:ind w:left="0" w:firstLine="0"/>
              <w:jc w:val="left"/>
              <w:rPr>
                <w:rFonts w:ascii="Times New Roman" w:eastAsia="Calibri" w:hAnsi="Times New Roman" w:cs="Times New Roman"/>
                <w:i/>
                <w:iCs/>
                <w:noProof/>
                <w:sz w:val="20"/>
                <w:szCs w:val="20"/>
              </w:rPr>
            </w:pPr>
            <w:r w:rsidRPr="009B5734">
              <w:rPr>
                <w:rFonts w:ascii="Times New Roman" w:eastAsia="Calibri" w:hAnsi="Times New Roman" w:cs="Times New Roman"/>
                <w:i/>
                <w:iCs/>
                <w:noProof/>
                <w:sz w:val="18"/>
                <w:szCs w:val="18"/>
              </w:rPr>
              <w:t xml:space="preserve">Main sources: </w:t>
            </w:r>
            <w:r w:rsidRPr="009B5734">
              <w:rPr>
                <w:rFonts w:ascii="Times New Roman" w:eastAsia="Times New Roman" w:hAnsi="Times New Roman" w:cs="Times New Roman"/>
                <w:i/>
                <w:iCs/>
                <w:noProof/>
                <w:color w:val="000000"/>
                <w:sz w:val="18"/>
                <w:szCs w:val="18"/>
                <w:lang w:eastAsia="en-GB"/>
              </w:rPr>
              <w:t xml:space="preserve">preparatory study; </w:t>
            </w:r>
            <w:r w:rsidRPr="009B5734">
              <w:rPr>
                <w:rFonts w:ascii="Times New Roman" w:eastAsia="Calibri" w:hAnsi="Times New Roman" w:cs="Times New Roman"/>
                <w:i/>
                <w:iCs/>
                <w:noProof/>
                <w:sz w:val="18"/>
                <w:szCs w:val="18"/>
              </w:rPr>
              <w:t xml:space="preserve"> 2015 commercial/legal guarantee study</w:t>
            </w:r>
            <w:r w:rsidRPr="009B5734">
              <w:rPr>
                <w:rFonts w:ascii="Times New Roman" w:eastAsia="Calibri" w:hAnsi="Times New Roman" w:cs="Times New Roman"/>
                <w:i/>
                <w:iCs/>
                <w:noProof/>
                <w:sz w:val="18"/>
                <w:szCs w:val="18"/>
                <w:vertAlign w:val="superscript"/>
              </w:rPr>
              <w:footnoteReference w:id="308"/>
            </w:r>
          </w:p>
          <w:p w:rsidR="00EA45F9" w:rsidRPr="009B5734" w:rsidRDefault="00EA45F9" w:rsidP="00981615">
            <w:pPr>
              <w:spacing w:before="240"/>
              <w:ind w:left="0" w:firstLine="0"/>
              <w:jc w:val="center"/>
              <w:rPr>
                <w:rFonts w:ascii="Times New Roman" w:eastAsia="Times New Roman" w:hAnsi="Times New Roman" w:cs="Times New Roman"/>
                <w:noProof/>
                <w:color w:val="000000"/>
                <w:lang w:eastAsia="en-GB"/>
              </w:rPr>
            </w:pPr>
          </w:p>
        </w:tc>
        <w:tc>
          <w:tcPr>
            <w:tcW w:w="634" w:type="pct"/>
          </w:tcPr>
          <w:p w:rsidR="00EA45F9" w:rsidRPr="009B5734" w:rsidRDefault="00EA45F9" w:rsidP="00981615">
            <w:pPr>
              <w:spacing w:before="240"/>
              <w:ind w:left="0" w:firstLine="0"/>
              <w:jc w:val="center"/>
              <w:rPr>
                <w:rFonts w:ascii="Times New Roman" w:eastAsia="Times New Roman" w:hAnsi="Times New Roman" w:cs="Times New Roman"/>
                <w:noProof/>
                <w:color w:val="002395"/>
                <w:lang w:eastAsia="en-GB"/>
              </w:rPr>
            </w:pPr>
            <w:r w:rsidRPr="009B5734">
              <w:rPr>
                <w:rFonts w:ascii="Times New Roman" w:eastAsia="Times New Roman" w:hAnsi="Times New Roman" w:cs="Times New Roman"/>
                <w:noProof/>
                <w:color w:val="002395"/>
                <w:lang w:eastAsia="en-GB"/>
              </w:rPr>
              <w:t>Low</w:t>
            </w:r>
          </w:p>
          <w:p w:rsidR="00EA45F9" w:rsidRPr="009B5734" w:rsidRDefault="00EA45F9" w:rsidP="00981615">
            <w:pPr>
              <w:spacing w:before="240"/>
              <w:ind w:left="0" w:firstLine="0"/>
              <w:jc w:val="center"/>
              <w:rPr>
                <w:rFonts w:ascii="Times New Roman" w:eastAsia="Times New Roman" w:hAnsi="Times New Roman" w:cs="Times New Roman"/>
                <w:noProof/>
                <w:color w:val="000000"/>
                <w:sz w:val="20"/>
                <w:szCs w:val="20"/>
                <w:lang w:eastAsia="en-GB"/>
              </w:rPr>
            </w:pPr>
          </w:p>
          <w:p w:rsidR="00EA45F9" w:rsidRPr="009B5734" w:rsidRDefault="00EA45F9" w:rsidP="00981615">
            <w:pPr>
              <w:spacing w:before="240"/>
              <w:ind w:left="0" w:firstLine="0"/>
              <w:jc w:val="center"/>
              <w:rPr>
                <w:rFonts w:ascii="Times New Roman" w:eastAsia="Times New Roman" w:hAnsi="Times New Roman" w:cs="Times New Roman"/>
                <w:noProof/>
                <w:color w:val="000000"/>
                <w:sz w:val="18"/>
                <w:szCs w:val="18"/>
                <w:lang w:eastAsia="en-GB"/>
              </w:rPr>
            </w:pPr>
            <w:r w:rsidRPr="009B5734">
              <w:rPr>
                <w:rFonts w:ascii="Times New Roman" w:eastAsia="Times New Roman" w:hAnsi="Times New Roman" w:cs="Times New Roman"/>
                <w:noProof/>
                <w:color w:val="000000"/>
                <w:sz w:val="18"/>
                <w:szCs w:val="18"/>
                <w:lang w:eastAsia="en-GB"/>
              </w:rPr>
              <w:t>The level of uncertainty was considered low as there is sufficient evidence on the size of the problem and on the expectations and needs of consumers to assess benefits of measures related to providing information on durability and reparability per product scope</w:t>
            </w:r>
          </w:p>
          <w:p w:rsidR="00EA45F9" w:rsidRPr="009B5734" w:rsidRDefault="00EA45F9" w:rsidP="00981615">
            <w:pPr>
              <w:spacing w:before="240"/>
              <w:ind w:left="0" w:firstLine="0"/>
              <w:jc w:val="center"/>
              <w:rPr>
                <w:rFonts w:ascii="Times New Roman" w:eastAsia="Times New Roman" w:hAnsi="Times New Roman" w:cs="Times New Roman"/>
                <w:noProof/>
                <w:color w:val="000000"/>
                <w:sz w:val="18"/>
                <w:szCs w:val="18"/>
                <w:lang w:eastAsia="en-GB"/>
              </w:rPr>
            </w:pPr>
          </w:p>
          <w:p w:rsidR="00EA45F9" w:rsidRPr="009B5734" w:rsidRDefault="00EA45F9" w:rsidP="00981615">
            <w:pPr>
              <w:spacing w:before="240"/>
              <w:ind w:left="0" w:firstLine="0"/>
              <w:jc w:val="center"/>
              <w:rPr>
                <w:rFonts w:ascii="Times New Roman" w:eastAsia="Times New Roman" w:hAnsi="Times New Roman" w:cs="Times New Roman"/>
                <w:noProof/>
                <w:color w:val="000000"/>
                <w:sz w:val="18"/>
                <w:szCs w:val="18"/>
                <w:lang w:eastAsia="en-GB"/>
              </w:rPr>
            </w:pPr>
          </w:p>
          <w:p w:rsidR="00EA45F9" w:rsidRPr="009B5734" w:rsidRDefault="00EA45F9" w:rsidP="00981615">
            <w:pPr>
              <w:spacing w:before="240"/>
              <w:ind w:left="0" w:firstLine="0"/>
              <w:jc w:val="center"/>
              <w:rPr>
                <w:rFonts w:ascii="Times New Roman" w:eastAsia="Times New Roman" w:hAnsi="Times New Roman" w:cs="Times New Roman"/>
                <w:noProof/>
                <w:color w:val="000000"/>
                <w:sz w:val="20"/>
                <w:szCs w:val="20"/>
                <w:lang w:eastAsia="en-GB"/>
              </w:rPr>
            </w:pPr>
            <w:r w:rsidRPr="009B5734">
              <w:rPr>
                <w:rFonts w:ascii="Times New Roman" w:eastAsia="Times New Roman" w:hAnsi="Times New Roman" w:cs="Times New Roman"/>
                <w:noProof/>
                <w:color w:val="000000"/>
                <w:sz w:val="18"/>
                <w:szCs w:val="18"/>
                <w:lang w:eastAsia="en-GB"/>
              </w:rPr>
              <w:t>Source.</w:t>
            </w:r>
          </w:p>
        </w:tc>
      </w:tr>
      <w:tr w:rsidR="00EA45F9" w:rsidRPr="009B5734" w:rsidTr="00C84A99">
        <w:trPr>
          <w:trHeight w:val="690"/>
        </w:trPr>
        <w:tc>
          <w:tcPr>
            <w:tcW w:w="683" w:type="pct"/>
            <w:shd w:val="clear" w:color="auto" w:fill="auto"/>
            <w:vAlign w:val="center"/>
            <w:hideMark/>
          </w:tcPr>
          <w:p w:rsidR="00EA45F9" w:rsidRPr="009B5734" w:rsidRDefault="00EA45F9" w:rsidP="0070068F">
            <w:pPr>
              <w:spacing w:before="240"/>
              <w:ind w:left="0" w:firstLine="0"/>
              <w:jc w:val="left"/>
              <w:rPr>
                <w:rFonts w:ascii="Times New Roman" w:eastAsia="Times New Roman" w:hAnsi="Times New Roman" w:cs="Times New Roman"/>
                <w:noProof/>
                <w:color w:val="1F3864"/>
                <w:sz w:val="20"/>
                <w:szCs w:val="20"/>
                <w:lang w:eastAsia="en-GB"/>
              </w:rPr>
            </w:pPr>
            <w:r w:rsidRPr="009B5734">
              <w:rPr>
                <w:rFonts w:ascii="Times New Roman" w:eastAsia="Times New Roman" w:hAnsi="Times New Roman" w:cs="Times New Roman"/>
                <w:b/>
                <w:noProof/>
                <w:color w:val="1F3864"/>
                <w:sz w:val="20"/>
                <w:szCs w:val="20"/>
                <w:lang w:eastAsia="en-GB"/>
              </w:rPr>
              <w:t>Medium product scope</w:t>
            </w:r>
            <w:r w:rsidRPr="009B5734">
              <w:rPr>
                <w:rFonts w:ascii="Times New Roman" w:eastAsia="Times New Roman" w:hAnsi="Times New Roman" w:cs="Times New Roman"/>
                <w:noProof/>
                <w:color w:val="1F3864"/>
                <w:sz w:val="20"/>
                <w:szCs w:val="20"/>
                <w:lang w:eastAsia="en-GB"/>
              </w:rPr>
              <w:t xml:space="preserve"> (i.e. all energy-using goods</w:t>
            </w:r>
            <w:r w:rsidRPr="009B5734">
              <w:rPr>
                <w:rFonts w:ascii="Times New Roman" w:eastAsia="Times New Roman" w:hAnsi="Times New Roman" w:cs="Times New Roman"/>
                <w:noProof/>
                <w:color w:val="1F3864"/>
                <w:sz w:val="20"/>
                <w:szCs w:val="20"/>
                <w:vertAlign w:val="superscript"/>
                <w:lang w:eastAsia="en-GB"/>
              </w:rPr>
              <w:footnoteReference w:id="309"/>
            </w:r>
            <w:r w:rsidRPr="009B5734">
              <w:rPr>
                <w:rFonts w:ascii="Times New Roman" w:eastAsia="Times New Roman" w:hAnsi="Times New Roman" w:cs="Times New Roman"/>
                <w:noProof/>
                <w:color w:val="1F3864"/>
                <w:sz w:val="20"/>
                <w:szCs w:val="20"/>
                <w:lang w:eastAsia="en-GB"/>
              </w:rPr>
              <w:t>)</w:t>
            </w:r>
          </w:p>
        </w:tc>
        <w:tc>
          <w:tcPr>
            <w:tcW w:w="1082" w:type="pct"/>
            <w:shd w:val="clear" w:color="auto" w:fill="auto"/>
            <w:hideMark/>
          </w:tcPr>
          <w:p w:rsidR="00EA45F9" w:rsidRPr="009B5734" w:rsidRDefault="00EA45F9" w:rsidP="00981615">
            <w:pPr>
              <w:spacing w:before="240"/>
              <w:ind w:left="0" w:firstLine="0"/>
              <w:jc w:val="center"/>
              <w:rPr>
                <w:rFonts w:ascii="Times New Roman" w:eastAsia="Times New Roman" w:hAnsi="Times New Roman" w:cs="Times New Roman"/>
                <w:noProof/>
                <w:color w:val="002395"/>
                <w:sz w:val="18"/>
                <w:szCs w:val="18"/>
                <w:lang w:eastAsia="en-GB"/>
              </w:rPr>
            </w:pPr>
            <w:r w:rsidRPr="009B5734">
              <w:rPr>
                <w:rFonts w:ascii="Times New Roman" w:eastAsia="Times New Roman" w:hAnsi="Times New Roman" w:cs="Times New Roman"/>
                <w:noProof/>
                <w:color w:val="002395"/>
                <w:sz w:val="18"/>
                <w:szCs w:val="18"/>
                <w:lang w:eastAsia="en-GB"/>
              </w:rPr>
              <w:sym w:font="Wingdings" w:char="F0FC"/>
            </w:r>
            <w:r w:rsidRPr="009B5734">
              <w:rPr>
                <w:rFonts w:ascii="Times New Roman" w:eastAsia="Times New Roman" w:hAnsi="Times New Roman" w:cs="Times New Roman"/>
                <w:noProof/>
                <w:color w:val="002395"/>
                <w:sz w:val="18"/>
                <w:szCs w:val="18"/>
                <w:lang w:eastAsia="en-GB"/>
              </w:rPr>
              <w:sym w:font="Wingdings" w:char="F0FC"/>
            </w:r>
            <w:r w:rsidRPr="009B5734">
              <w:rPr>
                <w:rFonts w:ascii="Times New Roman" w:eastAsia="Times New Roman" w:hAnsi="Times New Roman" w:cs="Times New Roman"/>
                <w:noProof/>
                <w:color w:val="002395"/>
                <w:sz w:val="18"/>
                <w:szCs w:val="18"/>
                <w:lang w:eastAsia="en-GB"/>
              </w:rPr>
              <w:sym w:font="Wingdings" w:char="F0FC"/>
            </w:r>
          </w:p>
          <w:p w:rsidR="00EA45F9" w:rsidRPr="009B5734" w:rsidRDefault="00EA45F9" w:rsidP="00981615">
            <w:pPr>
              <w:spacing w:before="240"/>
              <w:ind w:left="0" w:firstLine="0"/>
              <w:jc w:val="center"/>
              <w:rPr>
                <w:rFonts w:ascii="Times New Roman" w:eastAsia="Times New Roman" w:hAnsi="Times New Roman" w:cs="Times New Roman"/>
                <w:noProof/>
                <w:color w:val="000000"/>
                <w:sz w:val="18"/>
                <w:szCs w:val="18"/>
                <w:lang w:eastAsia="en-GB"/>
              </w:rPr>
            </w:pPr>
            <w:r w:rsidRPr="009B5734">
              <w:rPr>
                <w:rFonts w:ascii="Times New Roman" w:eastAsia="Times New Roman" w:hAnsi="Times New Roman" w:cs="Times New Roman"/>
                <w:noProof/>
                <w:color w:val="000000"/>
                <w:sz w:val="18"/>
                <w:szCs w:val="18"/>
                <w:lang w:eastAsia="en-GB"/>
              </w:rPr>
              <w:t>Evidence available and stakeholder views covering a significant number of key types of goods in this category such as the ones mentioned under the narrow product scope as well as washing machines, refrigerators, microwaves/electric ovens, vacuum cleaners, dishwashers, coffee machines, irons, mixers, kettles, electric shavers/razors/trimmers, hair dryers,  demonstrates the existence of problems with limited durability and reparability in this product category</w:t>
            </w:r>
          </w:p>
          <w:p w:rsidR="00EA45F9" w:rsidRPr="009B5734" w:rsidRDefault="00EA45F9" w:rsidP="00981615">
            <w:pPr>
              <w:spacing w:before="240"/>
              <w:ind w:left="0" w:firstLine="0"/>
              <w:jc w:val="center"/>
              <w:rPr>
                <w:rFonts w:ascii="Times New Roman" w:eastAsia="Times New Roman" w:hAnsi="Times New Roman" w:cs="Times New Roman"/>
                <w:i/>
                <w:iCs/>
                <w:noProof/>
                <w:color w:val="000000"/>
                <w:sz w:val="18"/>
                <w:szCs w:val="18"/>
                <w:lang w:eastAsia="en-GB"/>
              </w:rPr>
            </w:pPr>
          </w:p>
          <w:p w:rsidR="00EA45F9" w:rsidRPr="009B5734" w:rsidRDefault="00EA45F9" w:rsidP="00981615">
            <w:pPr>
              <w:spacing w:before="240"/>
              <w:ind w:left="0" w:firstLine="0"/>
              <w:jc w:val="center"/>
              <w:rPr>
                <w:rFonts w:ascii="Times New Roman" w:eastAsia="Times New Roman" w:hAnsi="Times New Roman" w:cs="Times New Roman"/>
                <w:i/>
                <w:iCs/>
                <w:noProof/>
                <w:color w:val="000000"/>
                <w:sz w:val="18"/>
                <w:szCs w:val="18"/>
                <w:lang w:eastAsia="en-GB"/>
              </w:rPr>
            </w:pPr>
            <w:r w:rsidRPr="009B5734">
              <w:rPr>
                <w:rFonts w:ascii="Times New Roman" w:eastAsia="Times New Roman" w:hAnsi="Times New Roman" w:cs="Times New Roman"/>
                <w:i/>
                <w:iCs/>
                <w:noProof/>
                <w:color w:val="000000"/>
                <w:sz w:val="18"/>
                <w:szCs w:val="18"/>
                <w:lang w:eastAsia="en-GB"/>
              </w:rPr>
              <w:t>Main source: preparatory study</w:t>
            </w:r>
          </w:p>
        </w:tc>
        <w:tc>
          <w:tcPr>
            <w:tcW w:w="1082" w:type="pct"/>
          </w:tcPr>
          <w:p w:rsidR="00EA45F9" w:rsidRPr="009B5734" w:rsidRDefault="00EA45F9" w:rsidP="00981615">
            <w:pPr>
              <w:spacing w:before="240"/>
              <w:ind w:left="0" w:firstLine="0"/>
              <w:jc w:val="center"/>
              <w:rPr>
                <w:rFonts w:ascii="Times New Roman" w:eastAsia="Times New Roman" w:hAnsi="Times New Roman" w:cs="Times New Roman"/>
                <w:noProof/>
                <w:color w:val="002395"/>
                <w:sz w:val="18"/>
                <w:szCs w:val="18"/>
                <w:lang w:eastAsia="en-GB"/>
              </w:rPr>
            </w:pPr>
            <w:r w:rsidRPr="009B5734">
              <w:rPr>
                <w:rFonts w:ascii="Times New Roman" w:eastAsia="Times New Roman" w:hAnsi="Times New Roman" w:cs="Times New Roman"/>
                <w:noProof/>
                <w:color w:val="002395"/>
                <w:sz w:val="18"/>
                <w:szCs w:val="18"/>
                <w:lang w:eastAsia="en-GB"/>
              </w:rPr>
              <w:sym w:font="Wingdings" w:char="F0FC"/>
            </w:r>
            <w:r w:rsidRPr="009B5734">
              <w:rPr>
                <w:rFonts w:ascii="Times New Roman" w:eastAsia="Times New Roman" w:hAnsi="Times New Roman" w:cs="Times New Roman"/>
                <w:noProof/>
                <w:color w:val="002395"/>
                <w:sz w:val="18"/>
                <w:szCs w:val="18"/>
                <w:lang w:eastAsia="en-GB"/>
              </w:rPr>
              <w:sym w:font="Wingdings" w:char="F0FC"/>
            </w:r>
            <w:r w:rsidRPr="009B5734">
              <w:rPr>
                <w:rFonts w:ascii="Times New Roman" w:eastAsia="Times New Roman" w:hAnsi="Times New Roman" w:cs="Times New Roman"/>
                <w:noProof/>
                <w:color w:val="002395"/>
                <w:sz w:val="18"/>
                <w:szCs w:val="18"/>
                <w:lang w:eastAsia="en-GB"/>
              </w:rPr>
              <w:sym w:font="Wingdings" w:char="F0FC"/>
            </w:r>
          </w:p>
          <w:p w:rsidR="00EA45F9" w:rsidRPr="009B5734" w:rsidRDefault="00EA45F9" w:rsidP="00981615">
            <w:pPr>
              <w:spacing w:before="240"/>
              <w:ind w:left="0" w:firstLine="0"/>
              <w:jc w:val="center"/>
              <w:rPr>
                <w:rFonts w:ascii="Times New Roman" w:eastAsia="Times New Roman" w:hAnsi="Times New Roman" w:cs="Times New Roman"/>
                <w:noProof/>
                <w:color w:val="000000"/>
                <w:sz w:val="18"/>
                <w:szCs w:val="18"/>
                <w:lang w:eastAsia="en-GB"/>
              </w:rPr>
            </w:pPr>
            <w:r w:rsidRPr="009B5734">
              <w:rPr>
                <w:rFonts w:ascii="Times New Roman" w:eastAsia="Times New Roman" w:hAnsi="Times New Roman" w:cs="Times New Roman"/>
                <w:noProof/>
                <w:color w:val="000000"/>
                <w:sz w:val="18"/>
                <w:szCs w:val="18"/>
                <w:lang w:eastAsia="en-GB"/>
              </w:rPr>
              <w:t>Evidence available and stakeholder views covering a significant number of key types of goods in this category such as the ones mentioned under the narrow product scope as well as washing machines, refrigerators, microwaves/electric ovens, vacuum cleaners, dishwashers, coffee machines, irons, mixers, kettles, electric shavers/razors/trimmers, hair dryers, suggests expectations of consumers regarding higher durability and reparability of a significant share of type of goods in this category</w:t>
            </w:r>
          </w:p>
          <w:p w:rsidR="00EA45F9" w:rsidRPr="009B5734" w:rsidRDefault="00EA45F9" w:rsidP="00981615">
            <w:pPr>
              <w:spacing w:before="240"/>
              <w:ind w:left="0" w:firstLine="0"/>
              <w:jc w:val="center"/>
              <w:rPr>
                <w:rFonts w:ascii="Times New Roman" w:eastAsia="Times New Roman" w:hAnsi="Times New Roman" w:cs="Times New Roman"/>
                <w:i/>
                <w:iCs/>
                <w:noProof/>
                <w:color w:val="000000"/>
                <w:sz w:val="18"/>
                <w:szCs w:val="18"/>
                <w:lang w:eastAsia="en-GB"/>
              </w:rPr>
            </w:pPr>
          </w:p>
          <w:p w:rsidR="00EA45F9" w:rsidRPr="009B5734" w:rsidRDefault="00EA45F9" w:rsidP="00981615">
            <w:pPr>
              <w:spacing w:before="240"/>
              <w:ind w:left="0" w:firstLine="0"/>
              <w:jc w:val="center"/>
              <w:rPr>
                <w:rFonts w:ascii="Times New Roman" w:eastAsia="Times New Roman" w:hAnsi="Times New Roman" w:cs="Times New Roman"/>
                <w:noProof/>
                <w:color w:val="000000"/>
                <w:sz w:val="18"/>
                <w:szCs w:val="18"/>
                <w:lang w:eastAsia="en-GB"/>
              </w:rPr>
            </w:pPr>
            <w:r w:rsidRPr="009B5734">
              <w:rPr>
                <w:rFonts w:ascii="Times New Roman" w:eastAsia="Times New Roman" w:hAnsi="Times New Roman" w:cs="Times New Roman"/>
                <w:i/>
                <w:iCs/>
                <w:noProof/>
                <w:color w:val="000000"/>
                <w:sz w:val="18"/>
                <w:szCs w:val="18"/>
                <w:lang w:eastAsia="en-GB"/>
              </w:rPr>
              <w:t>Main source: preparatory study</w:t>
            </w:r>
          </w:p>
        </w:tc>
        <w:tc>
          <w:tcPr>
            <w:tcW w:w="716" w:type="pct"/>
            <w:shd w:val="clear" w:color="auto" w:fill="auto"/>
          </w:tcPr>
          <w:p w:rsidR="00EA45F9" w:rsidRPr="009B5734" w:rsidRDefault="00EA45F9" w:rsidP="00981615">
            <w:pPr>
              <w:spacing w:before="240"/>
              <w:ind w:left="0" w:firstLine="0"/>
              <w:jc w:val="center"/>
              <w:rPr>
                <w:rFonts w:ascii="Times New Roman" w:eastAsia="Times New Roman" w:hAnsi="Times New Roman" w:cs="Times New Roman"/>
                <w:noProof/>
                <w:color w:val="002395"/>
                <w:sz w:val="18"/>
                <w:szCs w:val="18"/>
                <w:lang w:eastAsia="en-GB"/>
              </w:rPr>
            </w:pPr>
            <w:r w:rsidRPr="009B5734">
              <w:rPr>
                <w:rFonts w:ascii="Times New Roman" w:eastAsia="Times New Roman" w:hAnsi="Times New Roman" w:cs="Times New Roman"/>
                <w:noProof/>
                <w:color w:val="002395"/>
                <w:sz w:val="18"/>
                <w:szCs w:val="18"/>
                <w:lang w:eastAsia="en-GB"/>
              </w:rPr>
              <w:sym w:font="Wingdings" w:char="F0FC"/>
            </w:r>
            <w:r w:rsidRPr="009B5734">
              <w:rPr>
                <w:rFonts w:ascii="Times New Roman" w:eastAsia="Times New Roman" w:hAnsi="Times New Roman" w:cs="Times New Roman"/>
                <w:noProof/>
                <w:color w:val="002395"/>
                <w:sz w:val="18"/>
                <w:szCs w:val="18"/>
                <w:lang w:eastAsia="en-GB"/>
              </w:rPr>
              <w:sym w:font="Wingdings" w:char="F0FC"/>
            </w:r>
            <w:r w:rsidRPr="009B5734">
              <w:rPr>
                <w:rFonts w:ascii="Times New Roman" w:eastAsia="Times New Roman" w:hAnsi="Times New Roman" w:cs="Times New Roman"/>
                <w:noProof/>
                <w:color w:val="002395"/>
                <w:sz w:val="18"/>
                <w:szCs w:val="18"/>
                <w:lang w:eastAsia="en-GB"/>
              </w:rPr>
              <w:sym w:font="Wingdings" w:char="F0FC"/>
            </w:r>
          </w:p>
          <w:p w:rsidR="00EA45F9" w:rsidRPr="009B5734" w:rsidRDefault="00EA45F9" w:rsidP="00981615">
            <w:pPr>
              <w:spacing w:before="240"/>
              <w:ind w:left="0" w:firstLine="0"/>
              <w:jc w:val="center"/>
              <w:rPr>
                <w:rFonts w:ascii="Times New Roman" w:eastAsia="Times New Roman" w:hAnsi="Times New Roman" w:cs="Times New Roman"/>
                <w:noProof/>
                <w:color w:val="000000"/>
                <w:sz w:val="18"/>
                <w:szCs w:val="18"/>
                <w:lang w:eastAsia="en-GB"/>
              </w:rPr>
            </w:pPr>
            <w:r w:rsidRPr="009B5734">
              <w:rPr>
                <w:rFonts w:ascii="Times New Roman" w:eastAsia="Times New Roman" w:hAnsi="Times New Roman" w:cs="Times New Roman"/>
                <w:noProof/>
                <w:color w:val="000000"/>
                <w:sz w:val="18"/>
                <w:szCs w:val="18"/>
                <w:lang w:eastAsia="en-GB"/>
              </w:rPr>
              <w:t xml:space="preserve">Evidence available covering a wide variety of large household appliances, small household appliance and IT and electronic goods </w:t>
            </w:r>
            <w:r w:rsidRPr="009B5734">
              <w:rPr>
                <w:rFonts w:ascii="Times New Roman" w:eastAsia="Times New Roman" w:hAnsi="Times New Roman" w:cs="Times New Roman"/>
                <w:iCs/>
                <w:noProof/>
                <w:color w:val="000000"/>
                <w:sz w:val="18"/>
                <w:szCs w:val="18"/>
                <w:lang w:eastAsia="en-GB"/>
              </w:rPr>
              <w:t>suggests</w:t>
            </w:r>
            <w:r w:rsidRPr="009B5734">
              <w:rPr>
                <w:rFonts w:ascii="Times New Roman" w:eastAsia="Times New Roman" w:hAnsi="Times New Roman" w:cs="Times New Roman"/>
                <w:noProof/>
                <w:color w:val="000000"/>
                <w:sz w:val="18"/>
                <w:szCs w:val="18"/>
                <w:lang w:eastAsia="en-GB"/>
              </w:rPr>
              <w:t xml:space="preserve"> high consumer  interest of receiving information on durability and reparability in this product group</w:t>
            </w:r>
          </w:p>
          <w:p w:rsidR="00EA45F9" w:rsidRPr="009B5734" w:rsidRDefault="00EA45F9" w:rsidP="00981615">
            <w:pPr>
              <w:spacing w:before="240"/>
              <w:ind w:left="0" w:firstLine="0"/>
              <w:jc w:val="left"/>
              <w:rPr>
                <w:rFonts w:ascii="Times New Roman" w:eastAsia="Times New Roman" w:hAnsi="Times New Roman" w:cs="Times New Roman"/>
                <w:noProof/>
                <w:color w:val="000000"/>
                <w:sz w:val="18"/>
                <w:szCs w:val="18"/>
                <w:lang w:eastAsia="en-GB"/>
              </w:rPr>
            </w:pPr>
          </w:p>
          <w:p w:rsidR="00EA45F9" w:rsidRPr="009B5734" w:rsidRDefault="00EA45F9" w:rsidP="00981615">
            <w:pPr>
              <w:spacing w:before="240"/>
              <w:ind w:left="0" w:firstLine="0"/>
              <w:jc w:val="center"/>
              <w:rPr>
                <w:rFonts w:ascii="Times New Roman" w:eastAsia="Times New Roman" w:hAnsi="Times New Roman" w:cs="Times New Roman"/>
                <w:i/>
                <w:iCs/>
                <w:noProof/>
                <w:color w:val="000000"/>
                <w:sz w:val="18"/>
                <w:szCs w:val="18"/>
                <w:lang w:eastAsia="en-GB"/>
              </w:rPr>
            </w:pPr>
            <w:r w:rsidRPr="009B5734">
              <w:rPr>
                <w:rFonts w:ascii="Times New Roman" w:eastAsia="Times New Roman" w:hAnsi="Times New Roman" w:cs="Times New Roman"/>
                <w:i/>
                <w:iCs/>
                <w:noProof/>
                <w:color w:val="000000"/>
                <w:sz w:val="18"/>
                <w:szCs w:val="18"/>
                <w:lang w:eastAsia="en-GB"/>
              </w:rPr>
              <w:t xml:space="preserve">Main sources: preparatory study, the </w:t>
            </w:r>
            <w:r w:rsidRPr="009B5734">
              <w:rPr>
                <w:rFonts w:ascii="Times New Roman" w:eastAsia="Calibri" w:hAnsi="Times New Roman" w:cs="Times New Roman"/>
                <w:i/>
                <w:iCs/>
                <w:noProof/>
                <w:sz w:val="18"/>
                <w:szCs w:val="18"/>
              </w:rPr>
              <w:t>EC “Behavioural Study on Consumers’ Engagement in the Circular Economy”</w:t>
            </w:r>
            <w:r w:rsidRPr="009B5734">
              <w:rPr>
                <w:rFonts w:ascii="Times New Roman" w:eastAsia="Calibri" w:hAnsi="Times New Roman" w:cs="Times New Roman"/>
                <w:i/>
                <w:iCs/>
                <w:noProof/>
                <w:sz w:val="18"/>
                <w:szCs w:val="18"/>
                <w:vertAlign w:val="superscript"/>
              </w:rPr>
              <w:footnoteReference w:id="310"/>
            </w:r>
            <w:r w:rsidRPr="009B5734">
              <w:rPr>
                <w:rFonts w:ascii="Times New Roman" w:eastAsia="Calibri" w:hAnsi="Times New Roman" w:cs="Times New Roman"/>
                <w:i/>
                <w:iCs/>
                <w:noProof/>
                <w:sz w:val="18"/>
                <w:szCs w:val="18"/>
              </w:rPr>
              <w:t xml:space="preserve">, </w:t>
            </w:r>
            <w:r w:rsidRPr="009B5734">
              <w:rPr>
                <w:rFonts w:ascii="Times New Roman" w:eastAsia="Times New Roman" w:hAnsi="Times New Roman" w:cs="Times New Roman"/>
                <w:i/>
                <w:iCs/>
                <w:noProof/>
                <w:color w:val="000000"/>
                <w:sz w:val="18"/>
                <w:szCs w:val="18"/>
                <w:lang w:eastAsia="en-GB"/>
              </w:rPr>
              <w:t xml:space="preserve"> 2019 Market Monitoring survey</w:t>
            </w:r>
            <w:r w:rsidRPr="009B5734">
              <w:rPr>
                <w:rFonts w:ascii="Times New Roman" w:eastAsia="Times New Roman" w:hAnsi="Times New Roman" w:cs="Times New Roman"/>
                <w:i/>
                <w:iCs/>
                <w:noProof/>
                <w:color w:val="000000"/>
                <w:sz w:val="18"/>
                <w:szCs w:val="18"/>
                <w:vertAlign w:val="superscript"/>
                <w:lang w:eastAsia="en-GB"/>
              </w:rPr>
              <w:footnoteReference w:id="311"/>
            </w:r>
            <w:r w:rsidRPr="009B5734">
              <w:rPr>
                <w:rFonts w:ascii="Times New Roman" w:eastAsia="Times New Roman" w:hAnsi="Times New Roman" w:cs="Times New Roman"/>
                <w:i/>
                <w:iCs/>
                <w:noProof/>
                <w:color w:val="000000"/>
                <w:sz w:val="18"/>
                <w:szCs w:val="18"/>
                <w:lang w:eastAsia="en-GB"/>
              </w:rPr>
              <w:t>, EESC “The influence of lifespan labelling on consumers”.</w:t>
            </w:r>
            <w:r w:rsidRPr="009B5734">
              <w:rPr>
                <w:rFonts w:ascii="Times New Roman" w:eastAsia="Times New Roman" w:hAnsi="Times New Roman" w:cs="Times New Roman"/>
                <w:i/>
                <w:iCs/>
                <w:noProof/>
                <w:color w:val="000000"/>
                <w:sz w:val="18"/>
                <w:szCs w:val="18"/>
                <w:vertAlign w:val="superscript"/>
                <w:lang w:eastAsia="en-GB"/>
              </w:rPr>
              <w:footnoteReference w:id="312"/>
            </w:r>
          </w:p>
          <w:p w:rsidR="00EA45F9" w:rsidRPr="009B5734" w:rsidRDefault="00EA45F9" w:rsidP="00981615">
            <w:pPr>
              <w:spacing w:before="240"/>
              <w:ind w:left="0" w:firstLine="0"/>
              <w:jc w:val="center"/>
              <w:rPr>
                <w:rFonts w:ascii="Times New Roman" w:eastAsia="Times New Roman" w:hAnsi="Times New Roman" w:cs="Times New Roman"/>
                <w:i/>
                <w:iCs/>
                <w:noProof/>
                <w:color w:val="000000"/>
                <w:sz w:val="18"/>
                <w:szCs w:val="18"/>
                <w:lang w:eastAsia="en-GB"/>
              </w:rPr>
            </w:pPr>
          </w:p>
        </w:tc>
        <w:tc>
          <w:tcPr>
            <w:tcW w:w="804" w:type="pct"/>
            <w:shd w:val="clear" w:color="auto" w:fill="auto"/>
          </w:tcPr>
          <w:p w:rsidR="00EA45F9" w:rsidRPr="009B5734" w:rsidRDefault="00EA45F9" w:rsidP="00981615">
            <w:pPr>
              <w:spacing w:before="240"/>
              <w:ind w:left="0" w:firstLine="0"/>
              <w:jc w:val="center"/>
              <w:rPr>
                <w:rFonts w:ascii="Times New Roman" w:eastAsia="Times New Roman" w:hAnsi="Times New Roman" w:cs="Times New Roman"/>
                <w:noProof/>
                <w:color w:val="002395"/>
                <w:lang w:eastAsia="en-GB"/>
              </w:rPr>
            </w:pPr>
            <w:r w:rsidRPr="009B5734">
              <w:rPr>
                <w:rFonts w:ascii="Times New Roman" w:eastAsia="Times New Roman" w:hAnsi="Times New Roman" w:cs="Times New Roman"/>
                <w:noProof/>
                <w:color w:val="002395"/>
                <w:lang w:eastAsia="en-GB"/>
              </w:rPr>
              <w:sym w:font="Wingdings" w:char="F0FC"/>
            </w:r>
          </w:p>
          <w:p w:rsidR="00EA45F9" w:rsidRPr="009B5734" w:rsidRDefault="00EA45F9" w:rsidP="00981615">
            <w:pPr>
              <w:spacing w:before="240"/>
              <w:ind w:left="0" w:firstLine="0"/>
              <w:jc w:val="center"/>
              <w:rPr>
                <w:rFonts w:ascii="Times New Roman" w:eastAsia="Times New Roman" w:hAnsi="Times New Roman" w:cs="Times New Roman"/>
                <w:noProof/>
                <w:color w:val="000000"/>
                <w:lang w:eastAsia="en-GB"/>
              </w:rPr>
            </w:pPr>
          </w:p>
          <w:p w:rsidR="00EA45F9" w:rsidRPr="009B5734" w:rsidRDefault="00EA45F9" w:rsidP="00981615">
            <w:pPr>
              <w:spacing w:before="240"/>
              <w:ind w:left="0" w:firstLine="0"/>
              <w:jc w:val="center"/>
              <w:rPr>
                <w:rFonts w:ascii="Times New Roman" w:eastAsia="Calibri" w:hAnsi="Times New Roman" w:cs="Times New Roman"/>
                <w:noProof/>
                <w:sz w:val="18"/>
                <w:szCs w:val="18"/>
              </w:rPr>
            </w:pPr>
            <w:r w:rsidRPr="009B5734">
              <w:rPr>
                <w:rFonts w:ascii="Times New Roman" w:eastAsia="Calibri" w:hAnsi="Times New Roman" w:cs="Times New Roman"/>
                <w:noProof/>
                <w:sz w:val="18"/>
                <w:szCs w:val="18"/>
              </w:rPr>
              <w:t>Desk research and mystery shopping exercises indicates some presence of commercial guarantees in the market in this product group</w:t>
            </w:r>
          </w:p>
          <w:p w:rsidR="00EA45F9" w:rsidRPr="009B5734" w:rsidRDefault="00EA45F9" w:rsidP="00981615">
            <w:pPr>
              <w:spacing w:before="240"/>
              <w:ind w:left="0" w:firstLine="0"/>
              <w:jc w:val="center"/>
              <w:rPr>
                <w:rFonts w:ascii="Times New Roman" w:eastAsia="Calibri" w:hAnsi="Times New Roman" w:cs="Times New Roman"/>
                <w:noProof/>
                <w:sz w:val="18"/>
                <w:szCs w:val="18"/>
              </w:rPr>
            </w:pPr>
          </w:p>
          <w:p w:rsidR="00EA45F9" w:rsidRPr="009B5734" w:rsidRDefault="00EA45F9" w:rsidP="00981615">
            <w:pPr>
              <w:spacing w:after="160"/>
              <w:ind w:left="0" w:firstLine="0"/>
              <w:jc w:val="left"/>
              <w:rPr>
                <w:rFonts w:ascii="Times New Roman" w:eastAsia="Calibri" w:hAnsi="Times New Roman" w:cs="Times New Roman"/>
                <w:i/>
                <w:iCs/>
                <w:noProof/>
                <w:sz w:val="20"/>
                <w:szCs w:val="20"/>
              </w:rPr>
            </w:pPr>
            <w:r w:rsidRPr="009B5734">
              <w:rPr>
                <w:rFonts w:ascii="Times New Roman" w:eastAsia="Calibri" w:hAnsi="Times New Roman" w:cs="Times New Roman"/>
                <w:i/>
                <w:iCs/>
                <w:noProof/>
                <w:sz w:val="18"/>
                <w:szCs w:val="18"/>
              </w:rPr>
              <w:t xml:space="preserve">Main sources: </w:t>
            </w:r>
            <w:r w:rsidRPr="009B5734">
              <w:rPr>
                <w:rFonts w:ascii="Times New Roman" w:eastAsia="Times New Roman" w:hAnsi="Times New Roman" w:cs="Times New Roman"/>
                <w:i/>
                <w:iCs/>
                <w:noProof/>
                <w:color w:val="000000"/>
                <w:sz w:val="18"/>
                <w:szCs w:val="18"/>
                <w:lang w:eastAsia="en-GB"/>
              </w:rPr>
              <w:t xml:space="preserve">preparatory study; </w:t>
            </w:r>
            <w:r w:rsidRPr="009B5734">
              <w:rPr>
                <w:rFonts w:ascii="Times New Roman" w:eastAsia="Calibri" w:hAnsi="Times New Roman" w:cs="Times New Roman"/>
                <w:i/>
                <w:iCs/>
                <w:noProof/>
                <w:sz w:val="18"/>
                <w:szCs w:val="18"/>
              </w:rPr>
              <w:t xml:space="preserve"> 2015 commercial/legal guarantee study</w:t>
            </w:r>
            <w:r w:rsidRPr="009B5734">
              <w:rPr>
                <w:rFonts w:ascii="Times New Roman" w:eastAsia="Calibri" w:hAnsi="Times New Roman" w:cs="Times New Roman"/>
                <w:i/>
                <w:iCs/>
                <w:noProof/>
                <w:sz w:val="18"/>
                <w:szCs w:val="18"/>
                <w:vertAlign w:val="superscript"/>
              </w:rPr>
              <w:footnoteReference w:id="313"/>
            </w:r>
          </w:p>
          <w:p w:rsidR="00EA45F9" w:rsidRPr="009B5734" w:rsidRDefault="00EA45F9" w:rsidP="00981615">
            <w:pPr>
              <w:spacing w:before="240"/>
              <w:ind w:left="0" w:firstLine="0"/>
              <w:jc w:val="center"/>
              <w:rPr>
                <w:rFonts w:ascii="Times New Roman" w:eastAsia="Times New Roman" w:hAnsi="Times New Roman" w:cs="Times New Roman"/>
                <w:noProof/>
                <w:color w:val="000000"/>
                <w:lang w:eastAsia="en-GB"/>
              </w:rPr>
            </w:pPr>
          </w:p>
        </w:tc>
        <w:tc>
          <w:tcPr>
            <w:tcW w:w="634" w:type="pct"/>
          </w:tcPr>
          <w:p w:rsidR="00EA45F9" w:rsidRPr="009B5734" w:rsidRDefault="00EA45F9" w:rsidP="00981615">
            <w:pPr>
              <w:spacing w:before="240"/>
              <w:ind w:left="0" w:firstLine="0"/>
              <w:jc w:val="center"/>
              <w:rPr>
                <w:rFonts w:ascii="Times New Roman" w:eastAsia="Times New Roman" w:hAnsi="Times New Roman" w:cs="Times New Roman"/>
                <w:noProof/>
                <w:color w:val="002395"/>
                <w:lang w:eastAsia="en-GB"/>
              </w:rPr>
            </w:pPr>
            <w:r w:rsidRPr="009B5734">
              <w:rPr>
                <w:rFonts w:ascii="Times New Roman" w:eastAsia="Times New Roman" w:hAnsi="Times New Roman" w:cs="Times New Roman"/>
                <w:noProof/>
                <w:color w:val="002395"/>
                <w:lang w:eastAsia="en-GB"/>
              </w:rPr>
              <w:t>Low</w:t>
            </w:r>
          </w:p>
          <w:p w:rsidR="00EA45F9" w:rsidRPr="009B5734" w:rsidRDefault="00EA45F9" w:rsidP="00981615">
            <w:pPr>
              <w:spacing w:before="240"/>
              <w:ind w:left="0" w:firstLine="0"/>
              <w:jc w:val="center"/>
              <w:rPr>
                <w:rFonts w:ascii="Times New Roman" w:eastAsia="Times New Roman" w:hAnsi="Times New Roman" w:cs="Times New Roman"/>
                <w:noProof/>
                <w:color w:val="000000"/>
                <w:lang w:eastAsia="en-GB"/>
              </w:rPr>
            </w:pPr>
          </w:p>
          <w:p w:rsidR="00EA45F9" w:rsidRPr="009B5734" w:rsidRDefault="00EA45F9" w:rsidP="00981615">
            <w:pPr>
              <w:spacing w:before="240"/>
              <w:ind w:left="0" w:firstLine="0"/>
              <w:jc w:val="center"/>
              <w:rPr>
                <w:rFonts w:ascii="Times New Roman" w:eastAsia="Times New Roman" w:hAnsi="Times New Roman" w:cs="Times New Roman"/>
                <w:noProof/>
                <w:color w:val="000000"/>
                <w:sz w:val="18"/>
                <w:szCs w:val="18"/>
                <w:lang w:eastAsia="en-GB"/>
              </w:rPr>
            </w:pPr>
            <w:r w:rsidRPr="009B5734">
              <w:rPr>
                <w:rFonts w:ascii="Times New Roman" w:eastAsia="Times New Roman" w:hAnsi="Times New Roman" w:cs="Times New Roman"/>
                <w:noProof/>
                <w:color w:val="000000"/>
                <w:sz w:val="18"/>
                <w:szCs w:val="18"/>
                <w:lang w:eastAsia="en-GB"/>
              </w:rPr>
              <w:t>The level of uncertainty was considered low as there is sufficient evidence on the size of the problem and on the expectations and needs of consumers to assess benefits of measures related to providing information on durability and reparability per product scope</w:t>
            </w:r>
          </w:p>
          <w:p w:rsidR="00EA45F9" w:rsidRPr="009B5734" w:rsidRDefault="00EA45F9" w:rsidP="00981615">
            <w:pPr>
              <w:spacing w:before="240"/>
              <w:ind w:left="0" w:firstLine="0"/>
              <w:jc w:val="center"/>
              <w:rPr>
                <w:rFonts w:ascii="Times New Roman" w:eastAsia="Times New Roman" w:hAnsi="Times New Roman" w:cs="Times New Roman"/>
                <w:noProof/>
                <w:color w:val="000000"/>
                <w:lang w:eastAsia="en-GB"/>
              </w:rPr>
            </w:pPr>
          </w:p>
        </w:tc>
      </w:tr>
      <w:tr w:rsidR="00EA45F9" w:rsidRPr="009B5734" w:rsidTr="00C84A99">
        <w:trPr>
          <w:trHeight w:val="690"/>
        </w:trPr>
        <w:tc>
          <w:tcPr>
            <w:tcW w:w="683" w:type="pct"/>
            <w:shd w:val="clear" w:color="auto" w:fill="auto"/>
            <w:vAlign w:val="center"/>
            <w:hideMark/>
          </w:tcPr>
          <w:p w:rsidR="00EA45F9" w:rsidRPr="009B5734" w:rsidRDefault="00EA45F9" w:rsidP="00981615">
            <w:pPr>
              <w:spacing w:before="240"/>
              <w:ind w:left="0" w:firstLine="0"/>
              <w:jc w:val="left"/>
              <w:rPr>
                <w:rFonts w:ascii="Times New Roman" w:eastAsia="Times New Roman" w:hAnsi="Times New Roman" w:cs="Times New Roman"/>
                <w:noProof/>
                <w:color w:val="1F3864"/>
                <w:sz w:val="20"/>
                <w:szCs w:val="20"/>
                <w:lang w:eastAsia="en-GB"/>
              </w:rPr>
            </w:pPr>
            <w:r w:rsidRPr="009B5734">
              <w:rPr>
                <w:rFonts w:ascii="Times New Roman" w:eastAsia="Times New Roman" w:hAnsi="Times New Roman" w:cs="Times New Roman"/>
                <w:b/>
                <w:noProof/>
                <w:color w:val="1F3864"/>
                <w:sz w:val="20"/>
                <w:szCs w:val="20"/>
                <w:lang w:eastAsia="en-GB"/>
              </w:rPr>
              <w:t>Wide product scope</w:t>
            </w:r>
            <w:r w:rsidRPr="009B5734">
              <w:rPr>
                <w:rFonts w:ascii="Times New Roman" w:eastAsia="Times New Roman" w:hAnsi="Times New Roman" w:cs="Times New Roman"/>
                <w:noProof/>
                <w:color w:val="1F3864"/>
                <w:sz w:val="20"/>
                <w:szCs w:val="20"/>
                <w:lang w:eastAsia="en-GB"/>
              </w:rPr>
              <w:t xml:space="preserve"> (i.e. all goods with assembled parts that move relative to one another (e.g., most furniture, some suitcases, some non-energy using toys, bicycles, etc) </w:t>
            </w:r>
          </w:p>
        </w:tc>
        <w:tc>
          <w:tcPr>
            <w:tcW w:w="1082" w:type="pct"/>
            <w:shd w:val="clear" w:color="auto" w:fill="auto"/>
            <w:hideMark/>
          </w:tcPr>
          <w:p w:rsidR="00EA45F9" w:rsidRPr="009B5734" w:rsidRDefault="00EA45F9" w:rsidP="00981615">
            <w:pPr>
              <w:spacing w:before="240"/>
              <w:ind w:left="0" w:firstLine="0"/>
              <w:jc w:val="center"/>
              <w:rPr>
                <w:rFonts w:ascii="Times New Roman" w:eastAsia="Times New Roman" w:hAnsi="Times New Roman" w:cs="Times New Roman"/>
                <w:i/>
                <w:iCs/>
                <w:noProof/>
                <w:color w:val="002395"/>
                <w:sz w:val="18"/>
                <w:szCs w:val="18"/>
                <w:lang w:eastAsia="en-GB"/>
              </w:rPr>
            </w:pPr>
            <w:r w:rsidRPr="009B5734">
              <w:rPr>
                <w:rFonts w:ascii="Times New Roman" w:eastAsia="Times New Roman" w:hAnsi="Times New Roman" w:cs="Times New Roman"/>
                <w:noProof/>
                <w:color w:val="002395"/>
                <w:sz w:val="18"/>
                <w:szCs w:val="18"/>
                <w:lang w:eastAsia="en-GB"/>
              </w:rPr>
              <w:sym w:font="Wingdings" w:char="F0FC"/>
            </w:r>
          </w:p>
          <w:p w:rsidR="00EA45F9" w:rsidRPr="009B5734" w:rsidRDefault="00EA45F9" w:rsidP="00981615">
            <w:pPr>
              <w:spacing w:before="240"/>
              <w:ind w:left="0" w:firstLine="0"/>
              <w:jc w:val="center"/>
              <w:rPr>
                <w:rFonts w:ascii="Times New Roman" w:eastAsia="Times New Roman" w:hAnsi="Times New Roman" w:cs="Times New Roman"/>
                <w:iCs/>
                <w:noProof/>
                <w:color w:val="000000"/>
                <w:sz w:val="18"/>
                <w:szCs w:val="18"/>
                <w:lang w:eastAsia="en-GB"/>
              </w:rPr>
            </w:pPr>
            <w:r w:rsidRPr="009B5734">
              <w:rPr>
                <w:rFonts w:ascii="Times New Roman" w:eastAsia="Times New Roman" w:hAnsi="Times New Roman" w:cs="Times New Roman"/>
                <w:iCs/>
                <w:noProof/>
                <w:color w:val="000000"/>
                <w:sz w:val="18"/>
                <w:szCs w:val="18"/>
                <w:lang w:eastAsia="en-GB"/>
              </w:rPr>
              <w:t>Limited evidence available demonstrating the existence of problems with limited durability and reparability in this product category, e.g. with data available covering a only few product types not included in the previous two categories (e.g., sofas and mattresses)</w:t>
            </w:r>
          </w:p>
          <w:p w:rsidR="00EA45F9" w:rsidRPr="009B5734" w:rsidRDefault="00EA45F9" w:rsidP="00981615">
            <w:pPr>
              <w:spacing w:before="240"/>
              <w:ind w:left="0" w:firstLine="0"/>
              <w:jc w:val="center"/>
              <w:rPr>
                <w:rFonts w:ascii="Times New Roman" w:eastAsia="Times New Roman" w:hAnsi="Times New Roman" w:cs="Times New Roman"/>
                <w:i/>
                <w:iCs/>
                <w:noProof/>
                <w:color w:val="000000"/>
                <w:sz w:val="18"/>
                <w:szCs w:val="18"/>
                <w:lang w:eastAsia="en-GB"/>
              </w:rPr>
            </w:pPr>
          </w:p>
          <w:p w:rsidR="00EA45F9" w:rsidRPr="009B5734" w:rsidRDefault="00EA45F9" w:rsidP="00981615">
            <w:pPr>
              <w:spacing w:before="240"/>
              <w:ind w:left="0" w:firstLine="0"/>
              <w:jc w:val="center"/>
              <w:rPr>
                <w:rFonts w:ascii="Times New Roman" w:eastAsia="Times New Roman" w:hAnsi="Times New Roman" w:cs="Times New Roman"/>
                <w:i/>
                <w:iCs/>
                <w:noProof/>
                <w:color w:val="000000"/>
                <w:sz w:val="18"/>
                <w:szCs w:val="18"/>
                <w:lang w:eastAsia="en-GB"/>
              </w:rPr>
            </w:pPr>
            <w:r w:rsidRPr="009B5734">
              <w:rPr>
                <w:rFonts w:ascii="Times New Roman" w:eastAsia="Times New Roman" w:hAnsi="Times New Roman" w:cs="Times New Roman"/>
                <w:i/>
                <w:iCs/>
                <w:noProof/>
                <w:color w:val="000000"/>
                <w:sz w:val="18"/>
                <w:szCs w:val="18"/>
                <w:lang w:eastAsia="en-GB"/>
              </w:rPr>
              <w:t>Main sources: preparatory study,</w:t>
            </w:r>
          </w:p>
        </w:tc>
        <w:tc>
          <w:tcPr>
            <w:tcW w:w="1082" w:type="pct"/>
          </w:tcPr>
          <w:p w:rsidR="00EA45F9" w:rsidRPr="009B5734" w:rsidRDefault="00EA45F9" w:rsidP="00981615">
            <w:pPr>
              <w:spacing w:before="240"/>
              <w:ind w:left="0" w:firstLine="0"/>
              <w:jc w:val="center"/>
              <w:rPr>
                <w:rFonts w:ascii="Times New Roman" w:eastAsia="Times New Roman" w:hAnsi="Times New Roman" w:cs="Times New Roman"/>
                <w:noProof/>
                <w:color w:val="002395"/>
                <w:sz w:val="18"/>
                <w:szCs w:val="18"/>
                <w:lang w:eastAsia="en-GB"/>
              </w:rPr>
            </w:pPr>
            <w:r w:rsidRPr="009B5734">
              <w:rPr>
                <w:rFonts w:ascii="Times New Roman" w:eastAsia="Times New Roman" w:hAnsi="Times New Roman" w:cs="Times New Roman"/>
                <w:noProof/>
                <w:color w:val="002395"/>
                <w:sz w:val="18"/>
                <w:szCs w:val="18"/>
                <w:lang w:eastAsia="en-GB"/>
              </w:rPr>
              <w:sym w:font="Wingdings" w:char="F0FC"/>
            </w:r>
          </w:p>
          <w:p w:rsidR="00EA45F9" w:rsidRPr="009B5734" w:rsidRDefault="00EA45F9" w:rsidP="00981615">
            <w:pPr>
              <w:spacing w:before="240"/>
              <w:ind w:left="0" w:firstLine="0"/>
              <w:jc w:val="center"/>
              <w:rPr>
                <w:rFonts w:ascii="Times New Roman" w:eastAsia="Times New Roman" w:hAnsi="Times New Roman" w:cs="Times New Roman"/>
                <w:iCs/>
                <w:noProof/>
                <w:color w:val="000000"/>
                <w:sz w:val="18"/>
                <w:szCs w:val="18"/>
                <w:lang w:eastAsia="en-GB"/>
              </w:rPr>
            </w:pPr>
            <w:r w:rsidRPr="009B5734">
              <w:rPr>
                <w:rFonts w:ascii="Times New Roman" w:eastAsia="Times New Roman" w:hAnsi="Times New Roman" w:cs="Times New Roman"/>
                <w:iCs/>
                <w:noProof/>
                <w:color w:val="000000"/>
                <w:sz w:val="18"/>
                <w:szCs w:val="18"/>
                <w:lang w:eastAsia="en-GB"/>
              </w:rPr>
              <w:t>Limited evidence available demonstrating consumer expectations on durability/reparability in this product group, with data available covering only a few product types not included in the previous two categories (e.g., sofas and mattresses)</w:t>
            </w:r>
          </w:p>
          <w:p w:rsidR="00EA45F9" w:rsidRPr="009B5734" w:rsidRDefault="00EA45F9" w:rsidP="00981615">
            <w:pPr>
              <w:spacing w:before="240"/>
              <w:ind w:left="0" w:firstLine="0"/>
              <w:jc w:val="center"/>
              <w:rPr>
                <w:rFonts w:ascii="Times New Roman" w:eastAsia="Times New Roman" w:hAnsi="Times New Roman" w:cs="Times New Roman"/>
                <w:noProof/>
                <w:color w:val="538135"/>
                <w:sz w:val="18"/>
                <w:szCs w:val="18"/>
                <w:lang w:eastAsia="en-GB"/>
              </w:rPr>
            </w:pPr>
          </w:p>
          <w:p w:rsidR="00EA45F9" w:rsidRPr="009B5734" w:rsidRDefault="00EA45F9" w:rsidP="00981615">
            <w:pPr>
              <w:spacing w:before="240"/>
              <w:ind w:left="0" w:firstLine="0"/>
              <w:jc w:val="center"/>
              <w:rPr>
                <w:rFonts w:ascii="Times New Roman" w:eastAsia="Times New Roman" w:hAnsi="Times New Roman" w:cs="Times New Roman"/>
                <w:noProof/>
                <w:color w:val="538135"/>
                <w:sz w:val="18"/>
                <w:szCs w:val="18"/>
                <w:lang w:eastAsia="en-GB"/>
              </w:rPr>
            </w:pPr>
            <w:r w:rsidRPr="009B5734">
              <w:rPr>
                <w:rFonts w:ascii="Times New Roman" w:eastAsia="Times New Roman" w:hAnsi="Times New Roman" w:cs="Times New Roman"/>
                <w:i/>
                <w:iCs/>
                <w:noProof/>
                <w:color w:val="000000"/>
                <w:sz w:val="18"/>
                <w:szCs w:val="18"/>
                <w:lang w:eastAsia="en-GB"/>
              </w:rPr>
              <w:t>Main sources: preparatory study,</w:t>
            </w:r>
          </w:p>
        </w:tc>
        <w:tc>
          <w:tcPr>
            <w:tcW w:w="716" w:type="pct"/>
            <w:shd w:val="clear" w:color="auto" w:fill="auto"/>
            <w:hideMark/>
          </w:tcPr>
          <w:p w:rsidR="00EA45F9" w:rsidRPr="009B5734" w:rsidRDefault="00EA45F9" w:rsidP="00981615">
            <w:pPr>
              <w:spacing w:before="240"/>
              <w:ind w:left="0" w:firstLine="0"/>
              <w:jc w:val="center"/>
              <w:rPr>
                <w:rFonts w:ascii="Times New Roman" w:eastAsia="Times New Roman" w:hAnsi="Times New Roman" w:cs="Times New Roman"/>
                <w:noProof/>
                <w:color w:val="002395"/>
                <w:sz w:val="18"/>
                <w:szCs w:val="18"/>
                <w:lang w:eastAsia="en-GB"/>
              </w:rPr>
            </w:pPr>
            <w:r w:rsidRPr="009B5734">
              <w:rPr>
                <w:rFonts w:ascii="Times New Roman" w:eastAsia="Times New Roman" w:hAnsi="Times New Roman" w:cs="Times New Roman"/>
                <w:noProof/>
                <w:color w:val="002395"/>
                <w:sz w:val="18"/>
                <w:szCs w:val="18"/>
                <w:lang w:eastAsia="en-GB"/>
              </w:rPr>
              <w:sym w:font="Wingdings" w:char="F0FC"/>
            </w:r>
          </w:p>
          <w:p w:rsidR="00EA45F9" w:rsidRPr="009B5734" w:rsidRDefault="00EA45F9" w:rsidP="00981615">
            <w:pPr>
              <w:spacing w:before="240"/>
              <w:ind w:left="0" w:firstLine="0"/>
              <w:jc w:val="center"/>
              <w:rPr>
                <w:rFonts w:ascii="Times New Roman" w:eastAsia="Times New Roman" w:hAnsi="Times New Roman" w:cs="Times New Roman"/>
                <w:noProof/>
                <w:color w:val="000000"/>
                <w:sz w:val="18"/>
                <w:szCs w:val="18"/>
                <w:lang w:eastAsia="en-GB"/>
              </w:rPr>
            </w:pPr>
            <w:r w:rsidRPr="009B5734">
              <w:rPr>
                <w:rFonts w:ascii="Times New Roman" w:eastAsia="Times New Roman" w:hAnsi="Times New Roman" w:cs="Times New Roman"/>
                <w:iCs/>
                <w:noProof/>
                <w:color w:val="000000"/>
                <w:sz w:val="18"/>
                <w:szCs w:val="18"/>
                <w:lang w:eastAsia="en-GB"/>
              </w:rPr>
              <w:t>Limited evidence available on consumer  interest on receiving information on durability and reparability in this product group, with data available covering only a few product types not included in the previous two categories</w:t>
            </w:r>
            <w:r w:rsidRPr="009B5734">
              <w:rPr>
                <w:rFonts w:ascii="Times New Roman" w:eastAsia="Times New Roman" w:hAnsi="Times New Roman" w:cs="Times New Roman"/>
                <w:i/>
                <w:iCs/>
                <w:noProof/>
                <w:color w:val="000000"/>
                <w:sz w:val="18"/>
                <w:szCs w:val="18"/>
                <w:lang w:eastAsia="en-GB"/>
              </w:rPr>
              <w:t xml:space="preserve"> </w:t>
            </w:r>
            <w:r w:rsidRPr="009B5734">
              <w:rPr>
                <w:rFonts w:ascii="Times New Roman" w:eastAsia="Times New Roman" w:hAnsi="Times New Roman" w:cs="Times New Roman"/>
                <w:iCs/>
                <w:noProof/>
                <w:color w:val="000000"/>
                <w:sz w:val="18"/>
                <w:szCs w:val="18"/>
                <w:lang w:eastAsia="en-GB"/>
              </w:rPr>
              <w:t>(e.g., sofas and mattresses)</w:t>
            </w:r>
          </w:p>
          <w:p w:rsidR="00EA45F9" w:rsidRPr="009B5734" w:rsidRDefault="00EA45F9" w:rsidP="00981615">
            <w:pPr>
              <w:spacing w:before="240"/>
              <w:ind w:left="0" w:firstLine="0"/>
              <w:jc w:val="left"/>
              <w:rPr>
                <w:rFonts w:ascii="Times New Roman" w:eastAsia="Times New Roman" w:hAnsi="Times New Roman" w:cs="Times New Roman"/>
                <w:noProof/>
                <w:color w:val="000000"/>
                <w:sz w:val="18"/>
                <w:szCs w:val="18"/>
                <w:lang w:eastAsia="en-GB"/>
              </w:rPr>
            </w:pPr>
            <w:r w:rsidRPr="009B5734">
              <w:rPr>
                <w:rFonts w:ascii="Times New Roman" w:eastAsia="Times New Roman" w:hAnsi="Times New Roman" w:cs="Times New Roman"/>
                <w:i/>
                <w:iCs/>
                <w:noProof/>
                <w:color w:val="000000"/>
                <w:sz w:val="18"/>
                <w:szCs w:val="18"/>
                <w:lang w:eastAsia="en-GB"/>
              </w:rPr>
              <w:t>Main sources: preparatory study,</w:t>
            </w:r>
          </w:p>
        </w:tc>
        <w:tc>
          <w:tcPr>
            <w:tcW w:w="804" w:type="pct"/>
            <w:shd w:val="clear" w:color="auto" w:fill="auto"/>
            <w:hideMark/>
          </w:tcPr>
          <w:p w:rsidR="00EA45F9" w:rsidRPr="009B5734" w:rsidRDefault="00EA45F9" w:rsidP="00981615">
            <w:pPr>
              <w:spacing w:before="240"/>
              <w:ind w:left="0" w:firstLine="0"/>
              <w:jc w:val="center"/>
              <w:rPr>
                <w:rFonts w:ascii="Times New Roman" w:eastAsia="Times New Roman" w:hAnsi="Times New Roman" w:cs="Times New Roman"/>
                <w:noProof/>
                <w:color w:val="002395"/>
                <w:lang w:eastAsia="en-GB"/>
              </w:rPr>
            </w:pPr>
            <w:r w:rsidRPr="009B5734">
              <w:rPr>
                <w:rFonts w:ascii="Times New Roman" w:eastAsia="Times New Roman" w:hAnsi="Times New Roman" w:cs="Times New Roman"/>
                <w:noProof/>
                <w:color w:val="002395"/>
                <w:lang w:eastAsia="en-GB"/>
              </w:rPr>
              <w:sym w:font="Wingdings" w:char="F0FC"/>
            </w:r>
          </w:p>
          <w:p w:rsidR="00EA45F9" w:rsidRPr="009B5734" w:rsidRDefault="00EA45F9" w:rsidP="00981615">
            <w:pPr>
              <w:spacing w:before="240"/>
              <w:ind w:left="0" w:firstLine="0"/>
              <w:jc w:val="center"/>
              <w:rPr>
                <w:rFonts w:ascii="Times New Roman" w:eastAsia="Times New Roman" w:hAnsi="Times New Roman" w:cs="Times New Roman"/>
                <w:noProof/>
                <w:color w:val="000000"/>
                <w:lang w:eastAsia="en-GB"/>
              </w:rPr>
            </w:pPr>
            <w:r w:rsidRPr="009B5734">
              <w:rPr>
                <w:rFonts w:ascii="Times New Roman" w:eastAsia="Calibri" w:hAnsi="Times New Roman" w:cs="Times New Roman"/>
                <w:noProof/>
                <w:sz w:val="18"/>
                <w:szCs w:val="18"/>
              </w:rPr>
              <w:t>Desk research and mystery shopping exercises indicate some presence of certain commercial guarantees in the market in this product category</w:t>
            </w:r>
          </w:p>
        </w:tc>
        <w:tc>
          <w:tcPr>
            <w:tcW w:w="634" w:type="pct"/>
          </w:tcPr>
          <w:p w:rsidR="00EA45F9" w:rsidRPr="009B5734" w:rsidRDefault="00EA45F9" w:rsidP="00981615">
            <w:pPr>
              <w:spacing w:before="240"/>
              <w:ind w:left="0" w:firstLine="0"/>
              <w:jc w:val="center"/>
              <w:rPr>
                <w:rFonts w:ascii="Times New Roman" w:eastAsia="Times New Roman" w:hAnsi="Times New Roman" w:cs="Times New Roman"/>
                <w:noProof/>
                <w:color w:val="002395"/>
                <w:lang w:eastAsia="en-GB"/>
              </w:rPr>
            </w:pPr>
            <w:r w:rsidRPr="009B5734">
              <w:rPr>
                <w:rFonts w:ascii="Times New Roman" w:eastAsia="Times New Roman" w:hAnsi="Times New Roman" w:cs="Times New Roman"/>
                <w:noProof/>
                <w:color w:val="002395"/>
                <w:lang w:eastAsia="en-GB"/>
              </w:rPr>
              <w:t>Medium-High</w:t>
            </w:r>
          </w:p>
          <w:p w:rsidR="00EA45F9" w:rsidRPr="009B5734" w:rsidRDefault="00EA45F9" w:rsidP="00981615">
            <w:pPr>
              <w:spacing w:before="240"/>
              <w:ind w:left="0" w:firstLine="0"/>
              <w:jc w:val="center"/>
              <w:rPr>
                <w:rFonts w:ascii="Times New Roman" w:eastAsia="Times New Roman" w:hAnsi="Times New Roman" w:cs="Times New Roman"/>
                <w:noProof/>
                <w:color w:val="000000"/>
                <w:sz w:val="18"/>
                <w:szCs w:val="18"/>
                <w:lang w:eastAsia="en-GB"/>
              </w:rPr>
            </w:pPr>
            <w:r w:rsidRPr="009B5734">
              <w:rPr>
                <w:rFonts w:ascii="Times New Roman" w:eastAsia="Times New Roman" w:hAnsi="Times New Roman" w:cs="Times New Roman"/>
                <w:noProof/>
                <w:color w:val="000000"/>
                <w:sz w:val="18"/>
                <w:szCs w:val="18"/>
                <w:lang w:eastAsia="en-GB"/>
              </w:rPr>
              <w:t>The level of uncertainty was considered medium-high as there is limited evidence on the size of the problem and on the expectations and needs of consumers to assess benefits of measures related to providing information on durability and reparability per product scope</w:t>
            </w:r>
          </w:p>
          <w:p w:rsidR="00EA45F9" w:rsidRPr="009B5734" w:rsidRDefault="00EA45F9" w:rsidP="00981615">
            <w:pPr>
              <w:spacing w:before="240"/>
              <w:ind w:left="0" w:firstLine="0"/>
              <w:jc w:val="center"/>
              <w:rPr>
                <w:rFonts w:ascii="Times New Roman" w:eastAsia="Times New Roman" w:hAnsi="Times New Roman" w:cs="Times New Roman"/>
                <w:noProof/>
                <w:color w:val="000000"/>
                <w:lang w:eastAsia="en-GB"/>
              </w:rPr>
            </w:pPr>
          </w:p>
        </w:tc>
      </w:tr>
      <w:tr w:rsidR="00EA45F9" w:rsidRPr="009B5734" w:rsidTr="00C84A99">
        <w:trPr>
          <w:trHeight w:val="690"/>
        </w:trPr>
        <w:tc>
          <w:tcPr>
            <w:tcW w:w="683" w:type="pct"/>
            <w:shd w:val="clear" w:color="auto" w:fill="auto"/>
            <w:vAlign w:val="center"/>
            <w:hideMark/>
          </w:tcPr>
          <w:p w:rsidR="00EA45F9" w:rsidRPr="009B5734" w:rsidRDefault="00EA45F9" w:rsidP="00981615">
            <w:pPr>
              <w:spacing w:before="240"/>
              <w:ind w:left="0" w:firstLine="0"/>
              <w:jc w:val="left"/>
              <w:rPr>
                <w:rFonts w:ascii="Times New Roman" w:eastAsia="Times New Roman" w:hAnsi="Times New Roman" w:cs="Times New Roman"/>
                <w:noProof/>
                <w:color w:val="1F3864"/>
                <w:sz w:val="20"/>
                <w:szCs w:val="20"/>
                <w:lang w:eastAsia="en-GB"/>
              </w:rPr>
            </w:pPr>
            <w:r w:rsidRPr="009B5734">
              <w:rPr>
                <w:rFonts w:ascii="Times New Roman" w:eastAsia="Times New Roman" w:hAnsi="Times New Roman" w:cs="Times New Roman"/>
                <w:b/>
                <w:noProof/>
                <w:color w:val="1F3864"/>
                <w:sz w:val="20"/>
                <w:szCs w:val="20"/>
                <w:lang w:eastAsia="en-GB"/>
              </w:rPr>
              <w:t>Very wide product scope</w:t>
            </w:r>
            <w:r w:rsidRPr="009B5734">
              <w:rPr>
                <w:rFonts w:ascii="Times New Roman" w:eastAsia="Times New Roman" w:hAnsi="Times New Roman" w:cs="Times New Roman"/>
                <w:noProof/>
                <w:color w:val="1F3864"/>
                <w:sz w:val="20"/>
                <w:szCs w:val="20"/>
                <w:lang w:eastAsia="en-GB"/>
              </w:rPr>
              <w:t xml:space="preserve"> (i.e. all consumer goods except consumables and fast</w:t>
            </w:r>
            <w:r w:rsidRPr="009B5734">
              <w:rPr>
                <w:rFonts w:ascii="Times New Roman" w:eastAsia="Times New Roman" w:hAnsi="Times New Roman" w:cs="Times New Roman"/>
                <w:noProof/>
                <w:color w:val="1F3864"/>
                <w:sz w:val="20"/>
                <w:szCs w:val="20"/>
                <w:lang w:eastAsia="en-GB"/>
              </w:rPr>
              <w:noBreakHyphen/>
              <w:t>moving ones, e.g. cloths, pans, bed linen)</w:t>
            </w:r>
          </w:p>
        </w:tc>
        <w:tc>
          <w:tcPr>
            <w:tcW w:w="1082" w:type="pct"/>
            <w:shd w:val="clear" w:color="auto" w:fill="auto"/>
            <w:hideMark/>
          </w:tcPr>
          <w:p w:rsidR="00EA45F9" w:rsidRPr="009B5734" w:rsidRDefault="00EA45F9" w:rsidP="00981615">
            <w:pPr>
              <w:spacing w:before="240"/>
              <w:ind w:left="0" w:firstLine="0"/>
              <w:jc w:val="center"/>
              <w:rPr>
                <w:rFonts w:ascii="Times New Roman" w:eastAsia="Times New Roman" w:hAnsi="Times New Roman" w:cs="Times New Roman"/>
                <w:i/>
                <w:iCs/>
                <w:noProof/>
                <w:color w:val="002395"/>
                <w:sz w:val="18"/>
                <w:szCs w:val="18"/>
                <w:lang w:eastAsia="en-GB"/>
              </w:rPr>
            </w:pPr>
            <w:r w:rsidRPr="009B5734">
              <w:rPr>
                <w:rFonts w:ascii="Times New Roman" w:eastAsia="Times New Roman" w:hAnsi="Times New Roman" w:cs="Times New Roman"/>
                <w:noProof/>
                <w:color w:val="002395"/>
                <w:sz w:val="18"/>
                <w:szCs w:val="18"/>
                <w:lang w:eastAsia="en-GB"/>
              </w:rPr>
              <w:sym w:font="Wingdings" w:char="F0FC"/>
            </w:r>
          </w:p>
          <w:p w:rsidR="00EA45F9" w:rsidRPr="009B5734" w:rsidRDefault="00EA45F9" w:rsidP="00981615">
            <w:pPr>
              <w:spacing w:before="240"/>
              <w:ind w:left="0" w:firstLine="0"/>
              <w:jc w:val="center"/>
              <w:rPr>
                <w:rFonts w:ascii="Times New Roman" w:eastAsia="Times New Roman" w:hAnsi="Times New Roman" w:cs="Times New Roman"/>
                <w:iCs/>
                <w:noProof/>
                <w:color w:val="538135"/>
                <w:sz w:val="18"/>
                <w:szCs w:val="18"/>
                <w:lang w:eastAsia="en-GB"/>
              </w:rPr>
            </w:pPr>
            <w:r w:rsidRPr="009B5734">
              <w:rPr>
                <w:rFonts w:ascii="Times New Roman" w:eastAsia="Times New Roman" w:hAnsi="Times New Roman" w:cs="Times New Roman"/>
                <w:iCs/>
                <w:noProof/>
                <w:color w:val="000000"/>
                <w:sz w:val="18"/>
                <w:szCs w:val="18"/>
                <w:lang w:eastAsia="en-GB"/>
              </w:rPr>
              <w:t>Limited evidence available for the category as a whole, with data available covering only a few product types that are not included in the previous three categories (e.g., garments and shoes)</w:t>
            </w:r>
          </w:p>
        </w:tc>
        <w:tc>
          <w:tcPr>
            <w:tcW w:w="1082" w:type="pct"/>
          </w:tcPr>
          <w:p w:rsidR="00EA45F9" w:rsidRPr="009B5734" w:rsidRDefault="00EA45F9" w:rsidP="00981615">
            <w:pPr>
              <w:spacing w:before="240"/>
              <w:ind w:left="0" w:firstLine="0"/>
              <w:jc w:val="center"/>
              <w:rPr>
                <w:rFonts w:ascii="Times New Roman" w:eastAsia="Times New Roman" w:hAnsi="Times New Roman" w:cs="Times New Roman"/>
                <w:noProof/>
                <w:color w:val="002395"/>
                <w:sz w:val="18"/>
                <w:szCs w:val="18"/>
                <w:lang w:eastAsia="en-GB"/>
              </w:rPr>
            </w:pPr>
            <w:r w:rsidRPr="009B5734">
              <w:rPr>
                <w:rFonts w:ascii="Times New Roman" w:eastAsia="Times New Roman" w:hAnsi="Times New Roman" w:cs="Times New Roman"/>
                <w:noProof/>
                <w:color w:val="002395"/>
                <w:sz w:val="18"/>
                <w:szCs w:val="18"/>
                <w:lang w:eastAsia="en-GB"/>
              </w:rPr>
              <w:sym w:font="Wingdings" w:char="F0FC"/>
            </w:r>
          </w:p>
          <w:p w:rsidR="00EA45F9" w:rsidRPr="009B5734" w:rsidRDefault="00EA45F9" w:rsidP="00981615">
            <w:pPr>
              <w:spacing w:before="240"/>
              <w:ind w:left="0" w:firstLine="0"/>
              <w:jc w:val="center"/>
              <w:rPr>
                <w:rFonts w:ascii="Times New Roman" w:eastAsia="Times New Roman" w:hAnsi="Times New Roman" w:cs="Times New Roman"/>
                <w:noProof/>
                <w:color w:val="000000"/>
                <w:sz w:val="18"/>
                <w:szCs w:val="18"/>
                <w:lang w:eastAsia="en-GB"/>
              </w:rPr>
            </w:pPr>
            <w:r w:rsidRPr="009B5734">
              <w:rPr>
                <w:rFonts w:ascii="Times New Roman" w:eastAsia="Times New Roman" w:hAnsi="Times New Roman" w:cs="Times New Roman"/>
                <w:iCs/>
                <w:noProof/>
                <w:color w:val="000000"/>
                <w:sz w:val="18"/>
                <w:szCs w:val="18"/>
                <w:lang w:eastAsia="en-GB"/>
              </w:rPr>
              <w:t>Limited evidence available for the category as a whole, with data available covering only a few product types that are not included in the previous three categories (e.g., garments and shoes)</w:t>
            </w:r>
          </w:p>
        </w:tc>
        <w:tc>
          <w:tcPr>
            <w:tcW w:w="716" w:type="pct"/>
            <w:shd w:val="clear" w:color="auto" w:fill="auto"/>
            <w:hideMark/>
          </w:tcPr>
          <w:p w:rsidR="00EA45F9" w:rsidRPr="009B5734" w:rsidRDefault="00EA45F9" w:rsidP="00981615">
            <w:pPr>
              <w:spacing w:before="240"/>
              <w:ind w:left="0" w:firstLine="0"/>
              <w:jc w:val="center"/>
              <w:rPr>
                <w:rFonts w:ascii="Times New Roman" w:eastAsia="Times New Roman" w:hAnsi="Times New Roman" w:cs="Times New Roman"/>
                <w:noProof/>
                <w:color w:val="002395"/>
                <w:sz w:val="18"/>
                <w:szCs w:val="18"/>
                <w:lang w:eastAsia="en-GB"/>
              </w:rPr>
            </w:pPr>
            <w:r w:rsidRPr="009B5734">
              <w:rPr>
                <w:rFonts w:ascii="Times New Roman" w:eastAsia="Times New Roman" w:hAnsi="Times New Roman" w:cs="Times New Roman"/>
                <w:noProof/>
                <w:color w:val="002395"/>
                <w:sz w:val="18"/>
                <w:szCs w:val="18"/>
                <w:lang w:eastAsia="en-GB"/>
              </w:rPr>
              <w:sym w:font="Wingdings" w:char="F0FC"/>
            </w:r>
          </w:p>
          <w:p w:rsidR="00EA45F9" w:rsidRPr="009B5734" w:rsidRDefault="00EA45F9" w:rsidP="00981615">
            <w:pPr>
              <w:spacing w:before="240"/>
              <w:ind w:left="0" w:firstLine="0"/>
              <w:jc w:val="center"/>
              <w:rPr>
                <w:rFonts w:ascii="Times New Roman" w:eastAsia="Times New Roman" w:hAnsi="Times New Roman" w:cs="Times New Roman"/>
                <w:noProof/>
                <w:color w:val="000000"/>
                <w:sz w:val="18"/>
                <w:szCs w:val="18"/>
                <w:lang w:eastAsia="en-GB"/>
              </w:rPr>
            </w:pPr>
            <w:r w:rsidRPr="009B5734">
              <w:rPr>
                <w:rFonts w:ascii="Times New Roman" w:eastAsia="Times New Roman" w:hAnsi="Times New Roman" w:cs="Times New Roman"/>
                <w:iCs/>
                <w:noProof/>
                <w:color w:val="000000"/>
                <w:sz w:val="18"/>
                <w:szCs w:val="18"/>
                <w:lang w:eastAsia="en-GB"/>
              </w:rPr>
              <w:t>Limited evidence available on consumer interest on receiving information on reparability in this product group, with data available covering only a few product types not included in the previous three categories (e.g., garments and shoes</w:t>
            </w:r>
            <w:r w:rsidRPr="009B5734">
              <w:rPr>
                <w:rFonts w:ascii="Times New Roman" w:eastAsia="Times New Roman" w:hAnsi="Times New Roman" w:cs="Times New Roman"/>
                <w:noProof/>
                <w:color w:val="000000"/>
                <w:sz w:val="18"/>
                <w:szCs w:val="18"/>
                <w:lang w:eastAsia="en-GB"/>
              </w:rPr>
              <w:t>)</w:t>
            </w:r>
          </w:p>
          <w:p w:rsidR="00EA45F9" w:rsidRPr="009B5734" w:rsidRDefault="00EA45F9" w:rsidP="00981615">
            <w:pPr>
              <w:spacing w:before="240"/>
              <w:ind w:left="0" w:firstLine="0"/>
              <w:jc w:val="center"/>
              <w:rPr>
                <w:rFonts w:ascii="Times New Roman" w:eastAsia="Times New Roman" w:hAnsi="Times New Roman" w:cs="Times New Roman"/>
                <w:noProof/>
                <w:color w:val="000000"/>
                <w:sz w:val="18"/>
                <w:szCs w:val="18"/>
                <w:lang w:eastAsia="en-GB"/>
              </w:rPr>
            </w:pPr>
            <w:r w:rsidRPr="009B5734">
              <w:rPr>
                <w:rFonts w:ascii="Times New Roman" w:eastAsia="Times New Roman" w:hAnsi="Times New Roman" w:cs="Times New Roman"/>
                <w:i/>
                <w:iCs/>
                <w:noProof/>
                <w:color w:val="000000"/>
                <w:sz w:val="18"/>
                <w:szCs w:val="18"/>
                <w:lang w:eastAsia="en-GB"/>
              </w:rPr>
              <w:t xml:space="preserve">Main sources: preparatory study, the </w:t>
            </w:r>
            <w:r w:rsidRPr="009B5734">
              <w:rPr>
                <w:rFonts w:ascii="Times New Roman" w:eastAsia="Calibri" w:hAnsi="Times New Roman" w:cs="Times New Roman"/>
                <w:i/>
                <w:iCs/>
                <w:noProof/>
                <w:sz w:val="18"/>
                <w:szCs w:val="18"/>
              </w:rPr>
              <w:t>EC “Behavioural Study on Consumers’ Engagement in the Circular Economy”</w:t>
            </w:r>
            <w:r w:rsidRPr="009B5734">
              <w:rPr>
                <w:rFonts w:ascii="Times New Roman" w:eastAsia="Calibri" w:hAnsi="Times New Roman" w:cs="Times New Roman"/>
                <w:i/>
                <w:iCs/>
                <w:noProof/>
                <w:sz w:val="18"/>
                <w:szCs w:val="18"/>
                <w:vertAlign w:val="superscript"/>
              </w:rPr>
              <w:footnoteReference w:id="314"/>
            </w:r>
            <w:r w:rsidRPr="009B5734">
              <w:rPr>
                <w:rFonts w:ascii="Times New Roman" w:eastAsia="Calibri" w:hAnsi="Times New Roman" w:cs="Times New Roman"/>
                <w:i/>
                <w:iCs/>
                <w:noProof/>
                <w:sz w:val="18"/>
                <w:szCs w:val="18"/>
              </w:rPr>
              <w:t xml:space="preserve">, </w:t>
            </w:r>
            <w:r w:rsidRPr="009B5734">
              <w:rPr>
                <w:rFonts w:ascii="Times New Roman" w:eastAsia="Times New Roman" w:hAnsi="Times New Roman" w:cs="Times New Roman"/>
                <w:i/>
                <w:iCs/>
                <w:noProof/>
                <w:color w:val="000000"/>
                <w:sz w:val="18"/>
                <w:szCs w:val="18"/>
                <w:lang w:eastAsia="en-GB"/>
              </w:rPr>
              <w:t xml:space="preserve"> </w:t>
            </w:r>
          </w:p>
        </w:tc>
        <w:tc>
          <w:tcPr>
            <w:tcW w:w="804" w:type="pct"/>
            <w:shd w:val="clear" w:color="auto" w:fill="auto"/>
            <w:hideMark/>
          </w:tcPr>
          <w:p w:rsidR="00EA45F9" w:rsidRPr="009B5734" w:rsidRDefault="00EA45F9" w:rsidP="00981615">
            <w:pPr>
              <w:spacing w:before="240"/>
              <w:ind w:left="0" w:firstLine="0"/>
              <w:jc w:val="center"/>
              <w:rPr>
                <w:rFonts w:ascii="Times New Roman" w:eastAsia="Times New Roman" w:hAnsi="Times New Roman" w:cs="Times New Roman"/>
                <w:noProof/>
                <w:color w:val="002395"/>
                <w:lang w:eastAsia="en-GB"/>
              </w:rPr>
            </w:pPr>
            <w:r w:rsidRPr="009B5734">
              <w:rPr>
                <w:rFonts w:ascii="Times New Roman" w:eastAsia="Times New Roman" w:hAnsi="Times New Roman" w:cs="Times New Roman"/>
                <w:noProof/>
                <w:color w:val="002395"/>
                <w:lang w:eastAsia="en-GB"/>
              </w:rPr>
              <w:sym w:font="Wingdings" w:char="F0FC"/>
            </w:r>
          </w:p>
          <w:p w:rsidR="00EA45F9" w:rsidRPr="009B5734" w:rsidRDefault="00EA45F9" w:rsidP="00981615">
            <w:pPr>
              <w:spacing w:before="240"/>
              <w:ind w:left="0" w:firstLine="0"/>
              <w:jc w:val="center"/>
              <w:rPr>
                <w:rFonts w:ascii="Times New Roman" w:eastAsia="Times New Roman" w:hAnsi="Times New Roman" w:cs="Times New Roman"/>
                <w:noProof/>
                <w:color w:val="000000"/>
                <w:lang w:eastAsia="en-GB"/>
              </w:rPr>
            </w:pPr>
            <w:r w:rsidRPr="009B5734">
              <w:rPr>
                <w:rFonts w:ascii="Times New Roman" w:eastAsia="Calibri" w:hAnsi="Times New Roman" w:cs="Times New Roman"/>
                <w:noProof/>
                <w:sz w:val="18"/>
                <w:szCs w:val="18"/>
              </w:rPr>
              <w:t>Desk research and mystery shopping exercises indicates the limited presence of certain commercial guarantees in the market in this product category</w:t>
            </w:r>
          </w:p>
        </w:tc>
        <w:tc>
          <w:tcPr>
            <w:tcW w:w="634" w:type="pct"/>
          </w:tcPr>
          <w:p w:rsidR="00EA45F9" w:rsidRPr="009B5734" w:rsidRDefault="00EA45F9" w:rsidP="00981615">
            <w:pPr>
              <w:spacing w:before="240"/>
              <w:ind w:left="0" w:firstLine="0"/>
              <w:jc w:val="center"/>
              <w:rPr>
                <w:rFonts w:ascii="Times New Roman" w:eastAsia="Times New Roman" w:hAnsi="Times New Roman" w:cs="Times New Roman"/>
                <w:noProof/>
                <w:color w:val="002395"/>
                <w:lang w:eastAsia="en-GB"/>
              </w:rPr>
            </w:pPr>
            <w:r w:rsidRPr="009B5734">
              <w:rPr>
                <w:rFonts w:ascii="Times New Roman" w:eastAsia="Times New Roman" w:hAnsi="Times New Roman" w:cs="Times New Roman"/>
                <w:noProof/>
                <w:color w:val="002395"/>
                <w:lang w:eastAsia="en-GB"/>
              </w:rPr>
              <w:t>High</w:t>
            </w:r>
          </w:p>
          <w:p w:rsidR="00EA45F9" w:rsidRPr="009B5734" w:rsidRDefault="00EA45F9" w:rsidP="00981615">
            <w:pPr>
              <w:spacing w:before="240"/>
              <w:ind w:left="0" w:firstLine="0"/>
              <w:jc w:val="center"/>
              <w:rPr>
                <w:rFonts w:ascii="Times New Roman" w:eastAsia="Times New Roman" w:hAnsi="Times New Roman" w:cs="Times New Roman"/>
                <w:noProof/>
                <w:color w:val="000000"/>
                <w:sz w:val="18"/>
                <w:szCs w:val="18"/>
                <w:lang w:eastAsia="en-GB"/>
              </w:rPr>
            </w:pPr>
            <w:r w:rsidRPr="009B5734">
              <w:rPr>
                <w:rFonts w:ascii="Times New Roman" w:eastAsia="Times New Roman" w:hAnsi="Times New Roman" w:cs="Times New Roman"/>
                <w:noProof/>
                <w:color w:val="000000"/>
                <w:sz w:val="18"/>
                <w:szCs w:val="18"/>
                <w:lang w:eastAsia="en-GB"/>
              </w:rPr>
              <w:t>The level of uncertainty was considered high as there is insufficient evidence on the size of the problem and on the expectations and needs of consumers to assess benefits of measures related to providing information on durability and reparability per product scope</w:t>
            </w:r>
          </w:p>
          <w:p w:rsidR="00EA45F9" w:rsidRPr="009B5734" w:rsidRDefault="00EA45F9" w:rsidP="00981615">
            <w:pPr>
              <w:spacing w:before="240"/>
              <w:ind w:left="0" w:firstLine="0"/>
              <w:jc w:val="center"/>
              <w:rPr>
                <w:rFonts w:ascii="Times New Roman" w:eastAsia="Times New Roman" w:hAnsi="Times New Roman" w:cs="Times New Roman"/>
                <w:noProof/>
                <w:color w:val="000000"/>
                <w:lang w:eastAsia="en-GB"/>
              </w:rPr>
            </w:pPr>
          </w:p>
        </w:tc>
      </w:tr>
    </w:tbl>
    <w:p w:rsidR="00EA45F9" w:rsidRPr="009B5734" w:rsidRDefault="00EA45F9" w:rsidP="00EA45F9">
      <w:pPr>
        <w:spacing w:after="160" w:line="259" w:lineRule="auto"/>
        <w:ind w:left="0" w:firstLine="0"/>
        <w:jc w:val="left"/>
        <w:rPr>
          <w:rFonts w:ascii="Times New Roman" w:eastAsia="Calibri" w:hAnsi="Times New Roman" w:cs="Times New Roman"/>
          <w:noProof/>
        </w:rPr>
      </w:pPr>
    </w:p>
    <w:p w:rsidR="00EA45F9" w:rsidRPr="009B5734" w:rsidRDefault="00EA45F9" w:rsidP="00EA45F9">
      <w:pPr>
        <w:spacing w:after="160" w:line="259" w:lineRule="auto"/>
        <w:ind w:left="0" w:firstLine="0"/>
        <w:jc w:val="left"/>
        <w:rPr>
          <w:rFonts w:ascii="Times New Roman" w:eastAsia="Calibri" w:hAnsi="Times New Roman" w:cs="Times New Roman"/>
          <w:b/>
          <w:noProof/>
          <w:sz w:val="24"/>
          <w:szCs w:val="24"/>
        </w:rPr>
      </w:pPr>
      <w:r w:rsidRPr="009B5734">
        <w:rPr>
          <w:rFonts w:ascii="Times New Roman" w:eastAsia="Calibri" w:hAnsi="Times New Roman" w:cs="Times New Roman"/>
          <w:b/>
          <w:noProof/>
          <w:sz w:val="24"/>
          <w:szCs w:val="24"/>
        </w:rPr>
        <w:t>Conclusion:</w:t>
      </w:r>
    </w:p>
    <w:p w:rsidR="00EA45F9" w:rsidRPr="009B5734" w:rsidRDefault="00EA45F9" w:rsidP="00EA45F9">
      <w:pPr>
        <w:spacing w:after="160" w:line="259" w:lineRule="auto"/>
        <w:ind w:left="0" w:firstLine="0"/>
        <w:rPr>
          <w:rFonts w:ascii="Times New Roman" w:eastAsia="Calibri" w:hAnsi="Times New Roman" w:cs="Times New Roman"/>
          <w:noProof/>
          <w:sz w:val="24"/>
          <w:szCs w:val="24"/>
        </w:rPr>
      </w:pPr>
      <w:r w:rsidRPr="009B5734">
        <w:rPr>
          <w:rFonts w:ascii="Times New Roman" w:eastAsia="Calibri" w:hAnsi="Times New Roman" w:cs="Times New Roman"/>
          <w:noProof/>
          <w:sz w:val="24"/>
          <w:szCs w:val="24"/>
        </w:rPr>
        <w:t xml:space="preserve">As shown in the table, evidence regarding the existence of limited durability and reparability), consumer expectations regarding durability and reparability of goods (beyond the legal guarantee period), and consumer interest </w:t>
      </w:r>
      <w:r w:rsidRPr="009B5734">
        <w:rPr>
          <w:rFonts w:ascii="Times New Roman" w:eastAsia="Times New Roman" w:hAnsi="Times New Roman" w:cs="Times New Roman"/>
          <w:noProof/>
          <w:sz w:val="24"/>
          <w:szCs w:val="24"/>
          <w:lang w:eastAsia="en-GB"/>
        </w:rPr>
        <w:t>in receiving information on durability and reparability,</w:t>
      </w:r>
      <w:r w:rsidRPr="009B5734">
        <w:rPr>
          <w:rFonts w:ascii="Times New Roman" w:eastAsia="Calibri" w:hAnsi="Times New Roman" w:cs="Times New Roman"/>
          <w:noProof/>
          <w:sz w:val="24"/>
          <w:szCs w:val="24"/>
        </w:rPr>
        <w:t xml:space="preserve"> is mostly available for the </w:t>
      </w:r>
      <w:r w:rsidRPr="009B5734">
        <w:rPr>
          <w:rFonts w:ascii="Times New Roman" w:eastAsia="Calibri" w:hAnsi="Times New Roman" w:cs="Times New Roman"/>
          <w:b/>
          <w:noProof/>
          <w:sz w:val="24"/>
          <w:szCs w:val="24"/>
        </w:rPr>
        <w:t>medium product scope</w:t>
      </w:r>
      <w:r w:rsidRPr="009B5734">
        <w:rPr>
          <w:rFonts w:ascii="Times New Roman" w:eastAsia="Calibri" w:hAnsi="Times New Roman" w:cs="Times New Roman"/>
          <w:noProof/>
          <w:sz w:val="24"/>
          <w:szCs w:val="24"/>
        </w:rPr>
        <w:t xml:space="preserve"> (i.e. energy using products); for the remaining types of products far less evidence is available.</w:t>
      </w:r>
    </w:p>
    <w:p w:rsidR="00EA45F9" w:rsidRPr="009B5734" w:rsidRDefault="00EA45F9" w:rsidP="00EA45F9">
      <w:pPr>
        <w:spacing w:after="160" w:line="259" w:lineRule="auto"/>
        <w:ind w:left="0" w:firstLine="0"/>
        <w:rPr>
          <w:rFonts w:ascii="Times New Roman" w:eastAsia="Calibri" w:hAnsi="Times New Roman" w:cs="Times New Roman"/>
          <w:noProof/>
          <w:sz w:val="24"/>
          <w:szCs w:val="24"/>
        </w:rPr>
      </w:pPr>
      <w:r w:rsidRPr="009B5734">
        <w:rPr>
          <w:rFonts w:ascii="Times New Roman" w:eastAsia="Calibri" w:hAnsi="Times New Roman" w:cs="Times New Roman"/>
          <w:noProof/>
          <w:sz w:val="24"/>
          <w:szCs w:val="24"/>
        </w:rPr>
        <w:t>Furthermore, the availability of evidence can be considered a proxy for the size of the problem (and of the expected benefits if addressed) for the various product groups as it is reasonable to expect that research tends to focus on the most relevant problems/product categories.</w:t>
      </w:r>
    </w:p>
    <w:p w:rsidR="00EA45F9" w:rsidRPr="009B5734" w:rsidRDefault="00EA45F9" w:rsidP="00EA45F9">
      <w:pPr>
        <w:spacing w:after="160" w:line="259" w:lineRule="auto"/>
        <w:ind w:left="0" w:firstLine="0"/>
        <w:rPr>
          <w:rFonts w:ascii="Times New Roman" w:eastAsia="Calibri" w:hAnsi="Times New Roman" w:cs="Times New Roman"/>
          <w:noProof/>
          <w:sz w:val="24"/>
          <w:szCs w:val="24"/>
        </w:rPr>
      </w:pPr>
      <w:r w:rsidRPr="009B5734">
        <w:rPr>
          <w:rFonts w:ascii="Times New Roman" w:eastAsia="Calibri" w:hAnsi="Times New Roman" w:cs="Times New Roman"/>
          <w:noProof/>
          <w:sz w:val="24"/>
          <w:szCs w:val="24"/>
        </w:rPr>
        <w:t xml:space="preserve">For this reason, while the available evidence allows for robust conclusions on the benefits of possible measures (to address sub-problem 1.2 and sub-problem 1.3) for the medium product scope, it is insufficient to soundly confirm them for a wider product scope). </w:t>
      </w:r>
    </w:p>
    <w:p w:rsidR="00EA45F9" w:rsidRPr="009B5734" w:rsidRDefault="00EA45F9" w:rsidP="00EA45F9">
      <w:pPr>
        <w:spacing w:after="160" w:line="259" w:lineRule="auto"/>
        <w:ind w:left="0" w:firstLine="0"/>
        <w:rPr>
          <w:rFonts w:ascii="Times New Roman" w:eastAsia="Calibri" w:hAnsi="Times New Roman" w:cs="Times New Roman"/>
          <w:noProof/>
          <w:sz w:val="24"/>
          <w:szCs w:val="24"/>
        </w:rPr>
      </w:pPr>
      <w:r w:rsidRPr="009B5734">
        <w:rPr>
          <w:rFonts w:ascii="Times New Roman" w:eastAsia="Calibri" w:hAnsi="Times New Roman" w:cs="Times New Roman"/>
          <w:noProof/>
          <w:sz w:val="24"/>
          <w:szCs w:val="24"/>
        </w:rPr>
        <w:t xml:space="preserve">Given the aforementioned lack of evidence to cover a “Very wide product scope”” or a “wide product scope”, two alternatives were assessed in the scope of the preparatory study: a) cover only the product category for which a wealth of evidence is available (i.e., energy-using products); or b) opt for a wider product scope and establish an EU body responsible for defining and updating the criteria that determine whether a given product is exempt. A screening of the political, operational and financial feasibility of the two options clearly showed many obstacles to the implementation of option b, including the high costs of setting up and running such an EU body and also the potential overlap with the SPI initiative. </w:t>
      </w:r>
      <w:r w:rsidRPr="009B5734">
        <w:rPr>
          <w:rFonts w:ascii="Times New Roman" w:eastAsia="Calibri" w:hAnsi="Times New Roman" w:cs="Times New Roman"/>
          <w:b/>
          <w:noProof/>
          <w:sz w:val="24"/>
          <w:szCs w:val="24"/>
        </w:rPr>
        <w:t>Therefore, it was decided to restrict the product scope to all energy-using products when considering those options to address sub-problems 1.2 and 1.3 for which a product scope is defined.</w:t>
      </w:r>
      <w:r w:rsidRPr="009B5734">
        <w:rPr>
          <w:rFonts w:ascii="Times New Roman" w:eastAsia="Calibri" w:hAnsi="Times New Roman" w:cs="Times New Roman"/>
          <w:noProof/>
          <w:sz w:val="24"/>
          <w:szCs w:val="24"/>
        </w:rPr>
        <w:t xml:space="preserve"> </w:t>
      </w:r>
    </w:p>
    <w:p w:rsidR="00EA45F9" w:rsidRPr="009B5734" w:rsidRDefault="00EA45F9" w:rsidP="00EA45F9">
      <w:pPr>
        <w:pStyle w:val="Text1"/>
        <w:rPr>
          <w:noProof/>
        </w:rPr>
      </w:pPr>
    </w:p>
    <w:p w:rsidR="00C12CD8" w:rsidRPr="009B5734" w:rsidRDefault="00C12CD8" w:rsidP="00A37427">
      <w:pPr>
        <w:pStyle w:val="Text1"/>
        <w:rPr>
          <w:noProof/>
        </w:rPr>
      </w:pPr>
    </w:p>
    <w:sectPr w:rsidR="00C12CD8" w:rsidRPr="009B5734" w:rsidSect="00353CBE">
      <w:headerReference w:type="even" r:id="rId134"/>
      <w:headerReference w:type="default" r:id="rId135"/>
      <w:footerReference w:type="even" r:id="rId136"/>
      <w:footerReference w:type="default" r:id="rId137"/>
      <w:headerReference w:type="first" r:id="rId138"/>
      <w:footerReference w:type="first" r:id="rId139"/>
      <w:pgSz w:w="11906" w:h="16838"/>
      <w:pgMar w:top="1021" w:right="1701" w:bottom="1021" w:left="1588" w:header="601"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B80" w:rsidRDefault="00F26B80" w:rsidP="006B087E">
      <w:r>
        <w:separator/>
      </w:r>
    </w:p>
  </w:endnote>
  <w:endnote w:type="continuationSeparator" w:id="0">
    <w:p w:rsidR="00F26B80" w:rsidRDefault="00F26B80" w:rsidP="006B087E">
      <w:r>
        <w:continuationSeparator/>
      </w:r>
    </w:p>
  </w:endnote>
  <w:endnote w:type="continuationNotice" w:id="1">
    <w:p w:rsidR="00F26B80" w:rsidRDefault="00F26B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swiss"/>
    <w:pitch w:val="variable"/>
    <w:sig w:usb0="00000000"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DFont+F3">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ahnschrift Semi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706" w:rsidRPr="00700706" w:rsidRDefault="00700706" w:rsidP="0070070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F1E" w:rsidRDefault="005C6F1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2762330"/>
      <w:docPartObj>
        <w:docPartGallery w:val="Page Numbers (Bottom of Page)"/>
        <w:docPartUnique/>
      </w:docPartObj>
    </w:sdtPr>
    <w:sdtEndPr>
      <w:rPr>
        <w:noProof/>
      </w:rPr>
    </w:sdtEndPr>
    <w:sdtContent>
      <w:p w:rsidR="005C6F1E" w:rsidRDefault="005C6F1E">
        <w:pPr>
          <w:pStyle w:val="Footer"/>
          <w:jc w:val="center"/>
        </w:pPr>
        <w:r>
          <w:fldChar w:fldCharType="begin"/>
        </w:r>
        <w:r>
          <w:instrText xml:space="preserve"> PAGE   \* MERGEFORMAT </w:instrText>
        </w:r>
        <w:r>
          <w:fldChar w:fldCharType="separate"/>
        </w:r>
        <w:r w:rsidR="00CF264A">
          <w:rPr>
            <w:noProof/>
          </w:rPr>
          <w:t>14</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278461"/>
      <w:docPartObj>
        <w:docPartGallery w:val="Page Numbers (Bottom of Page)"/>
        <w:docPartUnique/>
      </w:docPartObj>
    </w:sdtPr>
    <w:sdtEndPr>
      <w:rPr>
        <w:noProof/>
      </w:rPr>
    </w:sdtEndPr>
    <w:sdtContent>
      <w:p w:rsidR="005C6F1E" w:rsidRDefault="005C6F1E">
        <w:pPr>
          <w:pStyle w:val="Footer"/>
          <w:jc w:val="center"/>
        </w:pPr>
        <w:r>
          <w:fldChar w:fldCharType="begin"/>
        </w:r>
        <w:r>
          <w:instrText xml:space="preserve"> PAGE   \* MERGEFORMAT </w:instrText>
        </w:r>
        <w:r>
          <w:fldChar w:fldCharType="separate"/>
        </w:r>
        <w:r>
          <w:rPr>
            <w:noProof/>
          </w:rPr>
          <w:t>160</w:t>
        </w:r>
        <w:r>
          <w:rPr>
            <w:noProof/>
          </w:rPr>
          <w:fldChar w:fldCharType="end"/>
        </w:r>
      </w:p>
    </w:sdtContent>
  </w:sdt>
  <w:p w:rsidR="005C6F1E" w:rsidRDefault="005C6F1E" w:rsidP="00BD628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F1E" w:rsidRDefault="005C6F1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0739776"/>
      <w:docPartObj>
        <w:docPartGallery w:val="Page Numbers (Bottom of Page)"/>
        <w:docPartUnique/>
      </w:docPartObj>
    </w:sdtPr>
    <w:sdtEndPr>
      <w:rPr>
        <w:noProof/>
      </w:rPr>
    </w:sdtEndPr>
    <w:sdtContent>
      <w:p w:rsidR="005C6F1E" w:rsidRDefault="005C6F1E">
        <w:pPr>
          <w:pStyle w:val="Footer"/>
          <w:jc w:val="center"/>
        </w:pPr>
        <w:r>
          <w:fldChar w:fldCharType="begin"/>
        </w:r>
        <w:r>
          <w:instrText xml:space="preserve"> PAGE   \* MERGEFORMAT </w:instrText>
        </w:r>
        <w:r>
          <w:fldChar w:fldCharType="separate"/>
        </w:r>
        <w:r w:rsidR="00EC7764">
          <w:rPr>
            <w:noProof/>
          </w:rPr>
          <w:t>18</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422911"/>
      <w:docPartObj>
        <w:docPartGallery w:val="Page Numbers (Bottom of Page)"/>
        <w:docPartUnique/>
      </w:docPartObj>
    </w:sdtPr>
    <w:sdtEndPr>
      <w:rPr>
        <w:noProof/>
      </w:rPr>
    </w:sdtEndPr>
    <w:sdtContent>
      <w:p w:rsidR="005C6F1E" w:rsidRDefault="005C6F1E">
        <w:pPr>
          <w:pStyle w:val="Footer"/>
          <w:jc w:val="center"/>
        </w:pPr>
        <w:r>
          <w:fldChar w:fldCharType="begin"/>
        </w:r>
        <w:r>
          <w:instrText xml:space="preserve"> PAGE   \* MERGEFORMAT </w:instrText>
        </w:r>
        <w:r>
          <w:fldChar w:fldCharType="separate"/>
        </w:r>
        <w:r>
          <w:rPr>
            <w:noProof/>
          </w:rPr>
          <w:t>160</w:t>
        </w:r>
        <w:r>
          <w:rPr>
            <w:noProof/>
          </w:rPr>
          <w:fldChar w:fldCharType="end"/>
        </w:r>
      </w:p>
    </w:sdtContent>
  </w:sdt>
  <w:p w:rsidR="005C6F1E" w:rsidRDefault="005C6F1E" w:rsidP="00BD628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2709450"/>
      <w:docPartObj>
        <w:docPartGallery w:val="Page Numbers (Bottom of Page)"/>
        <w:docPartUnique/>
      </w:docPartObj>
    </w:sdtPr>
    <w:sdtEndPr>
      <w:rPr>
        <w:noProof/>
      </w:rPr>
    </w:sdtEndPr>
    <w:sdtContent>
      <w:p w:rsidR="00164A6B" w:rsidRDefault="00164A6B">
        <w:pPr>
          <w:pStyle w:val="Footer"/>
          <w:jc w:val="center"/>
        </w:pPr>
        <w:r>
          <w:fldChar w:fldCharType="begin"/>
        </w:r>
        <w:r>
          <w:instrText xml:space="preserve"> PAGE   \* MERGEFORMAT </w:instrText>
        </w:r>
        <w:r>
          <w:fldChar w:fldCharType="separate"/>
        </w:r>
        <w:r w:rsidR="00EC7764">
          <w:rPr>
            <w:noProof/>
          </w:rPr>
          <w:t>33</w:t>
        </w:r>
        <w:r>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6477746"/>
      <w:docPartObj>
        <w:docPartGallery w:val="Page Numbers (Bottom of Page)"/>
        <w:docPartUnique/>
      </w:docPartObj>
    </w:sdtPr>
    <w:sdtEndPr>
      <w:rPr>
        <w:noProof/>
      </w:rPr>
    </w:sdtEndPr>
    <w:sdtContent>
      <w:p w:rsidR="00164A6B" w:rsidRDefault="00164A6B">
        <w:pPr>
          <w:pStyle w:val="Footer"/>
          <w:jc w:val="center"/>
        </w:pPr>
        <w:r>
          <w:fldChar w:fldCharType="begin"/>
        </w:r>
        <w:r>
          <w:instrText xml:space="preserve"> PAGE   \* MERGEFORMAT </w:instrText>
        </w:r>
        <w:r>
          <w:fldChar w:fldCharType="separate"/>
        </w:r>
        <w:r>
          <w:rPr>
            <w:noProof/>
          </w:rPr>
          <w:t>160</w:t>
        </w:r>
        <w:r>
          <w:rPr>
            <w:noProof/>
          </w:rPr>
          <w:fldChar w:fldCharType="end"/>
        </w:r>
      </w:p>
    </w:sdtContent>
  </w:sdt>
  <w:p w:rsidR="00164A6B" w:rsidRDefault="00164A6B" w:rsidP="00BD628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F1E" w:rsidRDefault="005C6F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764" w:rsidRPr="00700706" w:rsidRDefault="00700706" w:rsidP="00700706">
    <w:pPr>
      <w:pStyle w:val="FooterCoverPage"/>
      <w:rPr>
        <w:rFonts w:ascii="Arial" w:hAnsi="Arial" w:cs="Arial"/>
        <w:b/>
        <w:sz w:val="48"/>
      </w:rPr>
    </w:pPr>
    <w:r w:rsidRPr="00700706">
      <w:rPr>
        <w:rFonts w:ascii="Arial" w:hAnsi="Arial" w:cs="Arial"/>
        <w:b/>
        <w:sz w:val="48"/>
      </w:rPr>
      <w:t>EN</w:t>
    </w:r>
    <w:r w:rsidRPr="00700706">
      <w:rPr>
        <w:rFonts w:ascii="Arial" w:hAnsi="Arial" w:cs="Arial"/>
        <w:b/>
        <w:sz w:val="48"/>
      </w:rPr>
      <w:tab/>
    </w:r>
    <w:r w:rsidRPr="00700706">
      <w:rPr>
        <w:rFonts w:ascii="Arial" w:hAnsi="Arial" w:cs="Arial"/>
        <w:b/>
        <w:sz w:val="48"/>
      </w:rPr>
      <w:tab/>
    </w:r>
    <w:r w:rsidRPr="00700706">
      <w:tab/>
    </w:r>
    <w:r w:rsidRPr="00700706">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2491427"/>
      <w:docPartObj>
        <w:docPartGallery w:val="Page Numbers (Bottom of Page)"/>
        <w:docPartUnique/>
      </w:docPartObj>
    </w:sdtPr>
    <w:sdtEndPr>
      <w:rPr>
        <w:noProof/>
      </w:rPr>
    </w:sdtEndPr>
    <w:sdtContent>
      <w:p w:rsidR="005C6F1E" w:rsidRDefault="005C6F1E">
        <w:pPr>
          <w:pStyle w:val="Footer"/>
          <w:jc w:val="center"/>
        </w:pPr>
        <w:r>
          <w:fldChar w:fldCharType="begin"/>
        </w:r>
        <w:r>
          <w:instrText xml:space="preserve"> PAGE   \* MERGEFORMAT </w:instrText>
        </w:r>
        <w:r>
          <w:fldChar w:fldCharType="separate"/>
        </w:r>
        <w:r w:rsidR="00EC7764">
          <w:rPr>
            <w:noProof/>
          </w:rPr>
          <w:t>68</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9385419"/>
      <w:docPartObj>
        <w:docPartGallery w:val="Page Numbers (Bottom of Page)"/>
        <w:docPartUnique/>
      </w:docPartObj>
    </w:sdtPr>
    <w:sdtEndPr>
      <w:rPr>
        <w:noProof/>
      </w:rPr>
    </w:sdtEndPr>
    <w:sdtContent>
      <w:p w:rsidR="005C6F1E" w:rsidRDefault="005C6F1E">
        <w:pPr>
          <w:pStyle w:val="Footer"/>
          <w:jc w:val="center"/>
        </w:pPr>
        <w:r>
          <w:fldChar w:fldCharType="begin"/>
        </w:r>
        <w:r>
          <w:instrText xml:space="preserve"> PAGE   \* MERGEFORMAT </w:instrText>
        </w:r>
        <w:r>
          <w:fldChar w:fldCharType="separate"/>
        </w:r>
        <w:r>
          <w:rPr>
            <w:noProof/>
          </w:rPr>
          <w:t>160</w:t>
        </w:r>
        <w:r>
          <w:rPr>
            <w:noProof/>
          </w:rPr>
          <w:fldChar w:fldCharType="end"/>
        </w:r>
      </w:p>
    </w:sdtContent>
  </w:sdt>
  <w:p w:rsidR="005C6F1E" w:rsidRDefault="005C6F1E" w:rsidP="00BD628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4340472"/>
      <w:docPartObj>
        <w:docPartGallery w:val="Page Numbers (Bottom of Page)"/>
        <w:docPartUnique/>
      </w:docPartObj>
    </w:sdtPr>
    <w:sdtEndPr>
      <w:rPr>
        <w:noProof/>
      </w:rPr>
    </w:sdtEndPr>
    <w:sdtContent>
      <w:p w:rsidR="00164A6B" w:rsidRDefault="00164A6B">
        <w:pPr>
          <w:pStyle w:val="Footer"/>
          <w:jc w:val="center"/>
        </w:pPr>
        <w:r>
          <w:fldChar w:fldCharType="begin"/>
        </w:r>
        <w:r>
          <w:instrText xml:space="preserve"> PAGE   \* MERGEFORMAT </w:instrText>
        </w:r>
        <w:r>
          <w:fldChar w:fldCharType="separate"/>
        </w:r>
        <w:r w:rsidR="00A725BA">
          <w:rPr>
            <w:noProof/>
          </w:rPr>
          <w:t>93</w:t>
        </w:r>
        <w:r>
          <w:rPr>
            <w:noProof/>
          </w:rPr>
          <w:fldChar w:fldCharType="end"/>
        </w:r>
      </w:p>
    </w:sdtContent>
  </w:sdt>
  <w:p w:rsidR="00164A6B" w:rsidRDefault="00164A6B" w:rsidP="006F3A6F">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8097492"/>
      <w:docPartObj>
        <w:docPartGallery w:val="Page Numbers (Bottom of Page)"/>
        <w:docPartUnique/>
      </w:docPartObj>
    </w:sdtPr>
    <w:sdtEndPr>
      <w:rPr>
        <w:noProof/>
      </w:rPr>
    </w:sdtEndPr>
    <w:sdtContent>
      <w:p w:rsidR="00164A6B" w:rsidRDefault="00164A6B">
        <w:pPr>
          <w:pStyle w:val="Footer"/>
          <w:jc w:val="center"/>
        </w:pPr>
        <w:r>
          <w:fldChar w:fldCharType="begin"/>
        </w:r>
        <w:r>
          <w:instrText xml:space="preserve"> PAGE   \* MERGEFORMAT </w:instrText>
        </w:r>
        <w:r>
          <w:fldChar w:fldCharType="separate"/>
        </w:r>
        <w:r>
          <w:rPr>
            <w:noProof/>
          </w:rPr>
          <w:t>160</w:t>
        </w:r>
        <w:r>
          <w:rPr>
            <w:noProof/>
          </w:rPr>
          <w:fldChar w:fldCharType="end"/>
        </w:r>
      </w:p>
    </w:sdtContent>
  </w:sdt>
  <w:p w:rsidR="00164A6B" w:rsidRDefault="00164A6B" w:rsidP="00BD628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271610"/>
      <w:docPartObj>
        <w:docPartGallery w:val="Page Numbers (Bottom of Page)"/>
        <w:docPartUnique/>
      </w:docPartObj>
    </w:sdtPr>
    <w:sdtEndPr>
      <w:rPr>
        <w:noProof/>
      </w:rPr>
    </w:sdtEndPr>
    <w:sdtContent>
      <w:p w:rsidR="00164A6B" w:rsidRDefault="00164A6B" w:rsidP="00CC74F5">
        <w:pPr>
          <w:pStyle w:val="Footer"/>
          <w:jc w:val="center"/>
        </w:pPr>
        <w:r>
          <w:fldChar w:fldCharType="begin"/>
        </w:r>
        <w:r>
          <w:instrText xml:space="preserve"> PAGE   \* MERGEFORMAT </w:instrText>
        </w:r>
        <w:r>
          <w:fldChar w:fldCharType="separate"/>
        </w:r>
        <w:r w:rsidR="00A725BA">
          <w:rPr>
            <w:noProof/>
          </w:rPr>
          <w:t>94</w:t>
        </w:r>
        <w:r>
          <w:rPr>
            <w:noProof/>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4455038"/>
      <w:docPartObj>
        <w:docPartGallery w:val="Page Numbers (Bottom of Page)"/>
        <w:docPartUnique/>
      </w:docPartObj>
    </w:sdtPr>
    <w:sdtEndPr>
      <w:rPr>
        <w:noProof/>
      </w:rPr>
    </w:sdtEndPr>
    <w:sdtContent>
      <w:p w:rsidR="00164A6B" w:rsidRDefault="00164A6B">
        <w:pPr>
          <w:pStyle w:val="Footer"/>
          <w:jc w:val="center"/>
        </w:pPr>
        <w:r>
          <w:fldChar w:fldCharType="begin"/>
        </w:r>
        <w:r>
          <w:instrText xml:space="preserve"> PAGE   \* MERGEFORMAT </w:instrText>
        </w:r>
        <w:r>
          <w:fldChar w:fldCharType="separate"/>
        </w:r>
        <w:r>
          <w:rPr>
            <w:noProof/>
          </w:rPr>
          <w:t>160</w:t>
        </w:r>
        <w:r>
          <w:rPr>
            <w:noProof/>
          </w:rPr>
          <w:fldChar w:fldCharType="end"/>
        </w:r>
      </w:p>
    </w:sdtContent>
  </w:sdt>
  <w:p w:rsidR="00164A6B" w:rsidRDefault="00164A6B" w:rsidP="00BD628C">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3703289"/>
      <w:docPartObj>
        <w:docPartGallery w:val="Page Numbers (Bottom of Page)"/>
        <w:docPartUnique/>
      </w:docPartObj>
    </w:sdtPr>
    <w:sdtEndPr>
      <w:rPr>
        <w:noProof/>
      </w:rPr>
    </w:sdtEndPr>
    <w:sdtContent>
      <w:p w:rsidR="00164A6B" w:rsidRDefault="00164A6B" w:rsidP="00CC74F5">
        <w:pPr>
          <w:pStyle w:val="Footer"/>
          <w:jc w:val="center"/>
        </w:pPr>
        <w:r>
          <w:fldChar w:fldCharType="begin"/>
        </w:r>
        <w:r>
          <w:instrText xml:space="preserve"> PAGE   \* MERGEFORMAT </w:instrText>
        </w:r>
        <w:r>
          <w:fldChar w:fldCharType="separate"/>
        </w:r>
        <w:r w:rsidR="00A725BA">
          <w:rPr>
            <w:noProof/>
          </w:rPr>
          <w:t>96</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706" w:rsidRPr="00700706" w:rsidRDefault="00700706" w:rsidP="00700706">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1118640"/>
      <w:docPartObj>
        <w:docPartGallery w:val="Page Numbers (Bottom of Page)"/>
        <w:docPartUnique/>
      </w:docPartObj>
    </w:sdtPr>
    <w:sdtEndPr>
      <w:rPr>
        <w:noProof/>
      </w:rPr>
    </w:sdtEndPr>
    <w:sdtContent>
      <w:p w:rsidR="00164A6B" w:rsidRDefault="00164A6B">
        <w:pPr>
          <w:pStyle w:val="Footer"/>
          <w:jc w:val="center"/>
        </w:pPr>
        <w:r>
          <w:fldChar w:fldCharType="begin"/>
        </w:r>
        <w:r>
          <w:instrText xml:space="preserve"> PAGE   \* MERGEFORMAT </w:instrText>
        </w:r>
        <w:r>
          <w:fldChar w:fldCharType="separate"/>
        </w:r>
        <w:r>
          <w:rPr>
            <w:noProof/>
          </w:rPr>
          <w:t>160</w:t>
        </w:r>
        <w:r>
          <w:rPr>
            <w:noProof/>
          </w:rPr>
          <w:fldChar w:fldCharType="end"/>
        </w:r>
      </w:p>
    </w:sdtContent>
  </w:sdt>
  <w:p w:rsidR="00164A6B" w:rsidRDefault="00164A6B" w:rsidP="00BD628C">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9402559"/>
      <w:docPartObj>
        <w:docPartGallery w:val="Page Numbers (Bottom of Page)"/>
        <w:docPartUnique/>
      </w:docPartObj>
    </w:sdtPr>
    <w:sdtEndPr>
      <w:rPr>
        <w:noProof/>
      </w:rPr>
    </w:sdtEndPr>
    <w:sdtContent>
      <w:p w:rsidR="00164A6B" w:rsidRDefault="00164A6B" w:rsidP="00CC74F5">
        <w:pPr>
          <w:pStyle w:val="Footer"/>
          <w:jc w:val="center"/>
        </w:pPr>
        <w:r>
          <w:fldChar w:fldCharType="begin"/>
        </w:r>
        <w:r>
          <w:instrText xml:space="preserve"> PAGE   \* MERGEFORMAT </w:instrText>
        </w:r>
        <w:r>
          <w:fldChar w:fldCharType="separate"/>
        </w:r>
        <w:r w:rsidR="00A725BA">
          <w:rPr>
            <w:noProof/>
          </w:rPr>
          <w:t>137</w:t>
        </w:r>
        <w:r>
          <w:rPr>
            <w:noProof/>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955027"/>
      <w:docPartObj>
        <w:docPartGallery w:val="Page Numbers (Bottom of Page)"/>
        <w:docPartUnique/>
      </w:docPartObj>
    </w:sdtPr>
    <w:sdtEndPr>
      <w:rPr>
        <w:noProof/>
      </w:rPr>
    </w:sdtEndPr>
    <w:sdtContent>
      <w:p w:rsidR="00164A6B" w:rsidRDefault="00164A6B">
        <w:pPr>
          <w:pStyle w:val="Footer"/>
          <w:jc w:val="center"/>
        </w:pPr>
        <w:r>
          <w:fldChar w:fldCharType="begin"/>
        </w:r>
        <w:r>
          <w:instrText xml:space="preserve"> PAGE   \* MERGEFORMAT </w:instrText>
        </w:r>
        <w:r>
          <w:fldChar w:fldCharType="separate"/>
        </w:r>
        <w:r w:rsidR="00A725BA">
          <w:rPr>
            <w:noProof/>
          </w:rPr>
          <w:t>97</w:t>
        </w:r>
        <w:r>
          <w:rPr>
            <w:noProof/>
          </w:rPr>
          <w:fldChar w:fldCharType="end"/>
        </w:r>
      </w:p>
    </w:sdtContent>
  </w:sdt>
  <w:p w:rsidR="00164A6B" w:rsidRDefault="00164A6B" w:rsidP="00BD628C">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Footer"/>
      <w:jc w:val="center"/>
    </w:pPr>
    <w:r>
      <w:fldChar w:fldCharType="begin"/>
    </w:r>
    <w:r>
      <w:instrText>PAGE</w:instrText>
    </w:r>
    <w:r>
      <w:fldChar w:fldCharType="separate"/>
    </w:r>
    <w:r w:rsidR="00A725BA">
      <w:rPr>
        <w:noProof/>
      </w:rPr>
      <w:t>147</w:t>
    </w:r>
    <w: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1788014"/>
      <w:docPartObj>
        <w:docPartGallery w:val="Page Numbers (Bottom of Page)"/>
        <w:docPartUnique/>
      </w:docPartObj>
    </w:sdtPr>
    <w:sdtEndPr>
      <w:rPr>
        <w:noProof/>
      </w:rPr>
    </w:sdtEndPr>
    <w:sdtContent>
      <w:p w:rsidR="00164A6B" w:rsidRDefault="00164A6B">
        <w:pPr>
          <w:pStyle w:val="Footer"/>
          <w:jc w:val="center"/>
        </w:pPr>
        <w:r>
          <w:fldChar w:fldCharType="begin"/>
        </w:r>
        <w:r>
          <w:instrText xml:space="preserve"> PAGE   \* MERGEFORMAT </w:instrText>
        </w:r>
        <w:r>
          <w:fldChar w:fldCharType="separate"/>
        </w:r>
        <w:r w:rsidR="00A725BA">
          <w:rPr>
            <w:noProof/>
          </w:rPr>
          <w:t>138</w:t>
        </w:r>
        <w:r>
          <w:rPr>
            <w:noProof/>
          </w:rPr>
          <w:fldChar w:fldCharType="end"/>
        </w:r>
      </w:p>
    </w:sdtContent>
  </w:sdt>
  <w:p w:rsidR="00164A6B" w:rsidRDefault="00164A6B">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Footer"/>
      <w:jc w:val="center"/>
    </w:pPr>
    <w:r>
      <w:fldChar w:fldCharType="begin"/>
    </w:r>
    <w:r>
      <w:instrText>PAGE</w:instrText>
    </w:r>
    <w:r>
      <w:fldChar w:fldCharType="separate"/>
    </w:r>
    <w:r w:rsidR="00A725BA">
      <w:rPr>
        <w:noProof/>
      </w:rPr>
      <w:t>153</w:t>
    </w:r>
    <w: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890198"/>
      <w:docPartObj>
        <w:docPartGallery w:val="Page Numbers (Bottom of Page)"/>
        <w:docPartUnique/>
      </w:docPartObj>
    </w:sdtPr>
    <w:sdtEndPr>
      <w:rPr>
        <w:noProof/>
      </w:rPr>
    </w:sdtEndPr>
    <w:sdtContent>
      <w:p w:rsidR="00164A6B" w:rsidRDefault="00164A6B">
        <w:pPr>
          <w:pStyle w:val="Footer"/>
          <w:jc w:val="center"/>
        </w:pPr>
        <w:r>
          <w:fldChar w:fldCharType="begin"/>
        </w:r>
        <w:r>
          <w:instrText xml:space="preserve"> PAGE   \* MERGEFORMAT </w:instrText>
        </w:r>
        <w:r>
          <w:fldChar w:fldCharType="separate"/>
        </w:r>
        <w:r w:rsidR="00A725BA">
          <w:rPr>
            <w:noProof/>
          </w:rPr>
          <w:t>148</w:t>
        </w:r>
        <w:r>
          <w:rPr>
            <w:noProof/>
          </w:rPr>
          <w:fldChar w:fldCharType="end"/>
        </w:r>
      </w:p>
    </w:sdtContent>
  </w:sdt>
  <w:p w:rsidR="00164A6B" w:rsidRDefault="00164A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7418751"/>
      <w:docPartObj>
        <w:docPartGallery w:val="Page Numbers (Bottom of Page)"/>
        <w:docPartUnique/>
      </w:docPartObj>
    </w:sdtPr>
    <w:sdtEndPr>
      <w:rPr>
        <w:noProof/>
      </w:rPr>
    </w:sdtEndPr>
    <w:sdtContent>
      <w:p w:rsidR="00164A6B" w:rsidRDefault="00164A6B">
        <w:pPr>
          <w:pStyle w:val="Footer"/>
          <w:jc w:val="center"/>
        </w:pPr>
        <w:r>
          <w:fldChar w:fldCharType="begin"/>
        </w:r>
        <w:r>
          <w:instrText xml:space="preserve"> PAGE   \* MERGEFORMAT </w:instrText>
        </w:r>
        <w:r>
          <w:fldChar w:fldCharType="separate"/>
        </w:r>
        <w:r w:rsidR="00A725BA">
          <w:rPr>
            <w:noProof/>
          </w:rPr>
          <w:t>169</w:t>
        </w:r>
        <w:r>
          <w:rPr>
            <w:noProof/>
          </w:rPr>
          <w:fldChar w:fldCharType="end"/>
        </w:r>
      </w:p>
    </w:sdtContent>
  </w:sdt>
  <w:p w:rsidR="00164A6B" w:rsidRPr="00CD516A" w:rsidRDefault="00164A6B" w:rsidP="000A5C48">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4928478"/>
      <w:docPartObj>
        <w:docPartGallery w:val="Page Numbers (Bottom of Page)"/>
        <w:docPartUnique/>
      </w:docPartObj>
    </w:sdtPr>
    <w:sdtEndPr>
      <w:rPr>
        <w:noProof/>
      </w:rPr>
    </w:sdtEndPr>
    <w:sdtContent>
      <w:p w:rsidR="00164A6B" w:rsidRDefault="00164A6B">
        <w:pPr>
          <w:pStyle w:val="Footer"/>
          <w:jc w:val="center"/>
        </w:pPr>
        <w:r>
          <w:fldChar w:fldCharType="begin"/>
        </w:r>
        <w:r>
          <w:instrText xml:space="preserve"> PAGE   \* MERGEFORMAT </w:instrText>
        </w:r>
        <w:r>
          <w:fldChar w:fldCharType="separate"/>
        </w:r>
        <w:r w:rsidR="00A725BA">
          <w:rPr>
            <w:noProof/>
          </w:rPr>
          <w:t>154</w:t>
        </w:r>
        <w:r>
          <w:rPr>
            <w:noProof/>
          </w:rPr>
          <w:fldChar w:fldCharType="end"/>
        </w:r>
      </w:p>
    </w:sdtContent>
  </w:sdt>
  <w:p w:rsidR="00164A6B" w:rsidRDefault="00164A6B">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6157248"/>
      <w:docPartObj>
        <w:docPartGallery w:val="Page Numbers (Bottom of Page)"/>
        <w:docPartUnique/>
      </w:docPartObj>
    </w:sdtPr>
    <w:sdtEndPr>
      <w:rPr>
        <w:noProof/>
      </w:rPr>
    </w:sdtEndPr>
    <w:sdtContent>
      <w:p w:rsidR="00164A6B" w:rsidRDefault="00164A6B">
        <w:pPr>
          <w:pStyle w:val="Footer"/>
          <w:jc w:val="center"/>
        </w:pPr>
        <w:r>
          <w:fldChar w:fldCharType="begin"/>
        </w:r>
        <w:r>
          <w:instrText xml:space="preserve"> PAGE   \* MERGEFORMAT </w:instrText>
        </w:r>
        <w:r>
          <w:fldChar w:fldCharType="separate"/>
        </w:r>
        <w:r w:rsidR="00A725BA">
          <w:rPr>
            <w:noProof/>
          </w:rPr>
          <w:t>201</w:t>
        </w:r>
        <w:r>
          <w:rPr>
            <w:noProof/>
          </w:rPr>
          <w:fldChar w:fldCharType="end"/>
        </w:r>
      </w:p>
    </w:sdtContent>
  </w:sdt>
  <w:p w:rsidR="00164A6B" w:rsidRPr="00CD516A" w:rsidRDefault="00164A6B" w:rsidP="000A5C48">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4143645"/>
      <w:docPartObj>
        <w:docPartGallery w:val="Page Numbers (Bottom of Page)"/>
        <w:docPartUnique/>
      </w:docPartObj>
    </w:sdtPr>
    <w:sdtEndPr>
      <w:rPr>
        <w:noProof/>
      </w:rPr>
    </w:sdtEndPr>
    <w:sdtContent>
      <w:p w:rsidR="00164A6B" w:rsidRDefault="00164A6B">
        <w:pPr>
          <w:pStyle w:val="Footer"/>
          <w:jc w:val="center"/>
        </w:pPr>
        <w:r>
          <w:fldChar w:fldCharType="begin"/>
        </w:r>
        <w:r>
          <w:instrText xml:space="preserve"> PAGE   \* MERGEFORMAT </w:instrText>
        </w:r>
        <w:r>
          <w:fldChar w:fldCharType="separate"/>
        </w:r>
        <w:r w:rsidR="00A725BA">
          <w:rPr>
            <w:noProof/>
          </w:rPr>
          <w:t>170</w:t>
        </w:r>
        <w:r>
          <w:rPr>
            <w:noProof/>
          </w:rPr>
          <w:fldChar w:fldCharType="end"/>
        </w:r>
      </w:p>
    </w:sdtContent>
  </w:sdt>
  <w:p w:rsidR="00164A6B" w:rsidRDefault="00164A6B">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F1E" w:rsidRDefault="005C6F1E">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9190374"/>
      <w:docPartObj>
        <w:docPartGallery w:val="Page Numbers (Bottom of Page)"/>
        <w:docPartUnique/>
      </w:docPartObj>
    </w:sdtPr>
    <w:sdtEndPr>
      <w:rPr>
        <w:noProof/>
      </w:rPr>
    </w:sdtEndPr>
    <w:sdtContent>
      <w:p w:rsidR="005C6F1E" w:rsidRDefault="005C6F1E">
        <w:pPr>
          <w:pStyle w:val="Footer"/>
          <w:jc w:val="center"/>
        </w:pPr>
        <w:r>
          <w:fldChar w:fldCharType="begin"/>
        </w:r>
        <w:r>
          <w:instrText xml:space="preserve"> PAGE   \* MERGEFORMAT </w:instrText>
        </w:r>
        <w:r>
          <w:fldChar w:fldCharType="separate"/>
        </w:r>
        <w:r w:rsidR="007D18A3">
          <w:rPr>
            <w:noProof/>
          </w:rPr>
          <w:t>207</w:t>
        </w:r>
        <w:r>
          <w:rPr>
            <w:noProof/>
          </w:rPr>
          <w:fldChar w:fldCharType="end"/>
        </w:r>
      </w:p>
    </w:sdtContent>
  </w:sdt>
  <w:p w:rsidR="005C6F1E" w:rsidRPr="00CD516A" w:rsidRDefault="005C6F1E" w:rsidP="000A5C48">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3622696"/>
      <w:docPartObj>
        <w:docPartGallery w:val="Page Numbers (Bottom of Page)"/>
        <w:docPartUnique/>
      </w:docPartObj>
    </w:sdtPr>
    <w:sdtEndPr>
      <w:rPr>
        <w:noProof/>
      </w:rPr>
    </w:sdtEndPr>
    <w:sdtContent>
      <w:p w:rsidR="005C6F1E" w:rsidRDefault="005C6F1E">
        <w:pPr>
          <w:pStyle w:val="Footer"/>
          <w:jc w:val="center"/>
        </w:pPr>
        <w:r>
          <w:fldChar w:fldCharType="begin"/>
        </w:r>
        <w:r>
          <w:instrText xml:space="preserve"> PAGE   \* MERGEFORMAT </w:instrText>
        </w:r>
        <w:r>
          <w:fldChar w:fldCharType="separate"/>
        </w:r>
        <w:r w:rsidR="007D18A3">
          <w:rPr>
            <w:noProof/>
          </w:rPr>
          <w:t>206</w:t>
        </w:r>
        <w:r>
          <w:rPr>
            <w:noProof/>
          </w:rPr>
          <w:fldChar w:fldCharType="end"/>
        </w:r>
      </w:p>
    </w:sdtContent>
  </w:sdt>
  <w:p w:rsidR="005C6F1E" w:rsidRDefault="005C6F1E">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F1E" w:rsidRDefault="005C6F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Footer"/>
      <w:jc w:val="center"/>
    </w:pPr>
  </w:p>
  <w:p w:rsidR="00164A6B" w:rsidRDefault="00164A6B">
    <w:pPr>
      <w:pStyle w:val="Footer"/>
      <w:jc w:val="cente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4610163"/>
      <w:docPartObj>
        <w:docPartGallery w:val="Page Numbers (Bottom of Page)"/>
        <w:docPartUnique/>
      </w:docPartObj>
    </w:sdtPr>
    <w:sdtEndPr>
      <w:rPr>
        <w:noProof/>
      </w:rPr>
    </w:sdtEndPr>
    <w:sdtContent>
      <w:p w:rsidR="005C6F1E" w:rsidRDefault="005C6F1E">
        <w:pPr>
          <w:pStyle w:val="Footer"/>
          <w:jc w:val="center"/>
        </w:pPr>
        <w:r>
          <w:fldChar w:fldCharType="begin"/>
        </w:r>
        <w:r>
          <w:instrText xml:space="preserve"> PAGE   \* MERGEFORMAT </w:instrText>
        </w:r>
        <w:r>
          <w:fldChar w:fldCharType="separate"/>
        </w:r>
        <w:r w:rsidR="007D18A3">
          <w:rPr>
            <w:noProof/>
          </w:rPr>
          <w:t>235</w:t>
        </w:r>
        <w:r>
          <w:rPr>
            <w:noProof/>
          </w:rPr>
          <w:fldChar w:fldCharType="end"/>
        </w:r>
      </w:p>
    </w:sdtContent>
  </w:sdt>
  <w:p w:rsidR="005C6F1E" w:rsidRPr="00CD516A" w:rsidRDefault="005C6F1E" w:rsidP="000A5C48">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8689374"/>
      <w:docPartObj>
        <w:docPartGallery w:val="Page Numbers (Bottom of Page)"/>
        <w:docPartUnique/>
      </w:docPartObj>
    </w:sdtPr>
    <w:sdtEndPr>
      <w:rPr>
        <w:noProof/>
      </w:rPr>
    </w:sdtEndPr>
    <w:sdtContent>
      <w:p w:rsidR="005C6F1E" w:rsidRDefault="005C6F1E">
        <w:pPr>
          <w:pStyle w:val="Footer"/>
          <w:jc w:val="center"/>
        </w:pPr>
        <w:r>
          <w:fldChar w:fldCharType="begin"/>
        </w:r>
        <w:r>
          <w:instrText xml:space="preserve"> PAGE   \* MERGEFORMAT </w:instrText>
        </w:r>
        <w:r>
          <w:fldChar w:fldCharType="separate"/>
        </w:r>
        <w:r w:rsidR="007D18A3">
          <w:rPr>
            <w:noProof/>
          </w:rPr>
          <w:t>208</w:t>
        </w:r>
        <w:r>
          <w:rPr>
            <w:noProof/>
          </w:rPr>
          <w:fldChar w:fldCharType="end"/>
        </w:r>
      </w:p>
    </w:sdtContent>
  </w:sdt>
  <w:p w:rsidR="005C6F1E" w:rsidRDefault="005C6F1E">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0106887"/>
      <w:docPartObj>
        <w:docPartGallery w:val="Page Numbers (Bottom of Page)"/>
        <w:docPartUnique/>
      </w:docPartObj>
    </w:sdtPr>
    <w:sdtEndPr>
      <w:rPr>
        <w:noProof/>
      </w:rPr>
    </w:sdtEndPr>
    <w:sdtContent>
      <w:p w:rsidR="00164A6B" w:rsidRDefault="00164A6B">
        <w:pPr>
          <w:pStyle w:val="Footer"/>
          <w:jc w:val="center"/>
        </w:pPr>
        <w:r>
          <w:fldChar w:fldCharType="begin"/>
        </w:r>
        <w:r>
          <w:instrText xml:space="preserve"> PAGE   \* MERGEFORMAT </w:instrText>
        </w:r>
        <w:r>
          <w:fldChar w:fldCharType="separate"/>
        </w:r>
        <w:r w:rsidR="00840FCA">
          <w:rPr>
            <w:noProof/>
          </w:rPr>
          <w:t>243</w:t>
        </w:r>
        <w:r>
          <w:rPr>
            <w:noProof/>
          </w:rPr>
          <w:fldChar w:fldCharType="end"/>
        </w:r>
      </w:p>
    </w:sdtContent>
  </w:sdt>
  <w:p w:rsidR="00164A6B" w:rsidRPr="00CD516A" w:rsidRDefault="00164A6B" w:rsidP="000A5C48">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5766159"/>
      <w:docPartObj>
        <w:docPartGallery w:val="Page Numbers (Bottom of Page)"/>
        <w:docPartUnique/>
      </w:docPartObj>
    </w:sdtPr>
    <w:sdtEndPr>
      <w:rPr>
        <w:noProof/>
      </w:rPr>
    </w:sdtEndPr>
    <w:sdtContent>
      <w:p w:rsidR="00164A6B" w:rsidRDefault="00164A6B">
        <w:pPr>
          <w:pStyle w:val="Footer"/>
          <w:jc w:val="center"/>
        </w:pPr>
        <w:r>
          <w:fldChar w:fldCharType="begin"/>
        </w:r>
        <w:r>
          <w:instrText xml:space="preserve"> PAGE   \* MERGEFORMAT </w:instrText>
        </w:r>
        <w:r>
          <w:fldChar w:fldCharType="separate"/>
        </w:r>
        <w:r w:rsidR="00840FCA">
          <w:rPr>
            <w:noProof/>
          </w:rPr>
          <w:t>238</w:t>
        </w:r>
        <w:r>
          <w:rPr>
            <w:noProof/>
          </w:rPr>
          <w:fldChar w:fldCharType="end"/>
        </w:r>
      </w:p>
    </w:sdtContent>
  </w:sdt>
  <w:p w:rsidR="00164A6B" w:rsidRDefault="00164A6B">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7317420"/>
      <w:docPartObj>
        <w:docPartGallery w:val="Page Numbers (Bottom of Page)"/>
        <w:docPartUnique/>
      </w:docPartObj>
    </w:sdtPr>
    <w:sdtEndPr>
      <w:rPr>
        <w:noProof/>
      </w:rPr>
    </w:sdtEndPr>
    <w:sdtContent>
      <w:p w:rsidR="00164A6B" w:rsidRDefault="00164A6B">
        <w:pPr>
          <w:pStyle w:val="Footer"/>
          <w:jc w:val="center"/>
        </w:pPr>
        <w:r>
          <w:fldChar w:fldCharType="begin"/>
        </w:r>
        <w:r>
          <w:instrText xml:space="preserve"> PAGE   \* MERGEFORMAT </w:instrText>
        </w:r>
        <w:r>
          <w:fldChar w:fldCharType="separate"/>
        </w:r>
        <w:r w:rsidR="00840FCA">
          <w:rPr>
            <w:noProof/>
          </w:rPr>
          <w:t>249</w:t>
        </w:r>
        <w:r>
          <w:rPr>
            <w:noProof/>
          </w:rPr>
          <w:fldChar w:fldCharType="end"/>
        </w:r>
      </w:p>
    </w:sdtContent>
  </w:sdt>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2639915"/>
      <w:docPartObj>
        <w:docPartGallery w:val="Page Numbers (Bottom of Page)"/>
        <w:docPartUnique/>
      </w:docPartObj>
    </w:sdtPr>
    <w:sdtEndPr>
      <w:rPr>
        <w:noProof/>
      </w:rPr>
    </w:sdtEndPr>
    <w:sdtContent>
      <w:p w:rsidR="00164A6B" w:rsidRDefault="00164A6B">
        <w:pPr>
          <w:pStyle w:val="Footer"/>
          <w:jc w:val="center"/>
        </w:pPr>
        <w:r>
          <w:fldChar w:fldCharType="begin"/>
        </w:r>
        <w:r>
          <w:instrText xml:space="preserve"> PAGE   \* MERGEFORMAT </w:instrText>
        </w:r>
        <w:r>
          <w:fldChar w:fldCharType="separate"/>
        </w:r>
        <w:r>
          <w:rPr>
            <w:noProof/>
          </w:rPr>
          <w:t>269</w:t>
        </w:r>
        <w:r>
          <w:rPr>
            <w:noProof/>
          </w:rPr>
          <w:fldChar w:fldCharType="end"/>
        </w:r>
      </w:p>
    </w:sdtContent>
  </w:sdt>
  <w:p w:rsidR="00164A6B" w:rsidRDefault="00164A6B" w:rsidP="00BD628C">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9074593"/>
      <w:docPartObj>
        <w:docPartGallery w:val="Page Numbers (Bottom of Page)"/>
        <w:docPartUnique/>
      </w:docPartObj>
    </w:sdtPr>
    <w:sdtEndPr>
      <w:rPr>
        <w:noProof/>
      </w:rPr>
    </w:sdtEndPr>
    <w:sdtContent>
      <w:p w:rsidR="00164A6B" w:rsidRDefault="00164A6B">
        <w:pPr>
          <w:pStyle w:val="Footer"/>
          <w:jc w:val="center"/>
        </w:pPr>
        <w:r>
          <w:fldChar w:fldCharType="begin"/>
        </w:r>
        <w:r>
          <w:instrText xml:space="preserve"> PAGE   \* MERGEFORMAT </w:instrText>
        </w:r>
        <w:r>
          <w:fldChar w:fldCharType="separate"/>
        </w:r>
        <w:r w:rsidR="00840FCA">
          <w:rPr>
            <w:noProof/>
          </w:rPr>
          <w:t>261</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0735883"/>
      <w:docPartObj>
        <w:docPartGallery w:val="Page Numbers (Bottom of Page)"/>
        <w:docPartUnique/>
      </w:docPartObj>
    </w:sdtPr>
    <w:sdtEndPr>
      <w:rPr>
        <w:noProof/>
      </w:rPr>
    </w:sdtEndPr>
    <w:sdtContent>
      <w:p w:rsidR="00164A6B" w:rsidRDefault="00164A6B">
        <w:pPr>
          <w:pStyle w:val="Footer"/>
          <w:jc w:val="center"/>
        </w:pPr>
        <w:r>
          <w:fldChar w:fldCharType="begin"/>
        </w:r>
        <w:r>
          <w:instrText xml:space="preserve"> PAGE   \* MERGEFORMAT </w:instrText>
        </w:r>
        <w:r>
          <w:fldChar w:fldCharType="separate"/>
        </w:r>
        <w:r w:rsidR="00840FCA">
          <w:rPr>
            <w:noProof/>
          </w:rPr>
          <w:t>250</w:t>
        </w:r>
        <w:r>
          <w:rPr>
            <w:noProof/>
          </w:rPr>
          <w:fldChar w:fldCharType="end"/>
        </w:r>
      </w:p>
    </w:sdtContent>
  </w:sdt>
  <w:p w:rsidR="00164A6B" w:rsidRDefault="00164A6B" w:rsidP="00BD628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9208928"/>
      <w:docPartObj>
        <w:docPartGallery w:val="Page Numbers (Bottom of Page)"/>
        <w:docPartUnique/>
      </w:docPartObj>
    </w:sdtPr>
    <w:sdtEndPr>
      <w:rPr>
        <w:noProof/>
      </w:rPr>
    </w:sdtEndPr>
    <w:sdtContent>
      <w:p w:rsidR="00164A6B" w:rsidRDefault="00164A6B">
        <w:pPr>
          <w:pStyle w:val="Footer"/>
          <w:jc w:val="center"/>
        </w:pPr>
        <w:r>
          <w:fldChar w:fldCharType="begin"/>
        </w:r>
        <w:r>
          <w:instrText xml:space="preserve"> PAGE   \* MERGEFORMAT </w:instrText>
        </w:r>
        <w:r>
          <w:fldChar w:fldCharType="separate"/>
        </w:r>
        <w:r w:rsidR="00700706">
          <w:rPr>
            <w:noProof/>
          </w:rPr>
          <w:t>6</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276795"/>
      <w:docPartObj>
        <w:docPartGallery w:val="Page Numbers (Bottom of Page)"/>
        <w:docPartUnique/>
      </w:docPartObj>
    </w:sdtPr>
    <w:sdtEndPr>
      <w:rPr>
        <w:noProof/>
      </w:rPr>
    </w:sdtEndPr>
    <w:sdtContent>
      <w:p w:rsidR="00164A6B" w:rsidRDefault="00164A6B">
        <w:pPr>
          <w:pStyle w:val="Footer"/>
          <w:jc w:val="center"/>
        </w:pPr>
        <w:r>
          <w:fldChar w:fldCharType="begin"/>
        </w:r>
        <w:r>
          <w:instrText xml:space="preserve"> PAGE   \* MERGEFORMAT </w:instrText>
        </w:r>
        <w:r>
          <w:fldChar w:fldCharType="separate"/>
        </w:r>
        <w:r>
          <w:rPr>
            <w:noProof/>
          </w:rPr>
          <w:t>160</w:t>
        </w:r>
        <w:r>
          <w:rPr>
            <w:noProof/>
          </w:rPr>
          <w:fldChar w:fldCharType="end"/>
        </w:r>
      </w:p>
    </w:sdtContent>
  </w:sdt>
  <w:p w:rsidR="00164A6B" w:rsidRDefault="00164A6B" w:rsidP="00BD62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B80" w:rsidRDefault="00F26B80" w:rsidP="006B087E">
      <w:r>
        <w:separator/>
      </w:r>
    </w:p>
  </w:footnote>
  <w:footnote w:type="continuationSeparator" w:id="0">
    <w:p w:rsidR="00F26B80" w:rsidRDefault="00F26B80" w:rsidP="006B087E">
      <w:r>
        <w:continuationSeparator/>
      </w:r>
    </w:p>
  </w:footnote>
  <w:footnote w:type="continuationNotice" w:id="1">
    <w:p w:rsidR="00F26B80" w:rsidRDefault="00F26B80"/>
  </w:footnote>
  <w:footnote w:id="2">
    <w:p w:rsidR="00164A6B" w:rsidRPr="00014EB8" w:rsidRDefault="00164A6B" w:rsidP="0011520C">
      <w:pPr>
        <w:rPr>
          <w:rFonts w:ascii="Times New Roman" w:hAnsi="Times New Roman"/>
          <w:sz w:val="18"/>
        </w:rPr>
      </w:pPr>
      <w:r w:rsidRPr="009B5734">
        <w:rPr>
          <w:rStyle w:val="FootnoteReference"/>
          <w:rFonts w:ascii="Times New Roman" w:hAnsi="Times New Roman" w:cs="Times New Roman"/>
          <w:sz w:val="18"/>
          <w:szCs w:val="18"/>
        </w:rPr>
        <w:footnoteRef/>
      </w:r>
      <w:r w:rsidRPr="00014EB8">
        <w:rPr>
          <w:rFonts w:ascii="Times New Roman" w:hAnsi="Times New Roman"/>
          <w:sz w:val="18"/>
        </w:rPr>
        <w:t xml:space="preserve"> COM(2019)640 final, 11 December 2019. </w:t>
      </w:r>
    </w:p>
  </w:footnote>
  <w:footnote w:id="3">
    <w:p w:rsidR="00164A6B" w:rsidRPr="00014EB8" w:rsidRDefault="00164A6B" w:rsidP="0011520C">
      <w:pPr>
        <w:rPr>
          <w:rFonts w:ascii="Times New Roman" w:hAnsi="Times New Roman"/>
          <w:sz w:val="18"/>
        </w:rPr>
      </w:pPr>
      <w:r w:rsidRPr="009B5734">
        <w:rPr>
          <w:rStyle w:val="FootnoteReference"/>
          <w:rFonts w:ascii="Times New Roman" w:hAnsi="Times New Roman" w:cs="Times New Roman"/>
          <w:sz w:val="18"/>
          <w:szCs w:val="18"/>
        </w:rPr>
        <w:footnoteRef/>
      </w:r>
      <w:r w:rsidRPr="00014EB8">
        <w:rPr>
          <w:rFonts w:ascii="Times New Roman" w:hAnsi="Times New Roman"/>
          <w:sz w:val="18"/>
        </w:rPr>
        <w:t xml:space="preserve"> COM(2020)98 final, 11 March 2020.</w:t>
      </w:r>
    </w:p>
  </w:footnote>
  <w:footnote w:id="4">
    <w:p w:rsidR="00164A6B" w:rsidRPr="009B5734" w:rsidRDefault="00164A6B" w:rsidP="0011520C">
      <w:pPr>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COM(2020)696 final, 13 November 2020.</w:t>
      </w:r>
    </w:p>
  </w:footnote>
  <w:footnote w:id="5">
    <w:p w:rsidR="00164A6B" w:rsidRPr="00014EB8" w:rsidRDefault="00164A6B" w:rsidP="0011520C">
      <w:pPr>
        <w:rPr>
          <w:rFonts w:ascii="Times New Roman" w:hAnsi="Times New Roman"/>
          <w:sz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Joint Research Centre, </w:t>
      </w:r>
      <w:r w:rsidRPr="009B5734">
        <w:rPr>
          <w:rFonts w:ascii="Times New Roman" w:hAnsi="Times New Roman" w:cs="Times New Roman"/>
          <w:i/>
          <w:sz w:val="18"/>
          <w:szCs w:val="18"/>
        </w:rPr>
        <w:t>Consumer and consumption footprint: The assessment of the environmental impacts of consumption in the European Union</w:t>
      </w:r>
      <w:r w:rsidRPr="009B5734">
        <w:rPr>
          <w:rFonts w:ascii="Times New Roman" w:hAnsi="Times New Roman" w:cs="Times New Roman"/>
          <w:sz w:val="18"/>
          <w:szCs w:val="18"/>
        </w:rPr>
        <w:t xml:space="preserve">, 2019, </w:t>
      </w:r>
      <w:r w:rsidRPr="00014EB8">
        <w:rPr>
          <w:rFonts w:ascii="Times New Roman" w:hAnsi="Times New Roman"/>
          <w:sz w:val="18"/>
        </w:rPr>
        <w:t>p. 21.</w:t>
      </w:r>
    </w:p>
  </w:footnote>
  <w:footnote w:id="6">
    <w:p w:rsidR="00164A6B" w:rsidRPr="009B5734" w:rsidRDefault="00164A6B" w:rsidP="0011520C">
      <w:pPr>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European Commission, Flash Eurobarometer 256 - Europeans’ attitudes towards the issue of sustainable consumption and production, 2009.</w:t>
      </w:r>
    </w:p>
  </w:footnote>
  <w:footnote w:id="7">
    <w:p w:rsidR="00164A6B" w:rsidRPr="009B5734" w:rsidRDefault="00164A6B" w:rsidP="0011520C">
      <w:pPr>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European Commission, </w:t>
      </w:r>
      <w:r w:rsidRPr="009B5734">
        <w:rPr>
          <w:rFonts w:ascii="Times New Roman" w:hAnsi="Times New Roman" w:cs="Times New Roman"/>
          <w:i/>
          <w:sz w:val="18"/>
          <w:szCs w:val="18"/>
        </w:rPr>
        <w:t>Special Eurobarometer 501, 2020</w:t>
      </w:r>
      <w:r w:rsidRPr="009B5734">
        <w:rPr>
          <w:rFonts w:ascii="Times New Roman" w:hAnsi="Times New Roman" w:cs="Times New Roman"/>
          <w:sz w:val="18"/>
          <w:szCs w:val="18"/>
        </w:rPr>
        <w:t>, p. 48.</w:t>
      </w:r>
    </w:p>
  </w:footnote>
  <w:footnote w:id="8">
    <w:p w:rsidR="00164A6B" w:rsidRPr="00E73A24" w:rsidRDefault="00164A6B">
      <w:pPr>
        <w:rPr>
          <w:rFonts w:ascii="Times New Roman" w:hAnsi="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Dr. Ulf J.J. Hahnel, University of Geneva, </w:t>
      </w:r>
      <w:r w:rsidRPr="005D24D2">
        <w:rPr>
          <w:rFonts w:ascii="Times New Roman" w:hAnsi="Times New Roman" w:cs="Times New Roman"/>
          <w:i/>
          <w:iCs/>
          <w:sz w:val="18"/>
          <w:szCs w:val="18"/>
        </w:rPr>
        <w:t>Mitigating climate change during and after COVID-19: Challenges and windows of opportunity</w:t>
      </w:r>
      <w:r w:rsidRPr="009B5734">
        <w:rPr>
          <w:rFonts w:ascii="Times New Roman" w:hAnsi="Times New Roman" w:cs="Times New Roman"/>
          <w:sz w:val="18"/>
          <w:szCs w:val="18"/>
        </w:rPr>
        <w:t>, 2020</w:t>
      </w:r>
    </w:p>
  </w:footnote>
  <w:footnote w:id="9">
    <w:p w:rsidR="00164A6B" w:rsidRPr="009B5734" w:rsidRDefault="00164A6B" w:rsidP="0011520C">
      <w:pPr>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France, Germany, Italy and Spain. </w:t>
      </w:r>
    </w:p>
    <w:p w:rsidR="00164A6B" w:rsidRPr="009B5734" w:rsidRDefault="00164A6B" w:rsidP="0011520C">
      <w:pPr>
        <w:rPr>
          <w:rFonts w:ascii="Times New Roman" w:hAnsi="Times New Roman" w:cs="Times New Roman"/>
          <w:sz w:val="18"/>
          <w:szCs w:val="18"/>
        </w:rPr>
      </w:pPr>
      <w:r w:rsidRPr="009B5734">
        <w:rPr>
          <w:rFonts w:ascii="Times New Roman" w:hAnsi="Times New Roman" w:cs="Times New Roman"/>
          <w:sz w:val="18"/>
          <w:szCs w:val="18"/>
        </w:rPr>
        <w:t xml:space="preserve">IPSOS, </w:t>
      </w:r>
      <w:r w:rsidRPr="009B5734">
        <w:rPr>
          <w:rFonts w:ascii="Times New Roman" w:hAnsi="Times New Roman" w:cs="Times New Roman"/>
          <w:i/>
          <w:sz w:val="18"/>
          <w:szCs w:val="18"/>
        </w:rPr>
        <w:t>Covid-19: attitudes and behaviours in the EU</w:t>
      </w:r>
      <w:r w:rsidRPr="009B5734">
        <w:rPr>
          <w:rFonts w:ascii="Times New Roman" w:hAnsi="Times New Roman" w:cs="Times New Roman"/>
          <w:sz w:val="18"/>
          <w:szCs w:val="18"/>
        </w:rPr>
        <w:t xml:space="preserve">, 2020, not published. </w:t>
      </w:r>
    </w:p>
  </w:footnote>
  <w:footnote w:id="10">
    <w:p w:rsidR="00164A6B" w:rsidRPr="009B5734" w:rsidRDefault="00164A6B" w:rsidP="0011520C">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Towards a more sustainable Single Market for business and consumers (2020/2021(INI))</w:t>
      </w:r>
    </w:p>
  </w:footnote>
  <w:footnote w:id="11">
    <w:p w:rsidR="00164A6B" w:rsidRPr="00014EB8" w:rsidRDefault="00164A6B" w:rsidP="0011520C">
      <w:pPr>
        <w:rPr>
          <w:rFonts w:ascii="Times New Roman" w:hAnsi="Times New Roman"/>
          <w:sz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Council of the EU, Council Conclusions on the New Consumer Agenda, 2021.</w:t>
      </w:r>
    </w:p>
  </w:footnote>
  <w:footnote w:id="12">
    <w:p w:rsidR="00164A6B" w:rsidRPr="00014EB8" w:rsidRDefault="00164A6B" w:rsidP="0011520C">
      <w:pPr>
        <w:rPr>
          <w:rFonts w:ascii="Times New Roman" w:hAnsi="Times New Roman"/>
          <w:sz w:val="18"/>
        </w:rPr>
      </w:pPr>
      <w:r w:rsidRPr="009B5734">
        <w:rPr>
          <w:rStyle w:val="FootnoteReference"/>
          <w:rFonts w:ascii="Times New Roman" w:hAnsi="Times New Roman" w:cs="Times New Roman"/>
          <w:sz w:val="18"/>
          <w:szCs w:val="18"/>
        </w:rPr>
        <w:footnoteRef/>
      </w:r>
      <w:r w:rsidRPr="00014EB8">
        <w:rPr>
          <w:rFonts w:ascii="Times New Roman" w:hAnsi="Times New Roman"/>
          <w:sz w:val="18"/>
        </w:rPr>
        <w:t xml:space="preserve"> </w:t>
      </w:r>
      <w:r w:rsidRPr="009B5734">
        <w:rPr>
          <w:rFonts w:ascii="Times New Roman" w:hAnsi="Times New Roman" w:cs="Times New Roman"/>
          <w:sz w:val="18"/>
          <w:szCs w:val="18"/>
        </w:rPr>
        <w:t>Eurostat, news release:</w:t>
      </w:r>
      <w:r w:rsidRPr="009B5734">
        <w:rPr>
          <w:rFonts w:ascii="Times New Roman" w:hAnsi="Times New Roman" w:cs="Times New Roman"/>
          <w:i/>
          <w:sz w:val="18"/>
          <w:szCs w:val="18"/>
        </w:rPr>
        <w:t xml:space="preserve"> China, US and EU are the largest economies in the world, </w:t>
      </w:r>
      <w:r w:rsidRPr="009B5734">
        <w:rPr>
          <w:rFonts w:ascii="Times New Roman" w:hAnsi="Times New Roman" w:cs="Times New Roman"/>
          <w:sz w:val="18"/>
          <w:szCs w:val="18"/>
        </w:rPr>
        <w:t>2020, p. 1.</w:t>
      </w:r>
    </w:p>
  </w:footnote>
  <w:footnote w:id="13">
    <w:p w:rsidR="00164A6B" w:rsidRPr="009B5734" w:rsidRDefault="00164A6B" w:rsidP="00920BA9">
      <w:pPr>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European Commission, </w:t>
      </w:r>
      <w:r w:rsidRPr="009B5734">
        <w:rPr>
          <w:rFonts w:ascii="Times New Roman" w:hAnsi="Times New Roman" w:cs="Times New Roman"/>
          <w:i/>
          <w:sz w:val="18"/>
          <w:szCs w:val="18"/>
        </w:rPr>
        <w:t xml:space="preserve">Sustainable Products in a Circular Economy - Towards an EU Product Policy Framework contributing to the Circular Economy, </w:t>
      </w:r>
      <w:r w:rsidRPr="009B5734">
        <w:rPr>
          <w:rFonts w:ascii="Times New Roman" w:hAnsi="Times New Roman" w:cs="Times New Roman"/>
          <w:sz w:val="18"/>
          <w:szCs w:val="18"/>
        </w:rPr>
        <w:t>2019, p. 66.</w:t>
      </w:r>
    </w:p>
  </w:footnote>
  <w:footnote w:id="14">
    <w:p w:rsidR="00164A6B" w:rsidRPr="009B5734" w:rsidRDefault="00164A6B" w:rsidP="00920BA9">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European Commission, </w:t>
      </w:r>
      <w:r w:rsidRPr="009B5734">
        <w:rPr>
          <w:rFonts w:ascii="Times New Roman" w:hAnsi="Times New Roman" w:cs="Times New Roman"/>
          <w:i/>
          <w:sz w:val="18"/>
          <w:szCs w:val="18"/>
        </w:rPr>
        <w:t>Behavioural Study on</w:t>
      </w:r>
      <w:r w:rsidRPr="009B5734">
        <w:rPr>
          <w:rFonts w:ascii="Times New Roman" w:hAnsi="Times New Roman" w:cs="Times New Roman"/>
          <w:sz w:val="18"/>
          <w:szCs w:val="18"/>
        </w:rPr>
        <w:t xml:space="preserve"> </w:t>
      </w:r>
      <w:r w:rsidRPr="009B5734">
        <w:rPr>
          <w:rFonts w:ascii="Times New Roman" w:hAnsi="Times New Roman" w:cs="Times New Roman"/>
          <w:i/>
          <w:sz w:val="18"/>
          <w:szCs w:val="18"/>
        </w:rPr>
        <w:t>Consumers’ engagement in the circular economy,</w:t>
      </w:r>
      <w:r w:rsidRPr="009B5734">
        <w:rPr>
          <w:rFonts w:ascii="Times New Roman" w:hAnsi="Times New Roman" w:cs="Times New Roman"/>
          <w:sz w:val="18"/>
          <w:szCs w:val="18"/>
        </w:rPr>
        <w:t xml:space="preserve"> 2018, p. 82.</w:t>
      </w:r>
      <w:r w:rsidRPr="009B5734">
        <w:t xml:space="preserve"> </w:t>
      </w:r>
    </w:p>
  </w:footnote>
  <w:footnote w:id="15">
    <w:p w:rsidR="00164A6B" w:rsidRPr="00111BFE" w:rsidRDefault="00164A6B" w:rsidP="00920BA9">
      <w:pPr>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See  </w:t>
      </w:r>
      <w:r w:rsidRPr="00111BFE">
        <w:rPr>
          <w:rFonts w:ascii="Times New Roman" w:eastAsia="Times New Roman" w:hAnsi="Times New Roman" w:cs="Times New Roman"/>
          <w:sz w:val="18"/>
          <w:szCs w:val="18"/>
        </w:rPr>
        <w:t>Factual summary report – public consultation for New Consumer Agenda</w:t>
      </w:r>
    </w:p>
    <w:p w:rsidR="00164A6B" w:rsidRPr="009B5734" w:rsidRDefault="00700706" w:rsidP="00920BA9">
      <w:pPr>
        <w:rPr>
          <w:rFonts w:ascii="Times New Roman" w:hAnsi="Times New Roman" w:cs="Times New Roman"/>
          <w:sz w:val="18"/>
          <w:szCs w:val="18"/>
        </w:rPr>
      </w:pPr>
      <w:hyperlink r:id="rId1" w:history="1">
        <w:r w:rsidR="00164A6B" w:rsidRPr="009B5734">
          <w:rPr>
            <w:rStyle w:val="Hyperlink"/>
            <w:rFonts w:ascii="Times New Roman" w:hAnsi="Times New Roman" w:cs="Times New Roman"/>
            <w:sz w:val="18"/>
            <w:szCs w:val="18"/>
          </w:rPr>
          <w:t>https://ec.europa.eu/info/files/factual-summary-report-public-consultation-new-consumer-agenda_en</w:t>
        </w:r>
      </w:hyperlink>
      <w:r w:rsidR="00164A6B" w:rsidRPr="009B5734">
        <w:rPr>
          <w:rFonts w:ascii="Times New Roman" w:hAnsi="Times New Roman" w:cs="Times New Roman"/>
          <w:sz w:val="18"/>
          <w:szCs w:val="18"/>
        </w:rPr>
        <w:t xml:space="preserve">, p. </w:t>
      </w:r>
      <w:r w:rsidR="00164A6B" w:rsidRPr="005A0B65">
        <w:rPr>
          <w:rFonts w:ascii="Times New Roman" w:hAnsi="Times New Roman"/>
          <w:sz w:val="18"/>
          <w:szCs w:val="18"/>
        </w:rPr>
        <w:t>17-18.</w:t>
      </w:r>
    </w:p>
  </w:footnote>
  <w:footnote w:id="16">
    <w:p w:rsidR="00164A6B" w:rsidRPr="009B5734" w:rsidRDefault="00164A6B" w:rsidP="0011520C">
      <w:pPr>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Several reports indicate that the durability and reparability of the products have beneficial impacts on the environment. S. Boldoczki, A. Thorenz, A. Tuma, The environmental impacts of preparation for reuse: A case study of WEEE reuse in Germany, Journal of Cleaner Production, Volume 252, 2020; and K. Laitala, et al., Increasing repair of household appliances, mobile phones and clothing: Experiences from consumers and the repair industry, Journal of Cleaner Production, Volume 282, 2021.</w:t>
      </w:r>
    </w:p>
  </w:footnote>
  <w:footnote w:id="17">
    <w:p w:rsidR="00164A6B" w:rsidRPr="009B5734" w:rsidRDefault="00164A6B" w:rsidP="00696091">
      <w:pPr>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Based on European Commission, </w:t>
      </w:r>
      <w:r w:rsidRPr="009B5734">
        <w:rPr>
          <w:rFonts w:ascii="Times New Roman" w:hAnsi="Times New Roman" w:cs="Times New Roman"/>
          <w:i/>
          <w:sz w:val="18"/>
          <w:szCs w:val="18"/>
        </w:rPr>
        <w:t>Behavioural Study on</w:t>
      </w:r>
      <w:r w:rsidRPr="009B5734">
        <w:rPr>
          <w:rFonts w:ascii="Times New Roman" w:hAnsi="Times New Roman" w:cs="Times New Roman"/>
          <w:sz w:val="18"/>
          <w:szCs w:val="18"/>
        </w:rPr>
        <w:t xml:space="preserve"> </w:t>
      </w:r>
      <w:r w:rsidRPr="009B5734">
        <w:rPr>
          <w:rFonts w:ascii="Times New Roman" w:hAnsi="Times New Roman" w:cs="Times New Roman"/>
          <w:i/>
          <w:sz w:val="18"/>
          <w:szCs w:val="18"/>
        </w:rPr>
        <w:t>Consumers’ engagement in the circular economy,</w:t>
      </w:r>
      <w:r w:rsidRPr="009B5734">
        <w:rPr>
          <w:rFonts w:ascii="Times New Roman" w:hAnsi="Times New Roman" w:cs="Times New Roman"/>
          <w:sz w:val="18"/>
          <w:szCs w:val="18"/>
        </w:rPr>
        <w:t xml:space="preserve"> October 2018 as well as findings from the supporting study and Open Public Consultation.</w:t>
      </w:r>
    </w:p>
  </w:footnote>
  <w:footnote w:id="18">
    <w:p w:rsidR="00164A6B" w:rsidRPr="001613D9" w:rsidRDefault="00164A6B" w:rsidP="00BD5424">
      <w:pPr>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BEUC, The European Consumer Organisation, </w:t>
      </w:r>
      <w:r w:rsidRPr="009B5734">
        <w:rPr>
          <w:rFonts w:ascii="Times New Roman" w:hAnsi="Times New Roman" w:cs="Times New Roman"/>
          <w:i/>
          <w:sz w:val="18"/>
          <w:szCs w:val="18"/>
        </w:rPr>
        <w:t>Durable and repairable products – changes needed for a successful path towards the green transition</w:t>
      </w:r>
      <w:r w:rsidRPr="009B5734">
        <w:rPr>
          <w:rFonts w:ascii="Times New Roman" w:hAnsi="Times New Roman" w:cs="Times New Roman"/>
          <w:sz w:val="18"/>
          <w:szCs w:val="18"/>
        </w:rPr>
        <w:t>, June 2021.</w:t>
      </w:r>
    </w:p>
  </w:footnote>
  <w:footnote w:id="19">
    <w:p w:rsidR="00164A6B" w:rsidRPr="00E757D8" w:rsidRDefault="00164A6B" w:rsidP="00BD5424">
      <w:pPr>
        <w:pStyle w:val="FootnoteText"/>
        <w:rPr>
          <w:rFonts w:eastAsiaTheme="minorHAnsi"/>
          <w:sz w:val="18"/>
          <w:szCs w:val="18"/>
          <w:lang w:eastAsia="en-US"/>
        </w:rPr>
      </w:pPr>
      <w:r>
        <w:rPr>
          <w:rStyle w:val="FootnoteReference"/>
        </w:rPr>
        <w:footnoteRef/>
      </w:r>
      <w:r>
        <w:t xml:space="preserve"> </w:t>
      </w:r>
      <w:r w:rsidRPr="00E757D8">
        <w:rPr>
          <w:rFonts w:eastAsiaTheme="minorHAnsi"/>
          <w:sz w:val="18"/>
          <w:szCs w:val="18"/>
          <w:lang w:eastAsia="en-US"/>
        </w:rPr>
        <w:t xml:space="preserve">In relation to the </w:t>
      </w:r>
      <w:r w:rsidRPr="001613D9">
        <w:rPr>
          <w:rFonts w:eastAsiaTheme="minorHAnsi"/>
          <w:sz w:val="18"/>
          <w:szCs w:val="18"/>
          <w:lang w:eastAsia="en-US"/>
        </w:rPr>
        <w:t>consumer’s economic perspective</w:t>
      </w:r>
      <w:r w:rsidRPr="00E757D8">
        <w:rPr>
          <w:rFonts w:eastAsiaTheme="minorHAnsi"/>
          <w:sz w:val="18"/>
          <w:szCs w:val="18"/>
          <w:lang w:eastAsia="en-US"/>
        </w:rPr>
        <w:t>, it can be assumed that the durability and reparability of products are even more relevant for lower-income households and vulnerable consumers, and therefore the durability and reparability of products are also relevant for social sustainability.</w:t>
      </w:r>
    </w:p>
  </w:footnote>
  <w:footnote w:id="20">
    <w:p w:rsidR="00164A6B" w:rsidRPr="009B5734" w:rsidRDefault="00164A6B" w:rsidP="0011520C">
      <w:pPr>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IATE, COM-SV based on The European consumer organisation (BEUC), Premature obsolescence when products fail too quickly, Factsheet, 2020.</w:t>
      </w:r>
    </w:p>
  </w:footnote>
  <w:footnote w:id="21">
    <w:p w:rsidR="00164A6B" w:rsidRPr="009B5734" w:rsidRDefault="00164A6B" w:rsidP="0011520C">
      <w:pPr>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Commission Staff Working Document, </w:t>
      </w:r>
      <w:r w:rsidRPr="009B5734">
        <w:rPr>
          <w:rFonts w:ascii="Times New Roman" w:hAnsi="Times New Roman" w:cs="Times New Roman"/>
          <w:i/>
          <w:sz w:val="18"/>
          <w:szCs w:val="18"/>
        </w:rPr>
        <w:t>Guidance on the Implementation/Application of Directive 2005/29/EC on Unfair Commercial Practices</w:t>
      </w:r>
      <w:r w:rsidRPr="009B5734">
        <w:rPr>
          <w:rFonts w:ascii="Times New Roman" w:hAnsi="Times New Roman" w:cs="Times New Roman"/>
          <w:sz w:val="18"/>
          <w:szCs w:val="18"/>
        </w:rPr>
        <w:t xml:space="preserve">, SWD/2016/0163 final, available at: </w:t>
      </w:r>
      <w:hyperlink r:id="rId2" w:history="1">
        <w:r w:rsidRPr="009B5734">
          <w:rPr>
            <w:rStyle w:val="Hyperlink"/>
            <w:rFonts w:ascii="Times New Roman" w:hAnsi="Times New Roman" w:cs="Times New Roman"/>
            <w:sz w:val="18"/>
            <w:szCs w:val="18"/>
          </w:rPr>
          <w:t>https://eur-lex.europa.eu/legal-content/EN/TXT/?uri=CELEX%3A52016SC0163</w:t>
        </w:r>
      </w:hyperlink>
    </w:p>
  </w:footnote>
  <w:footnote w:id="22">
    <w:p w:rsidR="00164A6B" w:rsidRPr="00817926" w:rsidRDefault="00164A6B" w:rsidP="008D65D2">
      <w:pPr>
        <w:pStyle w:val="FootnoteText"/>
        <w:spacing w:after="0"/>
      </w:pPr>
      <w:r>
        <w:rPr>
          <w:rStyle w:val="FootnoteReference"/>
        </w:rPr>
        <w:footnoteRef/>
      </w:r>
      <w:r>
        <w:t xml:space="preserve"> See previous footnote. </w:t>
      </w:r>
    </w:p>
  </w:footnote>
  <w:footnote w:id="23">
    <w:p w:rsidR="00164A6B" w:rsidRPr="009B5734" w:rsidRDefault="00164A6B" w:rsidP="0011520C">
      <w:pPr>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For example the Forest Stewardship Council (FSC) label, which promotes environmentally appropriate, socially beneficial, and economically viable management of the world's forests.</w:t>
      </w:r>
      <w:r>
        <w:rPr>
          <w:rFonts w:ascii="Times New Roman" w:hAnsi="Times New Roman" w:cs="Times New Roman"/>
          <w:sz w:val="18"/>
          <w:szCs w:val="18"/>
        </w:rPr>
        <w:t xml:space="preserve"> The</w:t>
      </w:r>
      <w:r w:rsidRPr="009B5734">
        <w:rPr>
          <w:rFonts w:ascii="Times New Roman" w:hAnsi="Times New Roman" w:cs="Times New Roman"/>
          <w:sz w:val="18"/>
          <w:szCs w:val="18"/>
        </w:rPr>
        <w:t xml:space="preserve"> </w:t>
      </w:r>
      <w:r w:rsidRPr="009B5734">
        <w:rPr>
          <w:rFonts w:ascii="Times New Roman" w:hAnsi="Times New Roman" w:cs="Times New Roman"/>
          <w:i/>
          <w:sz w:val="18"/>
          <w:szCs w:val="18"/>
        </w:rPr>
        <w:t>Consumer Market Study on the functioning of voluntary food labelling schemes for consumers in the European Union</w:t>
      </w:r>
      <w:r>
        <w:rPr>
          <w:rFonts w:ascii="Times New Roman" w:hAnsi="Times New Roman" w:cs="Times New Roman"/>
          <w:sz w:val="18"/>
          <w:szCs w:val="18"/>
        </w:rPr>
        <w:t xml:space="preserve"> (2013,</w:t>
      </w:r>
      <w:r w:rsidRPr="009B5734">
        <w:rPr>
          <w:rFonts w:ascii="Times New Roman" w:hAnsi="Times New Roman" w:cs="Times New Roman"/>
          <w:sz w:val="18"/>
          <w:szCs w:val="18"/>
        </w:rPr>
        <w:t xml:space="preserve"> p. 57</w:t>
      </w:r>
      <w:r>
        <w:rPr>
          <w:rFonts w:ascii="Times New Roman" w:hAnsi="Times New Roman" w:cs="Times New Roman"/>
          <w:sz w:val="18"/>
          <w:szCs w:val="18"/>
        </w:rPr>
        <w:t xml:space="preserve">) shows also the wide variety of sustainability attributes for food labels. </w:t>
      </w:r>
    </w:p>
  </w:footnote>
  <w:footnote w:id="24">
    <w:p w:rsidR="00164A6B" w:rsidRPr="00DC28F8" w:rsidRDefault="00164A6B" w:rsidP="0011520C">
      <w:pPr>
        <w:rPr>
          <w:rFonts w:ascii="Times New Roman" w:hAnsi="Times New Roman"/>
          <w:sz w:val="18"/>
          <w:szCs w:val="18"/>
        </w:rPr>
      </w:pPr>
      <w:r w:rsidRPr="008D65D2">
        <w:rPr>
          <w:rStyle w:val="FootnoteReference"/>
          <w:rFonts w:ascii="Times New Roman" w:hAnsi="Times New Roman" w:cs="Times New Roman"/>
          <w:sz w:val="18"/>
          <w:szCs w:val="18"/>
        </w:rPr>
        <w:footnoteRef/>
      </w:r>
      <w:r w:rsidRPr="008D65D2">
        <w:rPr>
          <w:rStyle w:val="FootnoteReference"/>
          <w:rFonts w:ascii="Times New Roman" w:hAnsi="Times New Roman" w:cs="Times New Roman"/>
          <w:sz w:val="18"/>
          <w:szCs w:val="18"/>
        </w:rPr>
        <w:t xml:space="preserve"> </w:t>
      </w:r>
      <w:r w:rsidRPr="008D65D2">
        <w:rPr>
          <w:rFonts w:ascii="Times New Roman" w:hAnsi="Times New Roman" w:cs="Times New Roman"/>
          <w:sz w:val="18"/>
          <w:szCs w:val="18"/>
        </w:rPr>
        <w:t>Next to the durability and reparability of goods, the energy efficiency/energy use of goods is also a relevant parameter as linked to both environmental sustainability and consumer’s economic interests.</w:t>
      </w:r>
    </w:p>
  </w:footnote>
  <w:footnote w:id="25">
    <w:p w:rsidR="00164A6B" w:rsidRPr="009B5734" w:rsidRDefault="00164A6B" w:rsidP="0011520C">
      <w:pPr>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See also </w:t>
      </w:r>
      <w:hyperlink w:anchor="_Annex_7:_Overview" w:history="1">
        <w:r w:rsidRPr="009B5734">
          <w:rPr>
            <w:rStyle w:val="Hyperlink"/>
            <w:rFonts w:ascii="Times New Roman" w:hAnsi="Times New Roman" w:cs="Times New Roman"/>
            <w:sz w:val="18"/>
            <w:szCs w:val="18"/>
          </w:rPr>
          <w:t>Annex 7</w:t>
        </w:r>
      </w:hyperlink>
      <w:r w:rsidRPr="009B5734">
        <w:rPr>
          <w:rFonts w:ascii="Times New Roman" w:hAnsi="Times New Roman" w:cs="Times New Roman"/>
          <w:sz w:val="18"/>
          <w:szCs w:val="18"/>
        </w:rPr>
        <w:t xml:space="preserve"> and </w:t>
      </w:r>
      <w:hyperlink w:anchor="_Annex_12:_Consequences_1" w:history="1">
        <w:r w:rsidRPr="009B5734">
          <w:rPr>
            <w:rStyle w:val="Hyperlink"/>
            <w:rFonts w:ascii="Times New Roman" w:hAnsi="Times New Roman" w:cs="Times New Roman"/>
            <w:sz w:val="18"/>
            <w:szCs w:val="18"/>
          </w:rPr>
          <w:t>Annex 12</w:t>
        </w:r>
      </w:hyperlink>
      <w:r w:rsidRPr="009B5734">
        <w:rPr>
          <w:rFonts w:ascii="Times New Roman" w:hAnsi="Times New Roman" w:cs="Times New Roman"/>
          <w:sz w:val="18"/>
          <w:szCs w:val="18"/>
        </w:rPr>
        <w:t>.</w:t>
      </w:r>
    </w:p>
  </w:footnote>
  <w:footnote w:id="26">
    <w:p w:rsidR="00164A6B" w:rsidRPr="009B5734" w:rsidRDefault="00164A6B" w:rsidP="0011520C">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For example, via the Ecodesign Directive (Annex 7), the Packaging and Packaging Waste Directive (Directive 94/62/EC) and the Waste Framework Directive (Directive 2018/851).</w:t>
      </w:r>
    </w:p>
  </w:footnote>
  <w:footnote w:id="27">
    <w:p w:rsidR="00164A6B" w:rsidRPr="009B5734" w:rsidRDefault="00164A6B" w:rsidP="0011520C">
      <w:pPr>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COM(2020)381 final, 20 May 2020, p. 20. </w:t>
      </w:r>
    </w:p>
  </w:footnote>
  <w:footnote w:id="28">
    <w:p w:rsidR="00164A6B" w:rsidRPr="001A6309" w:rsidRDefault="00164A6B">
      <w:pPr>
        <w:pStyle w:val="FootnoteText"/>
      </w:pPr>
      <w:r>
        <w:rPr>
          <w:rStyle w:val="FootnoteReference"/>
        </w:rPr>
        <w:footnoteRef/>
      </w:r>
      <w:r>
        <w:t xml:space="preserve"> More information on this initiative at the following website: </w:t>
      </w:r>
      <w:hyperlink r:id="rId3" w:history="1">
        <w:r>
          <w:rPr>
            <w:rStyle w:val="Hyperlink"/>
          </w:rPr>
          <w:t>https://ec.europa.eu/info/law/better-regulation/have-your-say/initiatives/13150-Sustainable-consumption-of-goods-promoting-repair-and-reuse_en</w:t>
        </w:r>
      </w:hyperlink>
    </w:p>
  </w:footnote>
  <w:footnote w:id="29">
    <w:p w:rsidR="00164A6B" w:rsidRPr="00353CBE" w:rsidRDefault="00164A6B">
      <w:pPr>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w:t>
      </w:r>
      <w:r w:rsidRPr="00353CBE">
        <w:rPr>
          <w:rFonts w:ascii="Times New Roman" w:eastAsia="Times New Roman" w:hAnsi="Times New Roman" w:cs="Times New Roman"/>
          <w:sz w:val="18"/>
          <w:szCs w:val="18"/>
        </w:rPr>
        <w:t>Results of the Fitness Check of consumer and marketing law and of the evaluation of the Consumer Rights Directive</w:t>
      </w:r>
    </w:p>
    <w:p w:rsidR="00164A6B" w:rsidRPr="009B5734" w:rsidRDefault="00700706" w:rsidP="0011520C">
      <w:pPr>
        <w:rPr>
          <w:rFonts w:ascii="Times New Roman" w:hAnsi="Times New Roman" w:cs="Times New Roman"/>
          <w:sz w:val="18"/>
          <w:szCs w:val="18"/>
        </w:rPr>
      </w:pPr>
      <w:hyperlink r:id="rId4" w:history="1">
        <w:r w:rsidR="00164A6B" w:rsidRPr="009B5734">
          <w:rPr>
            <w:rStyle w:val="Hyperlink"/>
            <w:rFonts w:ascii="Times New Roman" w:hAnsi="Times New Roman" w:cs="Times New Roman"/>
            <w:sz w:val="18"/>
            <w:szCs w:val="18"/>
          </w:rPr>
          <w:t>https://ec.europa.eu/newsroom/just/items/59332</w:t>
        </w:r>
      </w:hyperlink>
      <w:r w:rsidR="00164A6B" w:rsidRPr="009B5734">
        <w:rPr>
          <w:rFonts w:ascii="Times New Roman" w:hAnsi="Times New Roman" w:cs="Times New Roman"/>
          <w:sz w:val="18"/>
          <w:szCs w:val="18"/>
        </w:rPr>
        <w:t xml:space="preserve"> </w:t>
      </w:r>
    </w:p>
  </w:footnote>
  <w:footnote w:id="30">
    <w:p w:rsidR="00164A6B" w:rsidRPr="009B5734" w:rsidRDefault="00164A6B" w:rsidP="0011520C">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European Commission, </w:t>
      </w:r>
      <w:r w:rsidRPr="009B5734">
        <w:rPr>
          <w:rFonts w:ascii="Times New Roman" w:hAnsi="Times New Roman" w:cs="Times New Roman"/>
          <w:i/>
          <w:sz w:val="18"/>
          <w:szCs w:val="18"/>
        </w:rPr>
        <w:t>Behavioural Study on</w:t>
      </w:r>
      <w:r w:rsidRPr="009B5734">
        <w:rPr>
          <w:rFonts w:ascii="Times New Roman" w:hAnsi="Times New Roman" w:cs="Times New Roman"/>
          <w:sz w:val="18"/>
          <w:szCs w:val="18"/>
        </w:rPr>
        <w:t xml:space="preserve"> </w:t>
      </w:r>
      <w:r w:rsidRPr="009B5734">
        <w:rPr>
          <w:rFonts w:ascii="Times New Roman" w:hAnsi="Times New Roman" w:cs="Times New Roman"/>
          <w:i/>
          <w:sz w:val="18"/>
          <w:szCs w:val="18"/>
        </w:rPr>
        <w:t>Consumers’ engagement in the circular economy,</w:t>
      </w:r>
      <w:r w:rsidRPr="009B5734">
        <w:rPr>
          <w:rFonts w:ascii="Times New Roman" w:hAnsi="Times New Roman" w:cs="Times New Roman"/>
          <w:sz w:val="18"/>
          <w:szCs w:val="18"/>
        </w:rPr>
        <w:t xml:space="preserve"> 2018, p. 10.</w:t>
      </w:r>
    </w:p>
  </w:footnote>
  <w:footnote w:id="31">
    <w:p w:rsidR="00164A6B" w:rsidRPr="009B5734" w:rsidRDefault="00164A6B" w:rsidP="00190355">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European Commission, </w:t>
      </w:r>
      <w:r w:rsidRPr="009B5734">
        <w:rPr>
          <w:i/>
          <w:sz w:val="18"/>
          <w:szCs w:val="18"/>
        </w:rPr>
        <w:t>Flash Eurobarometer 367</w:t>
      </w:r>
      <w:r w:rsidRPr="009B5734">
        <w:rPr>
          <w:sz w:val="18"/>
          <w:szCs w:val="18"/>
        </w:rPr>
        <w:t xml:space="preserve">, 2013, p. 73. </w:t>
      </w:r>
    </w:p>
  </w:footnote>
  <w:footnote w:id="32">
    <w:p w:rsidR="00164A6B" w:rsidRPr="009B5734" w:rsidRDefault="00164A6B" w:rsidP="00190355">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Only 23% of the manufacturers surveyed said that they provide this information for ‘all products’ and only 6% ‘for most’. 32% did not know the expected lifespan of their products and 17% said that they do not provide this information. 15% of retailers provide information on the expected lifespan of products, where this information is not provided by manufacturers. 59% of retailers said they provide this information for some products.</w:t>
      </w:r>
    </w:p>
  </w:footnote>
  <w:footnote w:id="33">
    <w:p w:rsidR="00164A6B" w:rsidRPr="00E80DEF" w:rsidRDefault="00164A6B" w:rsidP="00E80DEF">
      <w:pPr>
        <w:ind w:left="0" w:firstLine="0"/>
        <w:rPr>
          <w:rFonts w:ascii="Times New Roman" w:hAnsi="Times New Roman"/>
          <w:sz w:val="18"/>
          <w:szCs w:val="18"/>
        </w:rPr>
      </w:pPr>
      <w:r w:rsidRPr="009B5734">
        <w:rPr>
          <w:rStyle w:val="FootnoteReference"/>
          <w:rFonts w:ascii="Times New Roman" w:hAnsi="Times New Roman" w:cs="Times New Roman"/>
          <w:sz w:val="18"/>
          <w:szCs w:val="18"/>
        </w:rPr>
        <w:footnoteRef/>
      </w:r>
      <w:r w:rsidRPr="00E80DEF">
        <w:rPr>
          <w:rFonts w:ascii="Times New Roman" w:hAnsi="Times New Roman"/>
          <w:sz w:val="18"/>
          <w:szCs w:val="18"/>
        </w:rPr>
        <w:t xml:space="preserve"> European Commission, </w:t>
      </w:r>
      <w:r w:rsidRPr="00E80DEF">
        <w:rPr>
          <w:rFonts w:ascii="Times New Roman" w:hAnsi="Times New Roman"/>
          <w:i/>
          <w:sz w:val="18"/>
          <w:szCs w:val="18"/>
        </w:rPr>
        <w:t>Consumer market study on the functioning of legal and commercial guarantees for consumers in the EU</w:t>
      </w:r>
      <w:r w:rsidRPr="00E80DEF">
        <w:rPr>
          <w:rFonts w:ascii="Times New Roman" w:hAnsi="Times New Roman"/>
          <w:sz w:val="18"/>
          <w:szCs w:val="18"/>
        </w:rPr>
        <w:t xml:space="preserve">, 2015. </w:t>
      </w:r>
      <w:r w:rsidRPr="00E80DEF">
        <w:rPr>
          <w:rFonts w:ascii="Times New Roman" w:eastAsia="Times New Roman" w:hAnsi="Times New Roman"/>
          <w:sz w:val="18"/>
          <w:szCs w:val="18"/>
        </w:rPr>
        <w:t xml:space="preserve">European Commission, Impact Assessment supporting study: </w:t>
      </w:r>
      <w:r w:rsidRPr="00E80DEF">
        <w:rPr>
          <w:rFonts w:ascii="Times New Roman" w:eastAsia="Times New Roman" w:hAnsi="Times New Roman"/>
          <w:i/>
          <w:sz w:val="18"/>
          <w:szCs w:val="18"/>
        </w:rPr>
        <w:t>Study on Empowering Consumers Towards the Green Transition</w:t>
      </w:r>
      <w:r w:rsidRPr="00E80DEF">
        <w:rPr>
          <w:rFonts w:ascii="Times New Roman" w:eastAsia="Times New Roman" w:hAnsi="Times New Roman"/>
          <w:sz w:val="18"/>
          <w:szCs w:val="18"/>
        </w:rPr>
        <w:t>, July 2021</w:t>
      </w:r>
      <w:r w:rsidRPr="00E80DEF">
        <w:rPr>
          <w:rFonts w:ascii="Times New Roman" w:hAnsi="Times New Roman"/>
          <w:sz w:val="18"/>
          <w:szCs w:val="18"/>
        </w:rPr>
        <w:t xml:space="preserve">. </w:t>
      </w:r>
      <w:r w:rsidRPr="00E80DEF">
        <w:rPr>
          <w:rFonts w:ascii="Times New Roman" w:hAnsi="Times New Roman"/>
          <w:i/>
          <w:sz w:val="18"/>
          <w:szCs w:val="18"/>
        </w:rPr>
        <w:t>Commercial warranties: are they worth the money?</w:t>
      </w:r>
      <w:r w:rsidRPr="00E80DEF">
        <w:rPr>
          <w:rFonts w:ascii="Times New Roman" w:hAnsi="Times New Roman"/>
          <w:sz w:val="18"/>
          <w:szCs w:val="18"/>
        </w:rPr>
        <w:t xml:space="preserve"> ECC-Net, April 2019.</w:t>
      </w:r>
    </w:p>
  </w:footnote>
  <w:footnote w:id="34">
    <w:p w:rsidR="00164A6B" w:rsidRPr="00014EB8" w:rsidRDefault="00164A6B" w:rsidP="0011520C">
      <w:pPr>
        <w:rPr>
          <w:rFonts w:ascii="Times New Roman" w:hAnsi="Times New Roman"/>
          <w:sz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Directive 2019/771 on certain aspects concerning contracts for the sale of goods</w:t>
      </w:r>
    </w:p>
  </w:footnote>
  <w:footnote w:id="35">
    <w:p w:rsidR="00164A6B" w:rsidRPr="009B5734" w:rsidRDefault="00164A6B" w:rsidP="0011520C">
      <w:pPr>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Directive (EU) 2019/771, Art. 7(3)</w:t>
      </w:r>
    </w:p>
  </w:footnote>
  <w:footnote w:id="36">
    <w:p w:rsidR="00164A6B" w:rsidRPr="004931D3" w:rsidRDefault="00164A6B">
      <w:pPr>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Information on reparability aspects of goods is not provided for more than 80% of all goods in the market. </w:t>
      </w:r>
      <w:r w:rsidRPr="00353CBE">
        <w:rPr>
          <w:rFonts w:ascii="Times New Roman" w:eastAsia="Times New Roman" w:hAnsi="Times New Roman" w:cs="Times New Roman"/>
          <w:sz w:val="18"/>
          <w:szCs w:val="18"/>
        </w:rPr>
        <w:t xml:space="preserve">European Commission, Impact Assessment supporting study: </w:t>
      </w:r>
      <w:r w:rsidRPr="00353CBE">
        <w:rPr>
          <w:rFonts w:ascii="Times New Roman" w:eastAsia="Times New Roman" w:hAnsi="Times New Roman" w:cs="Times New Roman"/>
          <w:i/>
          <w:sz w:val="18"/>
          <w:szCs w:val="18"/>
        </w:rPr>
        <w:t>Study on Empowering Consumers Towards the Green Transition</w:t>
      </w:r>
      <w:r w:rsidRPr="00353CBE">
        <w:rPr>
          <w:rFonts w:ascii="Times New Roman" w:eastAsia="Times New Roman" w:hAnsi="Times New Roman" w:cs="Times New Roman"/>
          <w:sz w:val="18"/>
          <w:szCs w:val="18"/>
        </w:rPr>
        <w:t>, July 2021</w:t>
      </w:r>
      <w:r w:rsidRPr="00353CBE">
        <w:rPr>
          <w:rFonts w:ascii="Times New Roman" w:hAnsi="Times New Roman"/>
          <w:sz w:val="18"/>
          <w:szCs w:val="18"/>
        </w:rPr>
        <w:t>.</w:t>
      </w:r>
      <w:r w:rsidRPr="009B5734">
        <w:rPr>
          <w:rFonts w:ascii="Times New Roman" w:hAnsi="Times New Roman" w:cs="Times New Roman"/>
          <w:sz w:val="18"/>
          <w:szCs w:val="18"/>
        </w:rPr>
        <w:t xml:space="preserve"> </w:t>
      </w:r>
    </w:p>
  </w:footnote>
  <w:footnote w:id="37">
    <w:p w:rsidR="00164A6B" w:rsidRPr="009B5734" w:rsidRDefault="00164A6B" w:rsidP="0011520C">
      <w:pPr>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European Commission, </w:t>
      </w:r>
      <w:r w:rsidRPr="00353CBE">
        <w:rPr>
          <w:rFonts w:ascii="Times New Roman" w:hAnsi="Times New Roman" w:cs="Times New Roman"/>
          <w:i/>
          <w:sz w:val="18"/>
          <w:szCs w:val="18"/>
        </w:rPr>
        <w:t>Behavioural Study on Consumers’ engagement in the circular economy</w:t>
      </w:r>
      <w:r w:rsidRPr="009B5734">
        <w:rPr>
          <w:rFonts w:ascii="Times New Roman" w:hAnsi="Times New Roman" w:cs="Times New Roman"/>
          <w:sz w:val="18"/>
          <w:szCs w:val="18"/>
        </w:rPr>
        <w:t>, 2018, p. 81.</w:t>
      </w:r>
    </w:p>
  </w:footnote>
  <w:footnote w:id="38">
    <w:p w:rsidR="00164A6B" w:rsidRPr="009B5734" w:rsidRDefault="00164A6B">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w:t>
      </w:r>
      <w:r w:rsidRPr="00353CBE">
        <w:rPr>
          <w:rFonts w:ascii="Times New Roman" w:eastAsia="Times New Roman" w:hAnsi="Times New Roman" w:cs="Times New Roman"/>
          <w:sz w:val="18"/>
          <w:szCs w:val="18"/>
        </w:rPr>
        <w:t xml:space="preserve">European Commission, Impact Assessment supporting study: </w:t>
      </w:r>
      <w:r w:rsidRPr="00353CBE">
        <w:rPr>
          <w:rFonts w:ascii="Times New Roman" w:eastAsia="Times New Roman" w:hAnsi="Times New Roman" w:cs="Times New Roman"/>
          <w:i/>
          <w:sz w:val="18"/>
          <w:szCs w:val="18"/>
        </w:rPr>
        <w:t>Study on Empowering Consumers Towards the Green Transition</w:t>
      </w:r>
      <w:r w:rsidRPr="00353CBE">
        <w:rPr>
          <w:rFonts w:ascii="Times New Roman" w:eastAsia="Times New Roman" w:hAnsi="Times New Roman" w:cs="Times New Roman"/>
          <w:sz w:val="18"/>
          <w:szCs w:val="18"/>
        </w:rPr>
        <w:t xml:space="preserve">, July </w:t>
      </w:r>
      <w:r w:rsidRPr="00275642">
        <w:rPr>
          <w:rFonts w:ascii="Times New Roman" w:eastAsia="Times New Roman" w:hAnsi="Times New Roman" w:cs="Times New Roman"/>
          <w:sz w:val="18"/>
          <w:szCs w:val="18"/>
        </w:rPr>
        <w:t>2021</w:t>
      </w:r>
      <w:r w:rsidRPr="009B5734">
        <w:rPr>
          <w:rFonts w:ascii="Times New Roman" w:hAnsi="Times New Roman" w:cs="Times New Roman"/>
          <w:sz w:val="18"/>
          <w:szCs w:val="18"/>
        </w:rPr>
        <w:t>, Annex 8, Sec. 5</w:t>
      </w:r>
      <w:r>
        <w:rPr>
          <w:rFonts w:ascii="Times New Roman" w:hAnsi="Times New Roman" w:cs="Times New Roman"/>
          <w:sz w:val="18"/>
          <w:szCs w:val="18"/>
        </w:rPr>
        <w:t xml:space="preserve">. </w:t>
      </w:r>
    </w:p>
  </w:footnote>
  <w:footnote w:id="39">
    <w:p w:rsidR="00164A6B" w:rsidRPr="009B5734" w:rsidRDefault="00164A6B" w:rsidP="00190355">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As regards environmental claims specifically. </w:t>
      </w:r>
      <w:r w:rsidRPr="009B5734" w:rsidDel="00AB5FC8">
        <w:rPr>
          <w:sz w:val="18"/>
          <w:szCs w:val="18"/>
        </w:rPr>
        <w:t xml:space="preserve">European Commission, </w:t>
      </w:r>
      <w:r w:rsidRPr="009B5734">
        <w:rPr>
          <w:i/>
          <w:sz w:val="18"/>
          <w:szCs w:val="18"/>
        </w:rPr>
        <w:t>Study for the Fitness Check of EU consumer and marketing law</w:t>
      </w:r>
      <w:r w:rsidRPr="009B5734">
        <w:rPr>
          <w:sz w:val="18"/>
          <w:szCs w:val="18"/>
        </w:rPr>
        <w:t>, 2017, p.39.</w:t>
      </w:r>
    </w:p>
  </w:footnote>
  <w:footnote w:id="40">
    <w:p w:rsidR="00164A6B" w:rsidRPr="00014EB8" w:rsidRDefault="00164A6B" w:rsidP="00AB1E4F">
      <w:pPr>
        <w:pStyle w:val="FootnoteText"/>
        <w:spacing w:after="0"/>
        <w:ind w:left="0" w:firstLine="0"/>
      </w:pPr>
      <w:r w:rsidRPr="009B5734">
        <w:rPr>
          <w:rStyle w:val="FootnoteReference"/>
          <w:sz w:val="18"/>
          <w:szCs w:val="18"/>
        </w:rPr>
        <w:footnoteRef/>
      </w:r>
      <w:r w:rsidRPr="009B5734">
        <w:rPr>
          <w:rStyle w:val="FootnoteReference"/>
          <w:sz w:val="18"/>
          <w:szCs w:val="18"/>
        </w:rPr>
        <w:t xml:space="preserve"> </w:t>
      </w:r>
      <w:r w:rsidRPr="009B5734">
        <w:rPr>
          <w:sz w:val="18"/>
          <w:szCs w:val="18"/>
        </w:rPr>
        <w:t>The Consumer Protection Cooperation (CPC) is a network of authorities responsible for enforcing EU consumer protection laws to protect consumers’ interests in the countries of the European Union (EU) and the European Economic Area (EEA). It has its basis in Regulation (EU) 2017/2394 of the European Parliament and of the Council of 12 December 2017 on cooperation between national authorities responsible for the enforcement of consumer protection laws and repealing Regulation (EC) No 2006/2004.</w:t>
      </w:r>
    </w:p>
  </w:footnote>
  <w:footnote w:id="41">
    <w:p w:rsidR="00164A6B" w:rsidRPr="00014EB8" w:rsidRDefault="00164A6B" w:rsidP="00190355">
      <w:pPr>
        <w:pStyle w:val="FootnoteText"/>
        <w:spacing w:after="0"/>
        <w:ind w:left="0" w:firstLine="0"/>
        <w:rPr>
          <w:sz w:val="18"/>
        </w:rPr>
      </w:pPr>
      <w:r w:rsidRPr="009B5734">
        <w:rPr>
          <w:rStyle w:val="FootnoteReference"/>
          <w:sz w:val="18"/>
          <w:szCs w:val="18"/>
        </w:rPr>
        <w:footnoteRef/>
      </w:r>
      <w:r w:rsidRPr="00014EB8">
        <w:rPr>
          <w:sz w:val="18"/>
        </w:rPr>
        <w:t xml:space="preserve"> COM(2020)696 final, 13 November 2020, p. 5. </w:t>
      </w:r>
    </w:p>
  </w:footnote>
  <w:footnote w:id="42">
    <w:p w:rsidR="00164A6B" w:rsidRPr="00014EB8" w:rsidRDefault="00164A6B" w:rsidP="00190355">
      <w:pPr>
        <w:pStyle w:val="FootnoteText"/>
        <w:spacing w:after="0"/>
        <w:ind w:left="0" w:firstLine="0"/>
        <w:rPr>
          <w:sz w:val="18"/>
        </w:rPr>
      </w:pPr>
      <w:r w:rsidRPr="009B5734">
        <w:rPr>
          <w:rStyle w:val="FootnoteReference"/>
          <w:sz w:val="18"/>
          <w:szCs w:val="18"/>
        </w:rPr>
        <w:footnoteRef/>
      </w:r>
      <w:r w:rsidRPr="00014EB8">
        <w:rPr>
          <w:sz w:val="18"/>
        </w:rPr>
        <w:t xml:space="preserve"> SWD(2016) 163 final, p. 75.</w:t>
      </w:r>
    </w:p>
  </w:footnote>
  <w:footnote w:id="43">
    <w:p w:rsidR="00164A6B" w:rsidRPr="00014EB8" w:rsidRDefault="00164A6B" w:rsidP="00190355">
      <w:pPr>
        <w:pStyle w:val="FootnoteText"/>
        <w:spacing w:after="0"/>
        <w:ind w:left="0" w:firstLine="0"/>
        <w:rPr>
          <w:sz w:val="18"/>
        </w:rPr>
      </w:pPr>
      <w:r w:rsidRPr="009B5734">
        <w:rPr>
          <w:rStyle w:val="FootnoteReference"/>
          <w:sz w:val="18"/>
          <w:szCs w:val="18"/>
        </w:rPr>
        <w:footnoteRef/>
      </w:r>
      <w:r w:rsidRPr="009B5734">
        <w:rPr>
          <w:sz w:val="18"/>
          <w:szCs w:val="18"/>
        </w:rPr>
        <w:t xml:space="preserve"> European Commission, </w:t>
      </w:r>
      <w:r w:rsidRPr="009B5734">
        <w:rPr>
          <w:i/>
          <w:sz w:val="18"/>
          <w:szCs w:val="18"/>
        </w:rPr>
        <w:t>A New Consumer Agenda Factual summary report – public consultation</w:t>
      </w:r>
      <w:r w:rsidRPr="009B5734">
        <w:rPr>
          <w:sz w:val="18"/>
          <w:szCs w:val="18"/>
        </w:rPr>
        <w:t xml:space="preserve">, 2020, p. 20. </w:t>
      </w:r>
    </w:p>
  </w:footnote>
  <w:footnote w:id="44">
    <w:p w:rsidR="00164A6B" w:rsidRPr="00014EB8" w:rsidRDefault="00164A6B" w:rsidP="00190355">
      <w:pPr>
        <w:pStyle w:val="Times"/>
        <w:ind w:left="0" w:firstLine="0"/>
      </w:pPr>
      <w:r w:rsidRPr="009B5734">
        <w:rPr>
          <w:rStyle w:val="FootnoteReference"/>
        </w:rPr>
        <w:footnoteRef/>
      </w:r>
      <w:r w:rsidRPr="00014EB8">
        <w:t xml:space="preserve"> United Nation Environment Programme, </w:t>
      </w:r>
      <w:r w:rsidRPr="00014EB8">
        <w:rPr>
          <w:i/>
        </w:rPr>
        <w:t>The Long View – Exploring Product Lifetime Extension</w:t>
      </w:r>
      <w:r w:rsidRPr="00014EB8">
        <w:t xml:space="preserve">, 2017, pp 20-24. </w:t>
      </w:r>
    </w:p>
  </w:footnote>
  <w:footnote w:id="45">
    <w:p w:rsidR="00164A6B" w:rsidRPr="00014EB8" w:rsidRDefault="00164A6B" w:rsidP="00190355">
      <w:pPr>
        <w:pStyle w:val="Times"/>
        <w:ind w:left="0" w:firstLine="0"/>
      </w:pPr>
      <w:r w:rsidRPr="009B5734">
        <w:rPr>
          <w:rStyle w:val="FootnoteReference"/>
        </w:rPr>
        <w:footnoteRef/>
      </w:r>
      <w:r w:rsidRPr="00014EB8">
        <w:t xml:space="preserve"> </w:t>
      </w:r>
      <w:hyperlink r:id="rId5" w:history="1">
        <w:r w:rsidRPr="00014EB8">
          <w:rPr>
            <w:rStyle w:val="Hyperlink"/>
            <w:color w:val="auto"/>
            <w:u w:val="none"/>
          </w:rPr>
          <w:t>European</w:t>
        </w:r>
      </w:hyperlink>
      <w:r w:rsidRPr="00014EB8">
        <w:t xml:space="preserve"> Parliament, </w:t>
      </w:r>
      <w:r w:rsidRPr="00014EB8">
        <w:rPr>
          <w:i/>
        </w:rPr>
        <w:t>Briefing – Planned obsolescence: exploring the issue</w:t>
      </w:r>
      <w:r w:rsidRPr="00014EB8">
        <w:t xml:space="preserve">, 2017. </w:t>
      </w:r>
    </w:p>
  </w:footnote>
  <w:footnote w:id="46">
    <w:p w:rsidR="00164A6B" w:rsidRPr="009B5734" w:rsidRDefault="00164A6B" w:rsidP="006D300C">
      <w:pPr>
        <w:pStyle w:val="Times"/>
        <w:ind w:left="0" w:firstLine="0"/>
      </w:pPr>
      <w:r w:rsidRPr="009B5734">
        <w:rPr>
          <w:rStyle w:val="FootnoteReference"/>
        </w:rPr>
        <w:footnoteRef/>
      </w:r>
      <w:r w:rsidRPr="009B5734">
        <w:t xml:space="preserve"> Research carried out by the PROMPT project, an independent testing programme assessing the lifetime of consumer products. It brings together research institutes, national and umbrella consumer organisations as well as repair companies and platforms. The project has received EU funding under Horizon 2020.  </w:t>
      </w:r>
    </w:p>
    <w:p w:rsidR="00164A6B" w:rsidRPr="009B5734" w:rsidRDefault="00164A6B" w:rsidP="006D300C">
      <w:pPr>
        <w:pStyle w:val="Times"/>
        <w:ind w:left="0" w:firstLine="0"/>
      </w:pPr>
      <w:r w:rsidRPr="009B5734">
        <w:t xml:space="preserve">PROMPT Project, </w:t>
      </w:r>
      <w:r w:rsidRPr="009B5734">
        <w:rPr>
          <w:i/>
        </w:rPr>
        <w:t>State-of-the-art of consumers' product experiences related to premature obsolescence</w:t>
      </w:r>
      <w:r w:rsidRPr="009B5734">
        <w:t xml:space="preserve">, forthcoming. </w:t>
      </w:r>
    </w:p>
  </w:footnote>
  <w:footnote w:id="47">
    <w:p w:rsidR="00164A6B" w:rsidRPr="009B5734" w:rsidRDefault="00164A6B" w:rsidP="00190355">
      <w:pPr>
        <w:pStyle w:val="Times"/>
        <w:ind w:left="0" w:firstLine="0"/>
      </w:pPr>
      <w:r w:rsidRPr="009B5734">
        <w:rPr>
          <w:rStyle w:val="FootnoteReference"/>
        </w:rPr>
        <w:footnoteRef/>
      </w:r>
      <w:r w:rsidRPr="009B5734">
        <w:t xml:space="preserve"> </w:t>
      </w:r>
      <w:hyperlink r:id="rId6" w:history="1">
        <w:r w:rsidRPr="00014EB8">
          <w:rPr>
            <w:rStyle w:val="Hyperlink"/>
            <w:color w:val="auto"/>
            <w:u w:val="none"/>
          </w:rPr>
          <w:t>European</w:t>
        </w:r>
      </w:hyperlink>
      <w:r w:rsidRPr="00014EB8">
        <w:t xml:space="preserve"> Parliament, </w:t>
      </w:r>
      <w:r w:rsidRPr="005D24D2">
        <w:rPr>
          <w:i/>
          <w:iCs/>
        </w:rPr>
        <w:t>Briefing – Planned obsolescence: exploring the issue</w:t>
      </w:r>
      <w:r w:rsidRPr="00014EB8">
        <w:t xml:space="preserve">, 2016, p. 3-4. </w:t>
      </w:r>
    </w:p>
  </w:footnote>
  <w:footnote w:id="48">
    <w:p w:rsidR="00164A6B" w:rsidRPr="00014EB8" w:rsidRDefault="00164A6B" w:rsidP="00190355">
      <w:pPr>
        <w:pStyle w:val="Times"/>
        <w:ind w:left="0" w:firstLine="0"/>
      </w:pPr>
      <w:r w:rsidRPr="009B5734">
        <w:rPr>
          <w:rStyle w:val="FootnoteReference"/>
        </w:rPr>
        <w:footnoteRef/>
      </w:r>
      <w:r w:rsidRPr="009B5734">
        <w:t xml:space="preserve"> Umwelt Bundesamt, </w:t>
      </w:r>
      <w:r w:rsidRPr="005D24D2">
        <w:rPr>
          <w:i/>
          <w:iCs/>
        </w:rPr>
        <w:t>Influence of the service life of products in terms of their environmental impact: Establishing an information base and developing strategies against "obsolescence</w:t>
      </w:r>
      <w:r w:rsidRPr="009B5734">
        <w:t xml:space="preserve">", 2020, p. 85, p. 88, p. 24. </w:t>
      </w:r>
    </w:p>
  </w:footnote>
  <w:footnote w:id="49">
    <w:p w:rsidR="00164A6B" w:rsidRPr="009B5734" w:rsidRDefault="00164A6B" w:rsidP="00190355">
      <w:pPr>
        <w:pStyle w:val="Times"/>
        <w:ind w:left="0" w:firstLine="0"/>
      </w:pPr>
      <w:r w:rsidRPr="009B5734">
        <w:rPr>
          <w:rStyle w:val="FootnoteReference"/>
        </w:rPr>
        <w:footnoteRef/>
      </w:r>
      <w:r w:rsidRPr="009B5734">
        <w:t xml:space="preserve"> </w:t>
      </w:r>
      <w:hyperlink r:id="rId7" w:history="1">
        <w:r w:rsidRPr="00014EB8">
          <w:rPr>
            <w:rStyle w:val="Hyperlink"/>
            <w:color w:val="auto"/>
            <w:u w:val="none"/>
          </w:rPr>
          <w:t>European</w:t>
        </w:r>
      </w:hyperlink>
      <w:r w:rsidRPr="00014EB8">
        <w:t xml:space="preserve"> Parliament, </w:t>
      </w:r>
      <w:r w:rsidRPr="00014EB8">
        <w:rPr>
          <w:i/>
        </w:rPr>
        <w:t>Briefing – Planned obsolescence: exploring the issue</w:t>
      </w:r>
      <w:r w:rsidRPr="00014EB8">
        <w:t>, 2016, p. 4.</w:t>
      </w:r>
    </w:p>
  </w:footnote>
  <w:footnote w:id="50">
    <w:p w:rsidR="00164A6B" w:rsidRPr="009B5734" w:rsidRDefault="00164A6B" w:rsidP="00190355">
      <w:pPr>
        <w:autoSpaceDE w:val="0"/>
        <w:autoSpaceDN w:val="0"/>
        <w:adjustRightInd w:val="0"/>
        <w:ind w:left="0" w:firstLine="0"/>
        <w:rPr>
          <w:rFonts w:ascii="Times New Roman" w:hAnsi="Times New Roman" w:cs="Times New Roman"/>
          <w:color w:val="000000"/>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M. Depypere, T. Opsomer, </w:t>
      </w:r>
      <w:r w:rsidRPr="005D24D2">
        <w:rPr>
          <w:rFonts w:ascii="Times New Roman" w:hAnsi="Times New Roman" w:cs="Times New Roman"/>
          <w:i/>
          <w:iCs/>
          <w:sz w:val="18"/>
          <w:szCs w:val="18"/>
        </w:rPr>
        <w:t xml:space="preserve">Relevance of Policy Measures to Increase Product Lifetimes: a Literature Review, </w:t>
      </w:r>
      <w:r w:rsidRPr="009B5734">
        <w:rPr>
          <w:rFonts w:ascii="Times New Roman" w:hAnsi="Times New Roman" w:cs="Times New Roman"/>
          <w:sz w:val="18"/>
          <w:szCs w:val="18"/>
        </w:rPr>
        <w:t xml:space="preserve">2018. </w:t>
      </w:r>
    </w:p>
  </w:footnote>
  <w:footnote w:id="51">
    <w:p w:rsidR="00164A6B" w:rsidRPr="00014EB8" w:rsidRDefault="00164A6B" w:rsidP="00190355">
      <w:pPr>
        <w:pStyle w:val="FootnoteText"/>
        <w:spacing w:after="0"/>
        <w:ind w:left="0" w:firstLine="0"/>
        <w:rPr>
          <w:sz w:val="18"/>
        </w:rPr>
      </w:pPr>
      <w:r w:rsidRPr="009B5734">
        <w:rPr>
          <w:rStyle w:val="FootnoteReference"/>
          <w:sz w:val="18"/>
          <w:szCs w:val="18"/>
        </w:rPr>
        <w:footnoteRef/>
      </w:r>
      <w:r w:rsidRPr="009B5734">
        <w:rPr>
          <w:sz w:val="18"/>
          <w:szCs w:val="18"/>
        </w:rPr>
        <w:t xml:space="preserve"> PROMPT Project, </w:t>
      </w:r>
      <w:r w:rsidRPr="009B5734">
        <w:rPr>
          <w:i/>
          <w:sz w:val="18"/>
          <w:szCs w:val="18"/>
        </w:rPr>
        <w:t>State-of-the-art of consumers' product experiences related to premature obsolescence</w:t>
      </w:r>
      <w:r w:rsidRPr="009B5734">
        <w:rPr>
          <w:sz w:val="18"/>
          <w:szCs w:val="18"/>
        </w:rPr>
        <w:t>, forthcoming.</w:t>
      </w:r>
    </w:p>
  </w:footnote>
  <w:footnote w:id="52">
    <w:p w:rsidR="00164A6B" w:rsidRPr="009B5734" w:rsidRDefault="00164A6B" w:rsidP="00190355">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w:t>
      </w:r>
      <w:r w:rsidRPr="009B5734">
        <w:rPr>
          <w:color w:val="222222"/>
          <w:sz w:val="18"/>
          <w:szCs w:val="18"/>
          <w:shd w:val="clear" w:color="auto" w:fill="FFFFFF"/>
        </w:rPr>
        <w:t xml:space="preserve">Rizos, V., Bryhn, J., Alessi, M., Campmas, A. and Zarra, A., </w:t>
      </w:r>
      <w:r w:rsidRPr="70D97C89">
        <w:rPr>
          <w:i/>
          <w:iCs/>
          <w:color w:val="222222"/>
          <w:sz w:val="18"/>
          <w:szCs w:val="18"/>
          <w:shd w:val="clear" w:color="auto" w:fill="FFFFFF"/>
        </w:rPr>
        <w:t xml:space="preserve">Identifying the impact of the circular economy on the Fast-Moving Consumer Goods Industry Opportunities and challenges for businesses, workers and consumers–mobile phones as an example, 2019, p. 19, p. 25. </w:t>
      </w:r>
    </w:p>
  </w:footnote>
  <w:footnote w:id="53">
    <w:p w:rsidR="00164A6B" w:rsidRPr="009B5734" w:rsidRDefault="00164A6B" w:rsidP="004A5541">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BEUC letter to the European Commission indicating the issue of premature obsolescence of the product Nintendo Switch </w:t>
      </w:r>
      <w:hyperlink r:id="rId8" w:history="1">
        <w:r w:rsidRPr="009B5734">
          <w:rPr>
            <w:rStyle w:val="Hyperlink"/>
            <w:sz w:val="18"/>
            <w:szCs w:val="18"/>
          </w:rPr>
          <w:t>https://www.beuc.eu/publications/beuc-x-2021-002_nintendo_-_premature_obsolescence_complaint_to_the_ec.pdf</w:t>
        </w:r>
      </w:hyperlink>
      <w:r w:rsidRPr="009B5734">
        <w:rPr>
          <w:sz w:val="18"/>
          <w:szCs w:val="18"/>
        </w:rPr>
        <w:t xml:space="preserve"> </w:t>
      </w:r>
    </w:p>
  </w:footnote>
  <w:footnote w:id="54">
    <w:p w:rsidR="00164A6B" w:rsidRPr="00E73A24" w:rsidRDefault="00164A6B" w:rsidP="004A5541">
      <w:pPr>
        <w:pStyle w:val="FootnoteText"/>
        <w:spacing w:after="0"/>
        <w:ind w:left="0" w:firstLine="0"/>
        <w:rPr>
          <w:sz w:val="18"/>
          <w:szCs w:val="18"/>
        </w:rPr>
      </w:pPr>
      <w:r w:rsidRPr="009B5734">
        <w:rPr>
          <w:rStyle w:val="FootnoteReference"/>
          <w:sz w:val="18"/>
          <w:szCs w:val="18"/>
        </w:rPr>
        <w:footnoteRef/>
      </w:r>
      <w:r w:rsidRPr="005D24D2">
        <w:rPr>
          <w:sz w:val="18"/>
          <w:szCs w:val="18"/>
        </w:rPr>
        <w:t xml:space="preserve"> Autorita Garante della Concorrenza e del Mercato, </w:t>
      </w:r>
      <w:r w:rsidRPr="005D24D2">
        <w:rPr>
          <w:i/>
          <w:iCs/>
          <w:sz w:val="18"/>
          <w:szCs w:val="18"/>
        </w:rPr>
        <w:t>Proceedings initiated against Samsung and Apple for smartphone software updates</w:t>
      </w:r>
      <w:r w:rsidRPr="005773BA">
        <w:rPr>
          <w:sz w:val="18"/>
          <w:szCs w:val="18"/>
        </w:rPr>
        <w:t xml:space="preserve">, </w:t>
      </w:r>
      <w:hyperlink r:id="rId9" w:history="1">
        <w:r w:rsidRPr="005D24D2">
          <w:rPr>
            <w:rStyle w:val="Hyperlink"/>
            <w:sz w:val="18"/>
            <w:szCs w:val="18"/>
          </w:rPr>
          <w:t>https://en.agcm.it/en/media/detail?id=4d458a5b-49ad-4d30-80e9-d3e9692fca36</w:t>
        </w:r>
      </w:hyperlink>
      <w:r w:rsidRPr="005D24D2">
        <w:rPr>
          <w:rStyle w:val="Hyperlink"/>
          <w:color w:val="auto"/>
          <w:sz w:val="18"/>
          <w:szCs w:val="18"/>
          <w:u w:val="none"/>
        </w:rPr>
        <w:t xml:space="preserve"> </w:t>
      </w:r>
      <w:r>
        <w:rPr>
          <w:rStyle w:val="Hyperlink"/>
          <w:sz w:val="18"/>
          <w:szCs w:val="18"/>
          <w:lang w:val="en-US"/>
        </w:rPr>
        <w:t>and</w:t>
      </w:r>
      <w:r w:rsidRPr="002524C0">
        <w:rPr>
          <w:rStyle w:val="Hyperlink"/>
          <w:color w:val="auto"/>
          <w:sz w:val="18"/>
          <w:szCs w:val="18"/>
          <w:u w:val="none"/>
        </w:rPr>
        <w:t>;</w:t>
      </w:r>
      <w:r w:rsidRPr="005D24D2">
        <w:rPr>
          <w:rStyle w:val="Hyperlink"/>
          <w:color w:val="auto"/>
          <w:sz w:val="18"/>
          <w:szCs w:val="18"/>
          <w:u w:val="none"/>
        </w:rPr>
        <w:t xml:space="preserve"> </w:t>
      </w:r>
      <w:hyperlink r:id="rId10" w:history="1">
        <w:r w:rsidRPr="009B5734">
          <w:rPr>
            <w:rStyle w:val="Hyperlink"/>
          </w:rPr>
          <w:t>https://www.agcm.it/media/comunicati-stampa/2018/10/PS11009-PS11039</w:t>
        </w:r>
      </w:hyperlink>
    </w:p>
  </w:footnote>
  <w:footnote w:id="55">
    <w:p w:rsidR="00164A6B" w:rsidRPr="00014EB8" w:rsidRDefault="00164A6B" w:rsidP="00190355">
      <w:pPr>
        <w:pStyle w:val="FootnoteText"/>
        <w:spacing w:after="0"/>
        <w:ind w:left="0" w:firstLine="0"/>
        <w:rPr>
          <w:sz w:val="18"/>
        </w:rPr>
      </w:pPr>
      <w:r w:rsidRPr="009B5734">
        <w:rPr>
          <w:rStyle w:val="FootnoteReference"/>
          <w:sz w:val="18"/>
          <w:szCs w:val="18"/>
        </w:rPr>
        <w:footnoteRef/>
      </w:r>
      <w:r w:rsidRPr="009B5734">
        <w:rPr>
          <w:sz w:val="18"/>
          <w:szCs w:val="18"/>
        </w:rPr>
        <w:t xml:space="preserve"> Commission Staff Working Document, Guidance on the Implementation/Application of Directive 2005/29/EC on Unfair Commercial Practices, SWD/2016/0163 final, available at: </w:t>
      </w:r>
      <w:hyperlink r:id="rId11" w:history="1">
        <w:r w:rsidRPr="009B5734">
          <w:rPr>
            <w:sz w:val="18"/>
            <w:szCs w:val="18"/>
          </w:rPr>
          <w:t>https://eur-lex.europa.eu/legal-content/EN/TXT/?uri=CELEX%3A52016SC0163</w:t>
        </w:r>
      </w:hyperlink>
      <w:r w:rsidRPr="009B5734">
        <w:t xml:space="preserve"> </w:t>
      </w:r>
    </w:p>
  </w:footnote>
  <w:footnote w:id="56">
    <w:p w:rsidR="00164A6B" w:rsidRPr="009B5734" w:rsidRDefault="00164A6B" w:rsidP="003A7F1B">
      <w:pPr>
        <w:pStyle w:val="FootnoteText"/>
        <w:spacing w:after="0"/>
      </w:pPr>
      <w:r w:rsidRPr="009B5734">
        <w:rPr>
          <w:rStyle w:val="FootnoteReference"/>
        </w:rPr>
        <w:footnoteRef/>
      </w:r>
      <w:r w:rsidRPr="009B5734">
        <w:t xml:space="preserve"> </w:t>
      </w:r>
      <w:r w:rsidRPr="009B5734">
        <w:rPr>
          <w:sz w:val="18"/>
          <w:szCs w:val="18"/>
        </w:rPr>
        <w:t xml:space="preserve">European Commission, </w:t>
      </w:r>
      <w:r w:rsidRPr="009B5734">
        <w:rPr>
          <w:i/>
          <w:iCs/>
          <w:sz w:val="18"/>
          <w:szCs w:val="18"/>
        </w:rPr>
        <w:t xml:space="preserve">Environmental claims in the EU – inventory and reliability assessment, </w:t>
      </w:r>
      <w:r w:rsidRPr="009B5734">
        <w:rPr>
          <w:sz w:val="18"/>
          <w:szCs w:val="18"/>
        </w:rPr>
        <w:t>2020.</w:t>
      </w:r>
    </w:p>
  </w:footnote>
  <w:footnote w:id="57">
    <w:p w:rsidR="00164A6B" w:rsidRPr="00353CBE" w:rsidRDefault="00164A6B" w:rsidP="00353CBE">
      <w:pPr>
        <w:rPr>
          <w:sz w:val="18"/>
          <w:szCs w:val="18"/>
        </w:rPr>
      </w:pPr>
      <w:r w:rsidRPr="009B5734">
        <w:rPr>
          <w:rStyle w:val="FootnoteReference"/>
          <w:sz w:val="18"/>
          <w:szCs w:val="18"/>
        </w:rPr>
        <w:footnoteRef/>
      </w:r>
      <w:r w:rsidRPr="009B5734">
        <w:rPr>
          <w:sz w:val="18"/>
          <w:szCs w:val="18"/>
        </w:rPr>
        <w:t xml:space="preserve"> The mystery shopping exercise revealed that over half of products analysed (51%) had a claim (either logo, label, text, image or embodied in the brand). </w:t>
      </w:r>
      <w:r w:rsidRPr="00C84A99">
        <w:rPr>
          <w:rFonts w:ascii="Times New Roman" w:eastAsia="Times New Roman" w:hAnsi="Times New Roman" w:cs="Times New Roman"/>
          <w:sz w:val="18"/>
          <w:szCs w:val="18"/>
        </w:rPr>
        <w:t>European Commission, Impact Assessment supporting study: ‘Study on Empowering Consumers Towards the Green Transition’, July 2021.</w:t>
      </w:r>
      <w:r w:rsidRPr="009B5734">
        <w:rPr>
          <w:sz w:val="18"/>
          <w:szCs w:val="18"/>
        </w:rPr>
        <w:t xml:space="preserve"> </w:t>
      </w:r>
    </w:p>
  </w:footnote>
  <w:footnote w:id="58">
    <w:p w:rsidR="00164A6B" w:rsidRPr="009B5734" w:rsidRDefault="00164A6B" w:rsidP="00413F0A">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A “sweep” is a set of checks carried out simultaneously by national enforcement authorities to identify breaches of EU consumer law in a particular sector or area.</w:t>
      </w:r>
    </w:p>
  </w:footnote>
  <w:footnote w:id="59">
    <w:p w:rsidR="00164A6B" w:rsidRPr="009B5734" w:rsidRDefault="00164A6B" w:rsidP="003A7F1B">
      <w:pPr>
        <w:pStyle w:val="FootnoteText"/>
        <w:spacing w:after="0"/>
      </w:pPr>
      <w:r w:rsidRPr="009B5734">
        <w:rPr>
          <w:rStyle w:val="FootnoteReference"/>
        </w:rPr>
        <w:footnoteRef/>
      </w:r>
      <w:r w:rsidRPr="009B5734">
        <w:rPr>
          <w:sz w:val="18"/>
          <w:szCs w:val="18"/>
        </w:rPr>
        <w:t xml:space="preserve"> See: </w:t>
      </w:r>
      <w:r w:rsidRPr="00353CBE">
        <w:rPr>
          <w:i/>
          <w:sz w:val="18"/>
          <w:szCs w:val="18"/>
        </w:rPr>
        <w:t>2020 – sweep on mislead</w:t>
      </w:r>
      <w:r w:rsidRPr="00614BCC">
        <w:rPr>
          <w:i/>
          <w:sz w:val="18"/>
          <w:szCs w:val="18"/>
        </w:rPr>
        <w:t>ing sustainability claims,</w:t>
      </w:r>
      <w:r w:rsidRPr="00C84A99">
        <w:rPr>
          <w:rFonts w:ascii="Calibri" w:eastAsia="Calibri" w:hAnsi="Calibri" w:cs="Calibri"/>
          <w:i/>
          <w:sz w:val="18"/>
          <w:szCs w:val="18"/>
        </w:rPr>
        <w:t xml:space="preserve"> </w:t>
      </w:r>
      <w:r w:rsidRPr="009B5734">
        <w:rPr>
          <w:sz w:val="18"/>
          <w:szCs w:val="18"/>
        </w:rPr>
        <w:t xml:space="preserve">https://ec.europa.eu/info/live-work-travel-eu/consumer-rights-and-complaints/enforcement-consumer-protection/sweeps_en#2020-sweep-on-misleading-sustainability-claims </w:t>
      </w:r>
    </w:p>
  </w:footnote>
  <w:footnote w:id="60">
    <w:p w:rsidR="00164A6B" w:rsidRPr="009B5734" w:rsidRDefault="00164A6B" w:rsidP="00190355">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European Commission, </w:t>
      </w:r>
      <w:r w:rsidRPr="009B5734">
        <w:rPr>
          <w:i/>
          <w:sz w:val="18"/>
          <w:szCs w:val="18"/>
        </w:rPr>
        <w:t>Report on 2018-2019 stakeholder consultations regarding the potential future use of the Product and Organisation Environmental Footprint methods</w:t>
      </w:r>
      <w:r w:rsidRPr="009B5734">
        <w:rPr>
          <w:sz w:val="18"/>
          <w:szCs w:val="18"/>
        </w:rPr>
        <w:t>, 2020, p. 81.</w:t>
      </w:r>
    </w:p>
  </w:footnote>
  <w:footnote w:id="61">
    <w:p w:rsidR="00164A6B" w:rsidRPr="00014EB8" w:rsidRDefault="00164A6B" w:rsidP="00190355">
      <w:pPr>
        <w:pStyle w:val="FootnoteText"/>
        <w:spacing w:after="0"/>
        <w:ind w:left="0" w:firstLine="0"/>
        <w:rPr>
          <w:sz w:val="18"/>
        </w:rPr>
      </w:pPr>
      <w:r w:rsidRPr="009B5734">
        <w:rPr>
          <w:rStyle w:val="FootnoteReference"/>
          <w:sz w:val="18"/>
          <w:szCs w:val="18"/>
        </w:rPr>
        <w:footnoteRef/>
      </w:r>
      <w:r w:rsidRPr="009B5734">
        <w:rPr>
          <w:sz w:val="18"/>
          <w:szCs w:val="18"/>
        </w:rPr>
        <w:t xml:space="preserve"> Based on current wording of the UCPD.</w:t>
      </w:r>
    </w:p>
  </w:footnote>
  <w:footnote w:id="62">
    <w:p w:rsidR="00164A6B" w:rsidRPr="009B5734" w:rsidRDefault="00164A6B" w:rsidP="0011520C">
      <w:pPr>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Rubik, F. and Frankl, P., </w:t>
      </w:r>
      <w:r w:rsidRPr="009B5734">
        <w:rPr>
          <w:rFonts w:ascii="Times New Roman" w:hAnsi="Times New Roman" w:cs="Times New Roman"/>
          <w:i/>
          <w:sz w:val="18"/>
          <w:szCs w:val="18"/>
        </w:rPr>
        <w:t>The future of eco-labelling: Making environmental product information systems effective. Routledge</w:t>
      </w:r>
      <w:r w:rsidRPr="009B5734">
        <w:rPr>
          <w:rFonts w:ascii="Times New Roman" w:hAnsi="Times New Roman" w:cs="Times New Roman"/>
          <w:sz w:val="18"/>
          <w:szCs w:val="18"/>
        </w:rPr>
        <w:t>, 2017, p. 319</w:t>
      </w:r>
    </w:p>
  </w:footnote>
  <w:footnote w:id="63">
    <w:p w:rsidR="00164A6B" w:rsidRPr="009B5734" w:rsidRDefault="00164A6B" w:rsidP="0011520C">
      <w:pPr>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eastAsia="Times New Roman" w:hAnsi="Times New Roman" w:cs="Times New Roman"/>
          <w:sz w:val="18"/>
          <w:szCs w:val="18"/>
          <w:lang w:eastAsia="en-GB"/>
        </w:rPr>
        <w:t xml:space="preserve"> See Ecolabel Index: </w:t>
      </w:r>
      <w:r w:rsidRPr="009B5734">
        <w:rPr>
          <w:rFonts w:ascii="Times New Roman" w:eastAsia="Times New Roman" w:hAnsi="Times New Roman"/>
          <w:sz w:val="18"/>
          <w:szCs w:val="18"/>
          <w:lang w:eastAsia="en-GB"/>
        </w:rPr>
        <w:t>http://www.ecolabelindex.com/ecolabels/?st=region=europe</w:t>
      </w:r>
    </w:p>
  </w:footnote>
  <w:footnote w:id="64">
    <w:p w:rsidR="00164A6B" w:rsidRPr="009B5734" w:rsidRDefault="00164A6B" w:rsidP="0011520C">
      <w:pPr>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European Commission, </w:t>
      </w:r>
      <w:r w:rsidRPr="009B5734">
        <w:rPr>
          <w:rFonts w:ascii="Times New Roman" w:hAnsi="Times New Roman" w:cs="Times New Roman"/>
          <w:i/>
          <w:sz w:val="18"/>
          <w:szCs w:val="18"/>
        </w:rPr>
        <w:t>Consumer Market Study on the functioning of voluntary food labelling schemes for consumers in the European Union</w:t>
      </w:r>
      <w:r w:rsidRPr="009B5734">
        <w:rPr>
          <w:rFonts w:ascii="Times New Roman" w:hAnsi="Times New Roman" w:cs="Times New Roman"/>
          <w:sz w:val="18"/>
          <w:szCs w:val="18"/>
        </w:rPr>
        <w:t>, 2013, p. 57.</w:t>
      </w:r>
    </w:p>
  </w:footnote>
  <w:footnote w:id="65">
    <w:p w:rsidR="00164A6B" w:rsidRPr="009B5734" w:rsidRDefault="00164A6B" w:rsidP="0011520C">
      <w:pPr>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European Commission, </w:t>
      </w:r>
      <w:r w:rsidRPr="009B5734">
        <w:rPr>
          <w:rFonts w:ascii="Times New Roman" w:hAnsi="Times New Roman" w:cs="Times New Roman"/>
          <w:i/>
          <w:sz w:val="18"/>
          <w:szCs w:val="18"/>
        </w:rPr>
        <w:t>Technical assistance for assessing options to establish an EU-wide green label with a view to promote the use of renewable energy coming from new installations.</w:t>
      </w:r>
    </w:p>
  </w:footnote>
  <w:footnote w:id="66">
    <w:p w:rsidR="00164A6B" w:rsidRPr="00014EB8" w:rsidRDefault="00164A6B" w:rsidP="0011520C">
      <w:pPr>
        <w:rPr>
          <w:rFonts w:ascii="Times New Roman" w:hAnsi="Times New Roman"/>
          <w:sz w:val="18"/>
        </w:rPr>
      </w:pPr>
      <w:r w:rsidRPr="009B5734">
        <w:rPr>
          <w:rStyle w:val="FootnoteReference"/>
          <w:rFonts w:ascii="Times New Roman" w:hAnsi="Times New Roman" w:cs="Times New Roman"/>
          <w:sz w:val="18"/>
          <w:szCs w:val="18"/>
        </w:rPr>
        <w:footnoteRef/>
      </w:r>
      <w:r w:rsidRPr="00014EB8">
        <w:rPr>
          <w:rFonts w:ascii="Times New Roman" w:hAnsi="Times New Roman"/>
          <w:sz w:val="18"/>
        </w:rPr>
        <w:t xml:space="preserve"> </w:t>
      </w:r>
      <w:r w:rsidRPr="009B5734">
        <w:rPr>
          <w:rFonts w:ascii="Times New Roman" w:hAnsi="Times New Roman" w:cs="Times New Roman"/>
          <w:sz w:val="18"/>
          <w:szCs w:val="18"/>
        </w:rPr>
        <w:t xml:space="preserve">European Commission, </w:t>
      </w:r>
      <w:r w:rsidRPr="009B5734">
        <w:rPr>
          <w:rFonts w:ascii="Times New Roman" w:hAnsi="Times New Roman" w:cs="Times New Roman"/>
          <w:i/>
          <w:sz w:val="18"/>
          <w:szCs w:val="18"/>
        </w:rPr>
        <w:t>Consumer Market Study on Environmental claims for non-food products</w:t>
      </w:r>
      <w:r w:rsidRPr="009B5734">
        <w:rPr>
          <w:rFonts w:ascii="Times New Roman" w:hAnsi="Times New Roman" w:cs="Times New Roman"/>
          <w:sz w:val="18"/>
          <w:szCs w:val="18"/>
        </w:rPr>
        <w:t>, 2014, p. 28-29.</w:t>
      </w:r>
    </w:p>
  </w:footnote>
  <w:footnote w:id="67">
    <w:p w:rsidR="00164A6B" w:rsidRPr="009B5734" w:rsidRDefault="00164A6B" w:rsidP="0011520C">
      <w:pPr>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w:t>
      </w:r>
      <w:hyperlink r:id="rId12" w:history="1">
        <w:r w:rsidRPr="009B5734">
          <w:rPr>
            <w:rStyle w:val="Hyperlink"/>
            <w:rFonts w:ascii="Times New Roman" w:hAnsi="Times New Roman" w:cs="Times New Roman"/>
            <w:color w:val="auto"/>
            <w:sz w:val="18"/>
            <w:szCs w:val="18"/>
            <w:u w:val="none"/>
          </w:rPr>
          <w:t xml:space="preserve">Gruère, G, </w:t>
        </w:r>
        <w:r w:rsidRPr="009B5734">
          <w:rPr>
            <w:rStyle w:val="Hyperlink"/>
            <w:rFonts w:ascii="Times New Roman" w:hAnsi="Times New Roman" w:cs="Times New Roman"/>
            <w:i/>
            <w:color w:val="auto"/>
            <w:sz w:val="18"/>
            <w:szCs w:val="18"/>
            <w:u w:val="none"/>
          </w:rPr>
          <w:t>A Characterisation of Environmental Labelling and Information Schemes,</w:t>
        </w:r>
        <w:r w:rsidRPr="009B5734">
          <w:rPr>
            <w:rStyle w:val="Hyperlink"/>
            <w:rFonts w:ascii="Times New Roman" w:hAnsi="Times New Roman" w:cs="Times New Roman"/>
            <w:color w:val="auto"/>
            <w:sz w:val="18"/>
            <w:szCs w:val="18"/>
            <w:u w:val="none"/>
          </w:rPr>
          <w:t xml:space="preserve"> OECD Environmental Working Papers, Nº 62, OED Publishing Paris</w:t>
        </w:r>
      </w:hyperlink>
      <w:r w:rsidRPr="009B5734">
        <w:rPr>
          <w:rFonts w:ascii="Times New Roman" w:hAnsi="Times New Roman" w:cs="Times New Roman"/>
          <w:sz w:val="18"/>
          <w:szCs w:val="18"/>
        </w:rPr>
        <w:t>, 2013, p. 28-29.</w:t>
      </w:r>
    </w:p>
  </w:footnote>
  <w:footnote w:id="68">
    <w:p w:rsidR="00164A6B" w:rsidRPr="009B5734" w:rsidRDefault="00164A6B" w:rsidP="0011520C">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w:t>
      </w:r>
      <w:r w:rsidRPr="009B5734">
        <w:rPr>
          <w:rStyle w:val="Hyperlink"/>
          <w:rFonts w:ascii="Times New Roman" w:hAnsi="Times New Roman" w:cs="Times New Roman"/>
          <w:color w:val="auto"/>
          <w:sz w:val="18"/>
          <w:szCs w:val="18"/>
          <w:u w:val="none"/>
        </w:rPr>
        <w:t>European Commission, Consumer Market study on environmental claims for non-food products, 2014, p. 20.</w:t>
      </w:r>
    </w:p>
  </w:footnote>
  <w:footnote w:id="69">
    <w:p w:rsidR="00164A6B" w:rsidRPr="00014EB8" w:rsidRDefault="00164A6B" w:rsidP="00190355">
      <w:pPr>
        <w:pStyle w:val="FootnoteText"/>
        <w:spacing w:after="0"/>
        <w:ind w:left="0" w:firstLine="0"/>
        <w:rPr>
          <w:sz w:val="18"/>
        </w:rPr>
      </w:pPr>
      <w:r w:rsidRPr="009B5734">
        <w:rPr>
          <w:rStyle w:val="FootnoteReference"/>
          <w:sz w:val="18"/>
          <w:szCs w:val="18"/>
        </w:rPr>
        <w:footnoteRef/>
      </w:r>
      <w:r w:rsidRPr="009B5734">
        <w:rPr>
          <w:sz w:val="18"/>
          <w:szCs w:val="18"/>
        </w:rPr>
        <w:t xml:space="preserve"> In this case, the labels were assessed against the recommendations set out in European Commission, </w:t>
      </w:r>
      <w:r w:rsidRPr="009B5734">
        <w:rPr>
          <w:i/>
          <w:sz w:val="18"/>
          <w:szCs w:val="18"/>
        </w:rPr>
        <w:t>EU best practice guidelines for voluntary certification schemes for agricultural products and foodstuffs,</w:t>
      </w:r>
      <w:r w:rsidRPr="009B5734">
        <w:rPr>
          <w:sz w:val="18"/>
          <w:szCs w:val="18"/>
        </w:rPr>
        <w:t xml:space="preserve"> </w:t>
      </w:r>
      <w:r w:rsidRPr="00014EB8">
        <w:rPr>
          <w:sz w:val="18"/>
        </w:rPr>
        <w:t>2010.</w:t>
      </w:r>
    </w:p>
    <w:p w:rsidR="00164A6B" w:rsidRPr="009B5734" w:rsidRDefault="00164A6B" w:rsidP="00190355">
      <w:pPr>
        <w:pStyle w:val="FootnoteText"/>
        <w:spacing w:after="0"/>
        <w:ind w:left="0" w:firstLine="0"/>
        <w:rPr>
          <w:sz w:val="18"/>
          <w:szCs w:val="18"/>
        </w:rPr>
      </w:pPr>
      <w:r w:rsidRPr="009B5734">
        <w:rPr>
          <w:sz w:val="18"/>
          <w:szCs w:val="18"/>
        </w:rPr>
        <w:t xml:space="preserve">See European Commission, </w:t>
      </w:r>
      <w:r w:rsidRPr="009B5734">
        <w:rPr>
          <w:i/>
          <w:sz w:val="18"/>
          <w:szCs w:val="18"/>
        </w:rPr>
        <w:t>Consumer Market Study on Environmental claims for non-food products</w:t>
      </w:r>
      <w:r w:rsidRPr="009B5734">
        <w:rPr>
          <w:sz w:val="18"/>
          <w:szCs w:val="18"/>
        </w:rPr>
        <w:t xml:space="preserve">, 2014, p. 80. </w:t>
      </w:r>
    </w:p>
  </w:footnote>
  <w:footnote w:id="70">
    <w:p w:rsidR="00164A6B" w:rsidRPr="009B5734" w:rsidRDefault="00164A6B" w:rsidP="00353CBE">
      <w:r w:rsidRPr="009B5734">
        <w:rPr>
          <w:rStyle w:val="FootnoteReference"/>
        </w:rPr>
        <w:footnoteRef/>
      </w:r>
      <w:r w:rsidRPr="3533D203">
        <w:t xml:space="preserve"> </w:t>
      </w:r>
      <w:r w:rsidRPr="00353CBE">
        <w:rPr>
          <w:rFonts w:ascii="Times New Roman" w:eastAsia="Times New Roman" w:hAnsi="Times New Roman" w:cs="Times New Roman"/>
          <w:sz w:val="18"/>
          <w:szCs w:val="18"/>
        </w:rPr>
        <w:t xml:space="preserve">European Commission, Impact Assessment supporting study: </w:t>
      </w:r>
      <w:r w:rsidRPr="00614BCC">
        <w:rPr>
          <w:rFonts w:ascii="Times New Roman" w:eastAsia="Times New Roman" w:hAnsi="Times New Roman" w:cs="Times New Roman"/>
          <w:i/>
          <w:sz w:val="18"/>
          <w:szCs w:val="18"/>
        </w:rPr>
        <w:t>Study on Empowering Consumers Towards the Green Transition</w:t>
      </w:r>
      <w:r w:rsidRPr="00C84A99">
        <w:rPr>
          <w:rFonts w:ascii="Times New Roman" w:eastAsia="Times New Roman" w:hAnsi="Times New Roman" w:cs="Times New Roman"/>
          <w:sz w:val="18"/>
          <w:szCs w:val="18"/>
        </w:rPr>
        <w:t>, July 2021, Annex 8 section 4.1.</w:t>
      </w:r>
    </w:p>
  </w:footnote>
  <w:footnote w:id="71">
    <w:p w:rsidR="00164A6B" w:rsidRPr="009B5734" w:rsidRDefault="00164A6B">
      <w:pPr>
        <w:pStyle w:val="FootnoteText"/>
      </w:pPr>
      <w:r w:rsidRPr="009B5734">
        <w:rPr>
          <w:rStyle w:val="FootnoteReference"/>
        </w:rPr>
        <w:footnoteRef/>
      </w:r>
      <w:r w:rsidRPr="009B5734">
        <w:t xml:space="preserve"> </w:t>
      </w:r>
      <w:r w:rsidRPr="009B5734">
        <w:rPr>
          <w:sz w:val="18"/>
          <w:szCs w:val="18"/>
        </w:rPr>
        <w:t xml:space="preserve">Behavioural failure was not considered as an important driver behind the identified problems. This Impact Assessment was fed by the data and findings of recent behavioural studies, further described in </w:t>
      </w:r>
      <w:hyperlink w:anchor="_Annex_12:_Consequences_1" w:history="1">
        <w:r w:rsidRPr="009B5734">
          <w:rPr>
            <w:rStyle w:val="Hyperlink"/>
            <w:sz w:val="18"/>
            <w:szCs w:val="18"/>
          </w:rPr>
          <w:t>Annex 12</w:t>
        </w:r>
      </w:hyperlink>
      <w:r w:rsidRPr="009B5734">
        <w:rPr>
          <w:sz w:val="18"/>
          <w:szCs w:val="18"/>
        </w:rPr>
        <w:t xml:space="preserve">. </w:t>
      </w:r>
    </w:p>
  </w:footnote>
  <w:footnote w:id="72">
    <w:p w:rsidR="00164A6B" w:rsidRPr="009B5734" w:rsidRDefault="00164A6B" w:rsidP="00190355">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w:t>
      </w:r>
      <w:hyperlink r:id="rId13" w:history="1">
        <w:r w:rsidRPr="009B5734">
          <w:rPr>
            <w:rStyle w:val="Hyperlink"/>
            <w:color w:val="auto"/>
            <w:sz w:val="18"/>
            <w:szCs w:val="18"/>
            <w:u w:val="none"/>
          </w:rPr>
          <w:t>European</w:t>
        </w:r>
      </w:hyperlink>
      <w:r w:rsidRPr="009B5734">
        <w:rPr>
          <w:rStyle w:val="Hyperlink"/>
          <w:color w:val="auto"/>
          <w:sz w:val="18"/>
          <w:szCs w:val="18"/>
          <w:u w:val="none"/>
        </w:rPr>
        <w:t xml:space="preserve"> Commission, </w:t>
      </w:r>
      <w:r w:rsidRPr="009B5734">
        <w:rPr>
          <w:rStyle w:val="Hyperlink"/>
          <w:i/>
          <w:color w:val="auto"/>
          <w:sz w:val="18"/>
          <w:szCs w:val="18"/>
          <w:u w:val="none"/>
        </w:rPr>
        <w:t>Links between production, the environment and environmental policy</w:t>
      </w:r>
      <w:r w:rsidRPr="009B5734">
        <w:rPr>
          <w:sz w:val="18"/>
          <w:szCs w:val="18"/>
        </w:rPr>
        <w:t>, 2019.</w:t>
      </w:r>
    </w:p>
  </w:footnote>
  <w:footnote w:id="73">
    <w:p w:rsidR="00164A6B" w:rsidRPr="009B5734" w:rsidRDefault="00164A6B" w:rsidP="00190355">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Such as the voluntary EU Ecolabel under Regulation (EC) No 66/2010</w:t>
      </w:r>
    </w:p>
  </w:footnote>
  <w:footnote w:id="74">
    <w:p w:rsidR="00164A6B" w:rsidRPr="009B5734" w:rsidRDefault="00164A6B" w:rsidP="00190355">
      <w:pPr>
        <w:ind w:left="0" w:firstLine="0"/>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w:t>
      </w:r>
      <w:r w:rsidRPr="009B5734">
        <w:rPr>
          <w:rFonts w:ascii="Times New Roman" w:eastAsia="Times New Roman" w:hAnsi="Times New Roman" w:cs="Times New Roman"/>
          <w:sz w:val="18"/>
          <w:szCs w:val="18"/>
          <w:lang w:eastAsia="en-GB"/>
        </w:rPr>
        <w:t xml:space="preserve">For example, via the implementing rules for specific categories of energy-related products under Energy Labelling Regulation (EU) 2017/1369 and the Eco-design Framework Directive 2009/125/EC; for CO2 emission and fuel efficiency for cars under the Car labelling Directive 1999/94/EC. </w:t>
      </w:r>
    </w:p>
  </w:footnote>
  <w:footnote w:id="75">
    <w:p w:rsidR="00164A6B" w:rsidRPr="009B5734" w:rsidRDefault="00164A6B" w:rsidP="00190355">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w:t>
      </w:r>
      <w:hyperlink w:anchor="_Annex_6:_Overview_1" w:history="1">
        <w:r w:rsidRPr="009B5734">
          <w:rPr>
            <w:rStyle w:val="Hyperlink"/>
            <w:sz w:val="18"/>
            <w:szCs w:val="18"/>
          </w:rPr>
          <w:t>Annex 6</w:t>
        </w:r>
      </w:hyperlink>
      <w:r w:rsidRPr="009B5734">
        <w:rPr>
          <w:sz w:val="18"/>
          <w:szCs w:val="18"/>
        </w:rPr>
        <w:t xml:space="preserve"> presents relevant existing EU legislation on, the type of sustainability information they provide for and the products concerned. </w:t>
      </w:r>
    </w:p>
  </w:footnote>
  <w:footnote w:id="76">
    <w:p w:rsidR="00164A6B" w:rsidRPr="009B5734" w:rsidRDefault="00164A6B" w:rsidP="00190355">
      <w:pPr>
        <w:pStyle w:val="FootnoteText"/>
        <w:spacing w:after="0"/>
        <w:ind w:left="0" w:firstLine="0"/>
        <w:rPr>
          <w:sz w:val="18"/>
          <w:szCs w:val="18"/>
        </w:rPr>
      </w:pPr>
      <w:r w:rsidRPr="009B5734">
        <w:rPr>
          <w:rStyle w:val="FootnoteReference"/>
          <w:sz w:val="18"/>
          <w:szCs w:val="18"/>
        </w:rPr>
        <w:footnoteRef/>
      </w:r>
      <w:r w:rsidRPr="009B5734">
        <w:rPr>
          <w:rStyle w:val="FootnoteReference"/>
          <w:sz w:val="18"/>
          <w:szCs w:val="18"/>
        </w:rPr>
        <w:t xml:space="preserve"> </w:t>
      </w:r>
      <w:r w:rsidRPr="009B5734">
        <w:rPr>
          <w:sz w:val="18"/>
          <w:szCs w:val="18"/>
        </w:rPr>
        <w:t xml:space="preserve">J. </w:t>
      </w:r>
      <w:r w:rsidRPr="005D24D2">
        <w:rPr>
          <w:sz w:val="18"/>
          <w:szCs w:val="18"/>
        </w:rPr>
        <w:t xml:space="preserve">Guiltinan, </w:t>
      </w:r>
      <w:r w:rsidRPr="005D24D2">
        <w:rPr>
          <w:i/>
          <w:iCs/>
          <w:sz w:val="18"/>
          <w:szCs w:val="18"/>
        </w:rPr>
        <w:t>Creative Destruction and Destructive Creations: Environmental Ethics and Planned Obsolescence</w:t>
      </w:r>
      <w:r w:rsidRPr="005D24D2">
        <w:rPr>
          <w:sz w:val="18"/>
          <w:szCs w:val="18"/>
        </w:rPr>
        <w:t>, 2009, p. 21</w:t>
      </w:r>
      <w:r w:rsidRPr="009B5734">
        <w:rPr>
          <w:sz w:val="18"/>
          <w:szCs w:val="18"/>
        </w:rPr>
        <w:t>.</w:t>
      </w:r>
    </w:p>
  </w:footnote>
  <w:footnote w:id="77">
    <w:p w:rsidR="00164A6B" w:rsidRPr="00014EB8" w:rsidRDefault="00164A6B" w:rsidP="00190355">
      <w:pPr>
        <w:pStyle w:val="FootnoteText"/>
        <w:spacing w:after="0"/>
        <w:ind w:left="0" w:firstLine="0"/>
        <w:rPr>
          <w:sz w:val="18"/>
        </w:rPr>
      </w:pPr>
      <w:r w:rsidRPr="009B5734">
        <w:rPr>
          <w:rStyle w:val="FootnoteReference"/>
          <w:sz w:val="18"/>
          <w:szCs w:val="18"/>
        </w:rPr>
        <w:footnoteRef/>
      </w:r>
      <w:r w:rsidRPr="009B5734">
        <w:rPr>
          <w:sz w:val="18"/>
          <w:szCs w:val="18"/>
        </w:rPr>
        <w:t xml:space="preserve"> Environmental claims on food and feed that are misleading can also be prohibited respectively by Regulation (EU) No 1169/2011 on the provision of food information to consumers and Regulation (EU) No 767/2009 on the placing on the market of feed.</w:t>
      </w:r>
    </w:p>
  </w:footnote>
  <w:footnote w:id="78">
    <w:p w:rsidR="00164A6B" w:rsidRPr="009B5734" w:rsidRDefault="00164A6B" w:rsidP="00190355">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See </w:t>
      </w:r>
      <w:hyperlink w:anchor="_Annex_6:_Overview_1" w:history="1">
        <w:r w:rsidRPr="009B5734">
          <w:rPr>
            <w:rStyle w:val="Hyperlink"/>
            <w:sz w:val="18"/>
            <w:szCs w:val="18"/>
          </w:rPr>
          <w:t xml:space="preserve">Annex 6. </w:t>
        </w:r>
      </w:hyperlink>
      <w:r w:rsidRPr="009B5734">
        <w:rPr>
          <w:sz w:val="18"/>
          <w:szCs w:val="18"/>
        </w:rPr>
        <w:t xml:space="preserve"> </w:t>
      </w:r>
    </w:p>
  </w:footnote>
  <w:footnote w:id="79">
    <w:p w:rsidR="00164A6B" w:rsidRPr="00014EB8" w:rsidRDefault="00164A6B" w:rsidP="00E31330">
      <w:pPr>
        <w:pStyle w:val="FootnoteText"/>
        <w:spacing w:after="0"/>
      </w:pPr>
      <w:r w:rsidRPr="009B5734">
        <w:rPr>
          <w:rStyle w:val="FootnoteReference"/>
        </w:rPr>
        <w:footnoteRef/>
      </w:r>
      <w:r w:rsidRPr="009B5734">
        <w:t xml:space="preserve"> </w:t>
      </w:r>
      <w:r w:rsidRPr="00014EB8">
        <w:rPr>
          <w:sz w:val="18"/>
        </w:rPr>
        <w:t>Regulation (EU) 2017/2394 of the European Parliament and of the Council of 12 December 2017 on cooperation between national authorities responsible for the enforcement of consumer protection laws and repealing Regulation (EC) No 2006/2004</w:t>
      </w:r>
    </w:p>
  </w:footnote>
  <w:footnote w:id="80">
    <w:p w:rsidR="00164A6B" w:rsidRPr="00014EB8" w:rsidRDefault="00164A6B" w:rsidP="0033317F">
      <w:pPr>
        <w:pStyle w:val="FootnoteText"/>
        <w:spacing w:after="0"/>
        <w:ind w:left="0" w:firstLine="0"/>
        <w:rPr>
          <w:sz w:val="18"/>
        </w:rPr>
      </w:pPr>
      <w:r w:rsidRPr="009B5734">
        <w:rPr>
          <w:rStyle w:val="FootnoteReference"/>
          <w:sz w:val="18"/>
          <w:szCs w:val="18"/>
        </w:rPr>
        <w:footnoteRef/>
      </w:r>
      <w:r w:rsidRPr="009B5734">
        <w:rPr>
          <w:sz w:val="18"/>
          <w:szCs w:val="18"/>
        </w:rPr>
        <w:t xml:space="preserve"> </w:t>
      </w:r>
      <w:r w:rsidRPr="00014EB8">
        <w:rPr>
          <w:sz w:val="18"/>
        </w:rPr>
        <w:t xml:space="preserve">SWD(2017) 209 final, page 73. </w:t>
      </w:r>
    </w:p>
  </w:footnote>
  <w:footnote w:id="81">
    <w:p w:rsidR="00164A6B" w:rsidRPr="00014EB8" w:rsidRDefault="00164A6B" w:rsidP="003A7F1B">
      <w:pPr>
        <w:pStyle w:val="FootnoteText"/>
        <w:spacing w:after="0"/>
      </w:pPr>
      <w:r w:rsidRPr="009B5734">
        <w:rPr>
          <w:rStyle w:val="FootnoteReference"/>
        </w:rPr>
        <w:footnoteRef/>
      </w:r>
      <w:r w:rsidRPr="009B5734">
        <w:t xml:space="preserve"> </w:t>
      </w:r>
      <w:r w:rsidRPr="00014EB8">
        <w:rPr>
          <w:sz w:val="18"/>
        </w:rPr>
        <w:t>Directive (EU) 2019/2161 of the European Parliament and of the Council of 27 November 2019 amending Council Directive 93/13/EEC and Directives 98/6/EC, 2005/29/EC and 2011/83/EU of the European Parliament and of the Council as regards the better enforcement and modernisation of Union consumer protection rules</w:t>
      </w:r>
    </w:p>
  </w:footnote>
  <w:footnote w:id="82">
    <w:p w:rsidR="00164A6B" w:rsidRPr="00014EB8" w:rsidRDefault="00164A6B" w:rsidP="003A7F1B">
      <w:pPr>
        <w:pStyle w:val="FootnoteText"/>
        <w:spacing w:after="0"/>
      </w:pPr>
      <w:r w:rsidRPr="009B5734">
        <w:rPr>
          <w:rStyle w:val="FootnoteReference"/>
        </w:rPr>
        <w:footnoteRef/>
      </w:r>
      <w:r w:rsidRPr="009B5734">
        <w:t xml:space="preserve"> </w:t>
      </w:r>
      <w:r w:rsidRPr="00014EB8">
        <w:rPr>
          <w:sz w:val="18"/>
        </w:rPr>
        <w:t>Directive (EU) 2020/1828 of the European Parliament and of the Council of 25 November 2020 on representative actions for the protection of the collective interests of consumers and repealing Directive 2009/22/EC</w:t>
      </w:r>
    </w:p>
  </w:footnote>
  <w:footnote w:id="83">
    <w:p w:rsidR="00164A6B" w:rsidRPr="00014EB8" w:rsidRDefault="00164A6B" w:rsidP="003A7F1B">
      <w:pPr>
        <w:pStyle w:val="FootnoteText"/>
        <w:spacing w:after="0"/>
      </w:pPr>
      <w:r w:rsidRPr="009B5734">
        <w:rPr>
          <w:rStyle w:val="FootnoteReference"/>
        </w:rPr>
        <w:footnoteRef/>
      </w:r>
      <w:r w:rsidRPr="009B5734">
        <w:t xml:space="preserve"> </w:t>
      </w:r>
      <w:r w:rsidRPr="00014EB8">
        <w:rPr>
          <w:sz w:val="18"/>
        </w:rPr>
        <w:t>Regulation (EU) 2017/2394 of the European Parliament and of the Council of 12 December 2017 on cooperation between national authorities responsible for the enforcement of consumer protection laws and repealing Regulation (EC) No 2006/2004</w:t>
      </w:r>
    </w:p>
  </w:footnote>
  <w:footnote w:id="84">
    <w:p w:rsidR="00164A6B" w:rsidRPr="00014EB8" w:rsidRDefault="00164A6B">
      <w:pPr>
        <w:pStyle w:val="FootnoteText"/>
        <w:spacing w:after="0"/>
        <w:ind w:left="0" w:firstLine="0"/>
        <w:rPr>
          <w:sz w:val="18"/>
        </w:rPr>
      </w:pPr>
      <w:r w:rsidRPr="009B5734">
        <w:rPr>
          <w:rStyle w:val="FootnoteReference"/>
          <w:sz w:val="18"/>
          <w:szCs w:val="18"/>
        </w:rPr>
        <w:footnoteRef/>
      </w:r>
      <w:r w:rsidRPr="009B5734">
        <w:rPr>
          <w:sz w:val="18"/>
          <w:szCs w:val="18"/>
        </w:rPr>
        <w:t xml:space="preserve"> </w:t>
      </w:r>
      <w:r w:rsidRPr="00014EB8">
        <w:rPr>
          <w:sz w:val="18"/>
        </w:rPr>
        <w:t>COM/2019/640 final, 11 December 2019.</w:t>
      </w:r>
    </w:p>
  </w:footnote>
  <w:footnote w:id="85">
    <w:p w:rsidR="00164A6B" w:rsidRPr="009B5734" w:rsidRDefault="00164A6B" w:rsidP="0011520C">
      <w:pPr>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New requirements on the reparability of appliances have been introduced in t</w:t>
      </w:r>
      <w:r>
        <w:rPr>
          <w:rFonts w:ascii="Times New Roman" w:hAnsi="Times New Roman" w:cs="Times New Roman"/>
          <w:sz w:val="18"/>
          <w:szCs w:val="18"/>
        </w:rPr>
        <w:t>hese ecodesign</w:t>
      </w:r>
      <w:r w:rsidRPr="009B5734">
        <w:rPr>
          <w:rFonts w:ascii="Times New Roman" w:hAnsi="Times New Roman" w:cs="Times New Roman"/>
          <w:sz w:val="18"/>
          <w:szCs w:val="18"/>
        </w:rPr>
        <w:t xml:space="preserve"> measures: availability of spare parts, easy replaceability and access to repair and maintenance information for professional repairers have been introduced for refrigerating appliances, household dishwashers, household washing machines and household washer-dryers, electronic displays and refrigerating appliances with a direct sales function. Also, consumer’s access to user instructions is expected to improve in the form of a user manual on a free access website of the manufacturer.</w:t>
      </w:r>
    </w:p>
  </w:footnote>
  <w:footnote w:id="86">
    <w:p w:rsidR="00164A6B" w:rsidRPr="009B5734" w:rsidRDefault="00164A6B" w:rsidP="0011520C">
      <w:pPr>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See link for an example of a recently launched case by different consumer organisations: </w:t>
      </w:r>
      <w:hyperlink r:id="rId14" w:history="1">
        <w:r w:rsidRPr="009B5734">
          <w:rPr>
            <w:rStyle w:val="Hyperlink"/>
            <w:rFonts w:ascii="Times New Roman" w:hAnsi="Times New Roman" w:cs="Times New Roman"/>
            <w:sz w:val="18"/>
            <w:szCs w:val="18"/>
          </w:rPr>
          <w:t>https://www.test-achats.be/action/espace-presse/communiques-de-presse/2020/class-action-apple</w:t>
        </w:r>
      </w:hyperlink>
      <w:r w:rsidRPr="009B5734">
        <w:rPr>
          <w:rFonts w:ascii="Times New Roman" w:hAnsi="Times New Roman" w:cs="Times New Roman"/>
          <w:sz w:val="18"/>
          <w:szCs w:val="18"/>
        </w:rPr>
        <w:t xml:space="preserve">  </w:t>
      </w:r>
    </w:p>
  </w:footnote>
  <w:footnote w:id="87">
    <w:p w:rsidR="00164A6B" w:rsidRPr="009B5734" w:rsidRDefault="00164A6B" w:rsidP="7F52AB9A">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w:t>
      </w:r>
      <w:r w:rsidRPr="00353CBE">
        <w:rPr>
          <w:rFonts w:ascii="Times New Roman" w:eastAsia="Times New Roman" w:hAnsi="Times New Roman" w:cs="Times New Roman"/>
          <w:sz w:val="18"/>
          <w:szCs w:val="18"/>
        </w:rPr>
        <w:t xml:space="preserve">See: </w:t>
      </w:r>
      <w:r w:rsidRPr="00614BCC">
        <w:rPr>
          <w:rFonts w:ascii="Times New Roman" w:eastAsia="Times New Roman" w:hAnsi="Times New Roman" w:cs="Times New Roman"/>
          <w:i/>
          <w:sz w:val="18"/>
          <w:szCs w:val="18"/>
        </w:rPr>
        <w:t xml:space="preserve">2020 – sweep on misleading sustainability claims, </w:t>
      </w:r>
      <w:hyperlink r:id="rId15" w:history="1">
        <w:r w:rsidRPr="009B5734">
          <w:rPr>
            <w:rStyle w:val="Hyperlink"/>
            <w:rFonts w:ascii="Times New Roman" w:hAnsi="Times New Roman" w:cs="Times New Roman"/>
            <w:sz w:val="18"/>
            <w:szCs w:val="18"/>
          </w:rPr>
          <w:t>https://ec.europa.eu/commission/presscorner/detail/en/ip_21_269</w:t>
        </w:r>
      </w:hyperlink>
      <w:r w:rsidRPr="009B5734">
        <w:rPr>
          <w:rFonts w:ascii="Times New Roman" w:hAnsi="Times New Roman" w:cs="Times New Roman"/>
          <w:sz w:val="18"/>
          <w:szCs w:val="18"/>
        </w:rPr>
        <w:t xml:space="preserve"> </w:t>
      </w:r>
    </w:p>
  </w:footnote>
  <w:footnote w:id="88">
    <w:p w:rsidR="00164A6B" w:rsidRPr="009B5734" w:rsidRDefault="00164A6B" w:rsidP="0011520C">
      <w:pPr>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Please see Sections 7.2.1, 7.2.2 and 7.2.3 of the Study accompanying this Impact Assessment for further analysis and justification of this decision.</w:t>
      </w:r>
    </w:p>
  </w:footnote>
  <w:footnote w:id="89">
    <w:p w:rsidR="00164A6B" w:rsidRPr="009B5734" w:rsidRDefault="00164A6B" w:rsidP="0011520C">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As under the current Ecodesign Directive, the future SPI working plans will set out the priorities and timelines for the adoption of product-specific rules.</w:t>
      </w:r>
    </w:p>
  </w:footnote>
  <w:footnote w:id="90">
    <w:p w:rsidR="00164A6B" w:rsidRPr="00AB7BD8" w:rsidRDefault="00164A6B" w:rsidP="00AB7BD8">
      <w:pPr>
        <w:pStyle w:val="FootnoteText"/>
        <w:spacing w:after="0"/>
        <w:ind w:left="0" w:firstLine="0"/>
        <w:rPr>
          <w:sz w:val="18"/>
          <w:szCs w:val="18"/>
        </w:rPr>
      </w:pPr>
      <w:r>
        <w:rPr>
          <w:rStyle w:val="FootnoteReference"/>
        </w:rPr>
        <w:footnoteRef/>
      </w:r>
      <w:r>
        <w:t xml:space="preserve"> </w:t>
      </w:r>
      <w:r w:rsidRPr="00353CBE">
        <w:rPr>
          <w:sz w:val="18"/>
          <w:szCs w:val="18"/>
        </w:rPr>
        <w:t>See EU Green Consumption Pledge Initiative,</w:t>
      </w:r>
    </w:p>
    <w:p w:rsidR="00164A6B" w:rsidRPr="00AB7BD8" w:rsidRDefault="00164A6B" w:rsidP="00AB7BD8">
      <w:pPr>
        <w:pStyle w:val="FootnoteText"/>
        <w:spacing w:after="0"/>
        <w:ind w:left="0" w:firstLine="0"/>
        <w:rPr>
          <w:sz w:val="18"/>
          <w:szCs w:val="18"/>
        </w:rPr>
      </w:pPr>
      <w:r w:rsidRPr="00AB7BD8">
        <w:rPr>
          <w:sz w:val="18"/>
          <w:szCs w:val="18"/>
        </w:rPr>
        <w:t>https://ec.europa.eu/info/policies/consumers/consumer-protection/green-consumption-pledge-initiative_en</w:t>
      </w:r>
    </w:p>
  </w:footnote>
  <w:footnote w:id="91">
    <w:p w:rsidR="00164A6B" w:rsidRPr="009B5734" w:rsidRDefault="00164A6B" w:rsidP="00190355">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See </w:t>
      </w:r>
      <w:hyperlink w:anchor="_Annex_2:_Stakeholder_1" w:history="1">
        <w:r w:rsidRPr="009B5734">
          <w:rPr>
            <w:rStyle w:val="Hyperlink"/>
            <w:sz w:val="18"/>
            <w:szCs w:val="18"/>
          </w:rPr>
          <w:t>Annex 2</w:t>
        </w:r>
      </w:hyperlink>
      <w:r w:rsidRPr="009B5734">
        <w:rPr>
          <w:sz w:val="18"/>
          <w:szCs w:val="18"/>
        </w:rPr>
        <w:t xml:space="preserve"> for a description of consultation activities including the Inception Impact Assessment, Open Public Consultation, stakeholder and expert workshops as well as meeting with CPC authorities.</w:t>
      </w:r>
    </w:p>
  </w:footnote>
  <w:footnote w:id="92">
    <w:p w:rsidR="00164A6B" w:rsidRPr="009B5734" w:rsidRDefault="00164A6B" w:rsidP="0011520C">
      <w:pPr>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In this case, the trader would need to qualify the duration with an explicit indication of the intensity (e.g. assuming 3 washing cycles or 3 hours of use per week).</w:t>
      </w:r>
    </w:p>
  </w:footnote>
  <w:footnote w:id="93">
    <w:p w:rsidR="00164A6B" w:rsidRPr="009B5734" w:rsidRDefault="00164A6B" w:rsidP="0011520C">
      <w:pPr>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For example, such as the French Durability index which is planned to be introduced from 2024 onwards, in accordance with the French Circular Economy Law 2020.</w:t>
      </w:r>
    </w:p>
  </w:footnote>
  <w:footnote w:id="94">
    <w:p w:rsidR="00164A6B" w:rsidRPr="009B5734" w:rsidRDefault="00164A6B" w:rsidP="0011520C">
      <w:pPr>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A harmonised standard is a European standard developed by a recognised European Standards Organisation. It is created following a request from the European Commission to one of these organisations. Manufacturers, other economic operators, or conformity assessment bodies can use harmonised standards to demonstrate that products, services, or processes comply with relevant EU legislation. https://ec.europa.eu/growth/single-market/european-standards/harmonised-standards_en</w:t>
      </w:r>
    </w:p>
  </w:footnote>
  <w:footnote w:id="95">
    <w:p w:rsidR="00164A6B" w:rsidRPr="009B5734" w:rsidRDefault="00164A6B" w:rsidP="0011520C">
      <w:pPr>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For details on the assessment of the impacts of different potential product scopes, see </w:t>
      </w:r>
      <w:hyperlink w:anchor="_Annex_13:_Analysis" w:history="1">
        <w:r w:rsidRPr="009B5734">
          <w:rPr>
            <w:rStyle w:val="Hyperlink"/>
            <w:rFonts w:ascii="Times New Roman" w:hAnsi="Times New Roman" w:cs="Times New Roman"/>
            <w:sz w:val="18"/>
            <w:szCs w:val="18"/>
          </w:rPr>
          <w:t>Annex 13</w:t>
        </w:r>
      </w:hyperlink>
      <w:r w:rsidRPr="009B5734">
        <w:rPr>
          <w:rFonts w:ascii="Times New Roman" w:hAnsi="Times New Roman" w:cs="Times New Roman"/>
          <w:sz w:val="18"/>
          <w:szCs w:val="18"/>
        </w:rPr>
        <w:t xml:space="preserve"> “Analysis of product scope for providing durability/reparability information”</w:t>
      </w:r>
    </w:p>
  </w:footnote>
  <w:footnote w:id="96">
    <w:p w:rsidR="00164A6B" w:rsidRPr="009B5734" w:rsidRDefault="00164A6B" w:rsidP="0011520C">
      <w:pPr>
        <w:rPr>
          <w:lang w:eastAsia="en-GB"/>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w:t>
      </w:r>
      <w:r w:rsidRPr="009B5734">
        <w:rPr>
          <w:rFonts w:ascii="Times New Roman" w:hAnsi="Times New Roman" w:cs="Times New Roman"/>
          <w:sz w:val="18"/>
          <w:szCs w:val="18"/>
          <w:lang w:eastAsia="en-GB"/>
        </w:rPr>
        <w:t>In accordance with the Sale of Goods Directive (SGD), a ‘producer’s commercial guarantee of durability’ means any undertaking by a producer (the guarantor) to the consumer, in addition to the seller’s legal obligation relating to the guarantee of conformity (legal guarantee), to replace or repair the goods  in accordance with Article 14 of SGD (i.e. free of charge, within a reasonable period, without any significant inconvenience to the consumer…) if these goods have not been able to maintain their required functions and performance through normal use</w:t>
      </w:r>
      <w:r>
        <w:rPr>
          <w:rFonts w:ascii="Times New Roman" w:hAnsi="Times New Roman" w:cs="Times New Roman"/>
          <w:sz w:val="18"/>
          <w:szCs w:val="18"/>
          <w:lang w:eastAsia="en-GB"/>
        </w:rPr>
        <w:t>.</w:t>
      </w:r>
    </w:p>
  </w:footnote>
  <w:footnote w:id="97">
    <w:p w:rsidR="00164A6B" w:rsidRPr="009B5734" w:rsidRDefault="00164A6B" w:rsidP="00190355">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‘Goods with digital elements:’ any tangible movable items that incorporate or are inter-connected with digital content or a digital service in such a way that the absence of that digital content or digital service would prevent the goods from performing their functions (‘goods with digital elements’)</w:t>
      </w:r>
      <w:r>
        <w:rPr>
          <w:sz w:val="18"/>
          <w:szCs w:val="18"/>
        </w:rPr>
        <w:t>.</w:t>
      </w:r>
    </w:p>
  </w:footnote>
  <w:footnote w:id="98">
    <w:p w:rsidR="00164A6B" w:rsidRPr="009B5734" w:rsidRDefault="00164A6B" w:rsidP="00190355">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‘Digital content’ means data which are produced and supplied in digital form;(2) ‘digital service’ means:(a) a service that allows the consumer to create, process, store or access data in digital form; or (b) a service that allows the sharing of or any other interaction with data in digital form uploaded or created by the consumer or other users of that service.</w:t>
      </w:r>
    </w:p>
  </w:footnote>
  <w:footnote w:id="99">
    <w:p w:rsidR="00164A6B" w:rsidRPr="009B5734" w:rsidRDefault="00164A6B" w:rsidP="0011520C">
      <w:pPr>
        <w:rPr>
          <w:rFonts w:ascii="Times New Roman" w:hAnsi="Times New Roman" w:cs="Times New Roman"/>
          <w:sz w:val="18"/>
          <w:szCs w:val="18"/>
        </w:rPr>
      </w:pPr>
      <w:r w:rsidRPr="009B5734">
        <w:rPr>
          <w:rStyle w:val="FootnoteReference"/>
        </w:rPr>
        <w:footnoteRef/>
      </w:r>
      <w:r w:rsidRPr="009B5734">
        <w:t xml:space="preserve"> </w:t>
      </w:r>
      <w:r w:rsidRPr="009B5734">
        <w:rPr>
          <w:rFonts w:ascii="Times New Roman" w:hAnsi="Times New Roman" w:cs="Times New Roman"/>
          <w:sz w:val="18"/>
          <w:szCs w:val="18"/>
        </w:rPr>
        <w:t xml:space="preserve">For details on the assessment of the impacts of different potential product scopes, see </w:t>
      </w:r>
      <w:hyperlink w:anchor="_Annex_13:_Analysis" w:history="1">
        <w:r w:rsidRPr="009B5734">
          <w:rPr>
            <w:rStyle w:val="Hyperlink"/>
            <w:rFonts w:ascii="Times New Roman" w:hAnsi="Times New Roman" w:cs="Times New Roman"/>
            <w:sz w:val="18"/>
            <w:szCs w:val="18"/>
          </w:rPr>
          <w:t>Annex 13</w:t>
        </w:r>
      </w:hyperlink>
      <w:r w:rsidRPr="009B5734">
        <w:rPr>
          <w:rFonts w:ascii="Times New Roman" w:hAnsi="Times New Roman" w:cs="Times New Roman"/>
          <w:sz w:val="18"/>
          <w:szCs w:val="18"/>
        </w:rPr>
        <w:t xml:space="preserve"> “Analysis of product scope for providing durability/reparability information”.</w:t>
      </w:r>
    </w:p>
  </w:footnote>
  <w:footnote w:id="100">
    <w:p w:rsidR="00164A6B" w:rsidRPr="009B5734" w:rsidRDefault="00164A6B" w:rsidP="0011520C">
      <w:r w:rsidRPr="009B5734">
        <w:rPr>
          <w:rStyle w:val="FootnoteReference"/>
          <w:sz w:val="18"/>
          <w:szCs w:val="18"/>
        </w:rPr>
        <w:footnoteRef/>
      </w:r>
      <w:r w:rsidRPr="009B5734">
        <w:t xml:space="preserve"> </w:t>
      </w:r>
      <w:r w:rsidRPr="009B5734">
        <w:rPr>
          <w:rFonts w:ascii="Times New Roman" w:hAnsi="Times New Roman" w:cs="Times New Roman"/>
          <w:sz w:val="18"/>
          <w:szCs w:val="18"/>
        </w:rPr>
        <w:t xml:space="preserve">JRC Technical Report, </w:t>
      </w:r>
      <w:r w:rsidRPr="009B5734">
        <w:rPr>
          <w:rFonts w:ascii="Times New Roman" w:hAnsi="Times New Roman" w:cs="Times New Roman"/>
          <w:i/>
          <w:sz w:val="18"/>
          <w:szCs w:val="18"/>
        </w:rPr>
        <w:t>Analysis and development of a scoring system for repair and upgrade of products,</w:t>
      </w:r>
      <w:r w:rsidRPr="009B5734">
        <w:rPr>
          <w:rFonts w:ascii="Times New Roman" w:hAnsi="Times New Roman" w:cs="Times New Roman"/>
          <w:sz w:val="18"/>
          <w:szCs w:val="18"/>
        </w:rPr>
        <w:t xml:space="preserve">2019, </w:t>
      </w:r>
      <w:hyperlink r:id="rId16" w:history="1">
        <w:r w:rsidRPr="009B5734">
          <w:rPr>
            <w:rStyle w:val="Hyperlink"/>
            <w:rFonts w:ascii="Times New Roman" w:hAnsi="Times New Roman" w:cs="Times New Roman"/>
            <w:sz w:val="18"/>
            <w:szCs w:val="18"/>
          </w:rPr>
          <w:t>https://ec.europa.eu/jrc/en/publication/analysis-and-development-scoring-system-repair-and-upgrade-products</w:t>
        </w:r>
      </w:hyperlink>
      <w:r w:rsidRPr="009B5734">
        <w:t xml:space="preserve"> </w:t>
      </w:r>
    </w:p>
  </w:footnote>
  <w:footnote w:id="101">
    <w:p w:rsidR="00164A6B" w:rsidRPr="009B5734" w:rsidRDefault="00164A6B" w:rsidP="00190355">
      <w:pPr>
        <w:ind w:left="0" w:firstLine="0"/>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Whereas the Sale of Goods Directive only establishes individual rights in specific cases where non-conformity affects the individual concerned within the legal guarantee period, a specific prohibition of failing to provide the legally required software updates would facilitate the public enforcement in order to stop such unfair practices. It would also allow the harmed consumers to claim individual remedies where such practices are deemed unfair in accordance with the UCPD.  </w:t>
      </w:r>
    </w:p>
  </w:footnote>
  <w:footnote w:id="102">
    <w:p w:rsidR="00164A6B" w:rsidRPr="009B5734" w:rsidRDefault="00164A6B" w:rsidP="00190355">
      <w:pPr>
        <w:ind w:left="0" w:firstLine="0"/>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Whereas several </w:t>
      </w:r>
      <w:r w:rsidRPr="00190355">
        <w:rPr>
          <w:rFonts w:ascii="Times New Roman" w:hAnsi="Times New Roman" w:cs="Times New Roman"/>
          <w:sz w:val="18"/>
          <w:szCs w:val="18"/>
        </w:rPr>
        <w:t>ecodesign</w:t>
      </w:r>
      <w:r w:rsidRPr="009B5734">
        <w:rPr>
          <w:rFonts w:ascii="Times New Roman" w:hAnsi="Times New Roman" w:cs="Times New Roman"/>
          <w:sz w:val="18"/>
          <w:szCs w:val="18"/>
        </w:rPr>
        <w:t xml:space="preserve"> product measures introduce requirements on reparability, a ban under consumer law would also allow the harmed consumers to claim individual remedies where such practices are deemed unfair in accordance with the UCPD.  </w:t>
      </w:r>
    </w:p>
    <w:p w:rsidR="00164A6B" w:rsidRPr="009B5734" w:rsidRDefault="00164A6B" w:rsidP="00190355">
      <w:pPr>
        <w:pStyle w:val="FootnoteText"/>
        <w:spacing w:after="0"/>
        <w:ind w:left="0" w:firstLine="0"/>
        <w:rPr>
          <w:sz w:val="18"/>
          <w:szCs w:val="18"/>
        </w:rPr>
      </w:pPr>
    </w:p>
  </w:footnote>
  <w:footnote w:id="103">
    <w:p w:rsidR="00164A6B" w:rsidRPr="009B5734" w:rsidRDefault="00164A6B" w:rsidP="00E23B2B">
      <w:pPr>
        <w:ind w:left="0" w:firstLine="0"/>
        <w:rPr>
          <w:sz w:val="24"/>
        </w:rPr>
      </w:pPr>
      <w:r w:rsidRPr="009B5734">
        <w:rPr>
          <w:rStyle w:val="FootnoteReference"/>
        </w:rPr>
        <w:footnoteRef/>
      </w:r>
      <w:r w:rsidRPr="009B5734">
        <w:t xml:space="preserve"> </w:t>
      </w:r>
      <w:r w:rsidRPr="009B5734">
        <w:rPr>
          <w:rFonts w:ascii="Times New Roman" w:hAnsi="Times New Roman" w:cs="Times New Roman"/>
          <w:sz w:val="18"/>
          <w:szCs w:val="18"/>
        </w:rPr>
        <w:t xml:space="preserve">However, as explained in Annex 11, Option 2.1.B ‘Ban of certain identified practices associated with early obsolescence’ would be able to address </w:t>
      </w:r>
      <w:r>
        <w:rPr>
          <w:rFonts w:ascii="Times New Roman" w:hAnsi="Times New Roman" w:cs="Times New Roman"/>
          <w:sz w:val="18"/>
          <w:szCs w:val="18"/>
        </w:rPr>
        <w:t xml:space="preserve">certain identified </w:t>
      </w:r>
      <w:r w:rsidRPr="009B5734">
        <w:rPr>
          <w:rFonts w:ascii="Times New Roman" w:hAnsi="Times New Roman" w:cs="Times New Roman"/>
          <w:sz w:val="18"/>
          <w:szCs w:val="18"/>
        </w:rPr>
        <w:t>planned obsolescence practices.</w:t>
      </w:r>
      <w:r w:rsidRPr="009B5734">
        <w:rPr>
          <w:rFonts w:ascii="Times New Roman" w:hAnsi="Times New Roman" w:cs="Times New Roman"/>
          <w:sz w:val="24"/>
        </w:rPr>
        <w:t xml:space="preserve"> </w:t>
      </w:r>
    </w:p>
  </w:footnote>
  <w:footnote w:id="104">
    <w:p w:rsidR="00164A6B" w:rsidRPr="009B5734" w:rsidRDefault="00164A6B" w:rsidP="00190355">
      <w:pPr>
        <w:ind w:left="0" w:firstLine="0"/>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In practice, such performance can be demonstrated via the EU Ecolabel, or officially recognised ecolabelling schemes in the Member States (art 11 of EU Ecolabel) or in accordance with other applicable EU laws, such as the </w:t>
      </w:r>
      <w:r>
        <w:rPr>
          <w:rFonts w:ascii="Times New Roman" w:hAnsi="Times New Roman" w:cs="Times New Roman"/>
          <w:sz w:val="18"/>
          <w:szCs w:val="18"/>
        </w:rPr>
        <w:t>G</w:t>
      </w:r>
      <w:r w:rsidRPr="009B5734">
        <w:rPr>
          <w:rFonts w:ascii="Times New Roman" w:hAnsi="Times New Roman" w:cs="Times New Roman"/>
          <w:sz w:val="18"/>
          <w:szCs w:val="18"/>
        </w:rPr>
        <w:t xml:space="preserve">reen </w:t>
      </w:r>
      <w:r>
        <w:rPr>
          <w:rFonts w:ascii="Times New Roman" w:hAnsi="Times New Roman" w:cs="Times New Roman"/>
          <w:sz w:val="18"/>
          <w:szCs w:val="18"/>
        </w:rPr>
        <w:t>C</w:t>
      </w:r>
      <w:r w:rsidRPr="009B5734">
        <w:rPr>
          <w:rFonts w:ascii="Times New Roman" w:hAnsi="Times New Roman" w:cs="Times New Roman"/>
          <w:sz w:val="18"/>
          <w:szCs w:val="18"/>
        </w:rPr>
        <w:t xml:space="preserve">laims </w:t>
      </w:r>
      <w:r>
        <w:rPr>
          <w:rFonts w:ascii="Times New Roman" w:hAnsi="Times New Roman" w:cs="Times New Roman"/>
          <w:sz w:val="18"/>
          <w:szCs w:val="18"/>
        </w:rPr>
        <w:t>I</w:t>
      </w:r>
      <w:r w:rsidRPr="009B5734">
        <w:rPr>
          <w:rFonts w:ascii="Times New Roman" w:hAnsi="Times New Roman" w:cs="Times New Roman"/>
          <w:sz w:val="18"/>
          <w:szCs w:val="18"/>
        </w:rPr>
        <w:t>nitiative.</w:t>
      </w:r>
    </w:p>
  </w:footnote>
  <w:footnote w:id="105">
    <w:p w:rsidR="00164A6B" w:rsidRPr="009B5734" w:rsidRDefault="00164A6B">
      <w:pPr>
        <w:ind w:left="0" w:firstLine="0"/>
        <w:rPr>
          <w:sz w:val="18"/>
          <w:szCs w:val="18"/>
        </w:rPr>
      </w:pPr>
      <w:r w:rsidRPr="009B5734">
        <w:rPr>
          <w:rStyle w:val="FootnoteReference"/>
        </w:rPr>
        <w:footnoteRef/>
      </w:r>
      <w:r w:rsidRPr="009B5734">
        <w:t xml:space="preserve"> </w:t>
      </w:r>
      <w:r w:rsidRPr="009B5734">
        <w:rPr>
          <w:rFonts w:ascii="Times New Roman" w:hAnsi="Times New Roman" w:cs="Times New Roman"/>
          <w:bCs/>
          <w:sz w:val="18"/>
          <w:szCs w:val="18"/>
        </w:rPr>
        <w:t>For example, a sustainability label guaranteeing the greenhouse gas neutrality of products through neutralization of emissions with carbon removals will be covered under this option.</w:t>
      </w:r>
    </w:p>
  </w:footnote>
  <w:footnote w:id="106">
    <w:p w:rsidR="00164A6B" w:rsidRPr="009B5734" w:rsidRDefault="00164A6B" w:rsidP="00190355">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Cf. Unfair Commercial Practices Directive, Annex I, point 2.</w:t>
      </w:r>
    </w:p>
  </w:footnote>
  <w:footnote w:id="107">
    <w:p w:rsidR="00164A6B" w:rsidRPr="009B5734" w:rsidRDefault="00164A6B" w:rsidP="00190355">
      <w:pPr>
        <w:ind w:left="0" w:firstLine="0"/>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w:t>
      </w:r>
      <w:r w:rsidRPr="009B5734">
        <w:rPr>
          <w:rFonts w:ascii="Times New Roman" w:hAnsi="Times New Roman" w:cs="Times New Roman"/>
          <w:color w:val="000000" w:themeColor="text1"/>
          <w:sz w:val="18"/>
          <w:szCs w:val="18"/>
        </w:rPr>
        <w:t>In the default scenario, 30 points were assigned to the Effectiveness criterion, 60 points to Efficiency and 10 points to coherence. The points were divided equally between the various sub-criteria of each criterion (i.e., each of the 6 sub-criteria in the effectiveness section was assigned 1/6 of the 30 points and each of the 9 sub-criteria of the efficiency section was assigned 1/9 of 60 points). In the worst case scenario, 100 points to Efficiency, 0 points to Effectiveness and 0 points to Coherence, where the points allocated to Efficiency are for 60% related to the costs (and divided equally between the various sub-criteria related to costs) and the remaining 40% are divided equally between the various sub-criteria related to benefits.</w:t>
      </w:r>
    </w:p>
  </w:footnote>
  <w:footnote w:id="108">
    <w:p w:rsidR="00164A6B" w:rsidRPr="009B5734" w:rsidRDefault="00164A6B">
      <w:pPr>
        <w:pStyle w:val="FootnoteText"/>
      </w:pPr>
      <w:r w:rsidRPr="009B5734">
        <w:rPr>
          <w:rStyle w:val="FootnoteReference"/>
        </w:rPr>
        <w:footnoteRef/>
      </w:r>
      <w:r w:rsidRPr="009B5734">
        <w:t xml:space="preserve"> </w:t>
      </w:r>
      <w:r w:rsidRPr="009B5734">
        <w:rPr>
          <w:sz w:val="18"/>
        </w:rPr>
        <w:t xml:space="preserve">Consumer welfare here considers both consumer surplus (which is based on willingness to pay) and consumer detriment. Further details are to be found in </w:t>
      </w:r>
      <w:hyperlink w:anchor="_Annex_4:_Analytical_1" w:history="1">
        <w:r w:rsidRPr="009B5734">
          <w:rPr>
            <w:rStyle w:val="Hyperlink"/>
            <w:sz w:val="18"/>
          </w:rPr>
          <w:t>Annex 4</w:t>
        </w:r>
      </w:hyperlink>
      <w:r w:rsidRPr="009B5734">
        <w:rPr>
          <w:sz w:val="18"/>
        </w:rPr>
        <w:t>.</w:t>
      </w:r>
    </w:p>
  </w:footnote>
  <w:footnote w:id="109">
    <w:p w:rsidR="00164A6B" w:rsidRPr="0078589E" w:rsidRDefault="00164A6B">
      <w:pPr>
        <w:pStyle w:val="FootnoteText"/>
      </w:pPr>
      <w:r>
        <w:rPr>
          <w:rStyle w:val="FootnoteReference"/>
        </w:rPr>
        <w:footnoteRef/>
      </w:r>
      <w:r>
        <w:t xml:space="preserve"> </w:t>
      </w:r>
      <w:r w:rsidRPr="00353CBE">
        <w:rPr>
          <w:sz w:val="18"/>
          <w:szCs w:val="18"/>
        </w:rPr>
        <w:t xml:space="preserve">European Commission, Support study for the impact assessment on the review of the CPC Regulation 2006/2004/EC: </w:t>
      </w:r>
      <w:hyperlink r:id="rId17" w:history="1">
        <w:r w:rsidRPr="00353CBE">
          <w:rPr>
            <w:rStyle w:val="Hyperlink"/>
            <w:sz w:val="18"/>
            <w:szCs w:val="18"/>
          </w:rPr>
          <w:t>https://ec.europa.eu/info/sites/info/files/cpc_review_support_study_1_en.pdf</w:t>
        </w:r>
      </w:hyperlink>
      <w:r w:rsidRPr="00353CBE">
        <w:rPr>
          <w:sz w:val="18"/>
          <w:szCs w:val="18"/>
        </w:rPr>
        <w:t xml:space="preserve"> and </w:t>
      </w:r>
      <w:r w:rsidRPr="00C84A99">
        <w:rPr>
          <w:sz w:val="18"/>
          <w:szCs w:val="18"/>
        </w:rPr>
        <w:t xml:space="preserve">European Commission, SWD(2016) 164 final: </w:t>
      </w:r>
      <w:r w:rsidRPr="00353CBE">
        <w:rPr>
          <w:sz w:val="18"/>
          <w:szCs w:val="18"/>
        </w:rPr>
        <w:t>https://eur-lex.europa.eu/legal-content/EN/TXT/PDF/?uri=CELEX:52016SC0164&amp;from=EN.</w:t>
      </w:r>
    </w:p>
  </w:footnote>
  <w:footnote w:id="110">
    <w:p w:rsidR="00164A6B" w:rsidRPr="009B5734" w:rsidRDefault="00164A6B" w:rsidP="00190355">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The summary of the performance of the options against the criteria is summarised in </w:t>
      </w:r>
      <w:hyperlink w:anchor="_Annex_8:_Impacts" w:history="1">
        <w:r w:rsidRPr="009B5734">
          <w:rPr>
            <w:rStyle w:val="Hyperlink"/>
            <w:sz w:val="18"/>
            <w:szCs w:val="18"/>
          </w:rPr>
          <w:t>Annex 8</w:t>
        </w:r>
      </w:hyperlink>
      <w:r w:rsidRPr="009B5734">
        <w:rPr>
          <w:sz w:val="18"/>
          <w:szCs w:val="18"/>
        </w:rPr>
        <w:t xml:space="preserve">, and has been used to perform the MCA. It covers both a qualitative and quantitative assessment. The MCA results are confirmed by a sensitivity analysis for all scenarios considered. </w:t>
      </w:r>
      <w:hyperlink w:anchor="_Annex_9:_Detailed" w:history="1">
        <w:r w:rsidRPr="009B5734">
          <w:rPr>
            <w:rStyle w:val="Hyperlink"/>
            <w:sz w:val="18"/>
            <w:szCs w:val="18"/>
          </w:rPr>
          <w:t>See Annex 9</w:t>
        </w:r>
      </w:hyperlink>
      <w:r w:rsidRPr="009B5734">
        <w:rPr>
          <w:sz w:val="18"/>
          <w:szCs w:val="18"/>
        </w:rPr>
        <w:t xml:space="preserve"> for its results.  </w:t>
      </w:r>
    </w:p>
  </w:footnote>
  <w:footnote w:id="111">
    <w:p w:rsidR="00164A6B" w:rsidRPr="009B5734" w:rsidRDefault="00164A6B" w:rsidP="00190355">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The summary of the performance of the options against the criteria is summarised in </w:t>
      </w:r>
      <w:hyperlink w:anchor="_Annex_8:_Impacts" w:history="1">
        <w:r w:rsidRPr="009B5734">
          <w:rPr>
            <w:rStyle w:val="Hyperlink"/>
            <w:sz w:val="18"/>
            <w:szCs w:val="18"/>
          </w:rPr>
          <w:t>Annex 8</w:t>
        </w:r>
      </w:hyperlink>
      <w:r w:rsidRPr="009B5734">
        <w:rPr>
          <w:sz w:val="18"/>
          <w:szCs w:val="18"/>
        </w:rPr>
        <w:t xml:space="preserve">, and has been used to perform the MCA. It covers both a qualitative and quantitative assessment. The MCA results are confirmed by a sensitivity analysis for half of the scenarios tested. See supporting study for the results of the sensitivity analysis.  </w:t>
      </w:r>
    </w:p>
  </w:footnote>
  <w:footnote w:id="112">
    <w:p w:rsidR="00164A6B" w:rsidRPr="009B5734" w:rsidRDefault="00164A6B" w:rsidP="00A66679">
      <w:pPr>
        <w:pStyle w:val="FootnoteText"/>
        <w:spacing w:after="0"/>
        <w:ind w:left="0" w:firstLine="0"/>
        <w:jc w:val="left"/>
        <w:rPr>
          <w:sz w:val="18"/>
          <w:szCs w:val="18"/>
        </w:rPr>
      </w:pPr>
      <w:r w:rsidRPr="009B5734">
        <w:rPr>
          <w:rStyle w:val="FootnoteReference"/>
          <w:sz w:val="18"/>
          <w:szCs w:val="18"/>
        </w:rPr>
        <w:footnoteRef/>
      </w:r>
      <w:r w:rsidRPr="009B5734">
        <w:rPr>
          <w:sz w:val="18"/>
          <w:szCs w:val="18"/>
        </w:rPr>
        <w:t xml:space="preserve"> Vulnerable consumers are likely to be more susceptible to aggressive manipulative techniques that lure them into buying products that fail early: </w:t>
      </w:r>
      <w:hyperlink r:id="rId18" w:history="1">
        <w:r w:rsidRPr="009B5734">
          <w:rPr>
            <w:rStyle w:val="Hyperlink"/>
            <w:sz w:val="18"/>
            <w:szCs w:val="18"/>
          </w:rPr>
          <w:t>https://www.europarl.europa.eu/RegData/etudes/BRIE/2021/690619/EPRS_BRI(2021)690619_EN.pdf</w:t>
        </w:r>
      </w:hyperlink>
      <w:r w:rsidRPr="009B5734">
        <w:rPr>
          <w:sz w:val="18"/>
          <w:szCs w:val="18"/>
        </w:rPr>
        <w:t xml:space="preserve">  </w:t>
      </w:r>
    </w:p>
  </w:footnote>
  <w:footnote w:id="113">
    <w:p w:rsidR="00164A6B" w:rsidRPr="009B5734" w:rsidRDefault="00164A6B" w:rsidP="00190355">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The summary of the performance of the options against the criteria is summarised in </w:t>
      </w:r>
      <w:hyperlink w:anchor="_Annex_8:_Impacts" w:history="1">
        <w:r w:rsidRPr="009B5734">
          <w:rPr>
            <w:rStyle w:val="Hyperlink"/>
            <w:sz w:val="18"/>
            <w:szCs w:val="18"/>
          </w:rPr>
          <w:t>Annex 8</w:t>
        </w:r>
      </w:hyperlink>
      <w:r w:rsidRPr="009B5734">
        <w:rPr>
          <w:sz w:val="18"/>
          <w:szCs w:val="18"/>
        </w:rPr>
        <w:t xml:space="preserve">, and has been used to perform the MCA. It covers both a qualitative and quantitative assessment. The MCA results are confirmed by the sensitivity analysis. See </w:t>
      </w:r>
      <w:hyperlink w:anchor="_Annex_9:_Detailed" w:history="1">
        <w:r w:rsidRPr="009B5734">
          <w:rPr>
            <w:rStyle w:val="Hyperlink"/>
            <w:sz w:val="18"/>
            <w:szCs w:val="18"/>
          </w:rPr>
          <w:t>Annex 9</w:t>
        </w:r>
      </w:hyperlink>
      <w:r w:rsidRPr="009B5734">
        <w:rPr>
          <w:sz w:val="18"/>
          <w:szCs w:val="18"/>
        </w:rPr>
        <w:t xml:space="preserve"> for its results.  </w:t>
      </w:r>
    </w:p>
  </w:footnote>
  <w:footnote w:id="114">
    <w:p w:rsidR="00164A6B" w:rsidRPr="00C84A99" w:rsidRDefault="00164A6B" w:rsidP="00227800">
      <w:pPr>
        <w:rPr>
          <w:sz w:val="18"/>
          <w:szCs w:val="18"/>
        </w:rPr>
      </w:pPr>
      <w:r w:rsidRPr="009B5734">
        <w:rPr>
          <w:rStyle w:val="FootnoteReference"/>
          <w:rFonts w:eastAsia="Calibri"/>
          <w:sz w:val="18"/>
          <w:szCs w:val="18"/>
        </w:rPr>
        <w:footnoteRef/>
      </w:r>
      <w:r w:rsidRPr="00275642">
        <w:rPr>
          <w:sz w:val="18"/>
          <w:szCs w:val="18"/>
        </w:rPr>
        <w:t xml:space="preserve"> </w:t>
      </w:r>
      <w:r w:rsidRPr="00353CBE">
        <w:rPr>
          <w:rFonts w:ascii="Times New Roman" w:eastAsia="Times New Roman" w:hAnsi="Times New Roman" w:cs="Times New Roman"/>
          <w:sz w:val="18"/>
          <w:szCs w:val="18"/>
        </w:rPr>
        <w:t xml:space="preserve">European Commission, Support study for the impact assessment on the review of the CPC Regulation 2006/2004/EC: </w:t>
      </w:r>
      <w:hyperlink r:id="rId19" w:history="1">
        <w:r w:rsidRPr="00353CBE">
          <w:rPr>
            <w:rStyle w:val="Hyperlink"/>
            <w:sz w:val="18"/>
            <w:szCs w:val="18"/>
          </w:rPr>
          <w:t>https://ec.europa.eu/info/sites/info/files/cpc_review_support_study_1_en.pdf</w:t>
        </w:r>
      </w:hyperlink>
      <w:r w:rsidRPr="00353CBE">
        <w:rPr>
          <w:sz w:val="18"/>
          <w:szCs w:val="18"/>
        </w:rPr>
        <w:t xml:space="preserve"> and </w:t>
      </w:r>
      <w:r w:rsidRPr="00C84A99">
        <w:rPr>
          <w:rFonts w:ascii="Times New Roman" w:eastAsia="Times New Roman" w:hAnsi="Times New Roman" w:cs="Times New Roman"/>
          <w:sz w:val="18"/>
          <w:szCs w:val="18"/>
        </w:rPr>
        <w:t xml:space="preserve">European Commission, SWD(2016) 164 final: </w:t>
      </w:r>
      <w:r w:rsidRPr="00353CBE">
        <w:rPr>
          <w:sz w:val="18"/>
          <w:szCs w:val="18"/>
        </w:rPr>
        <w:t>https://eur-lex.europa.eu/legal-content/EN/TXT/PDF/?uri=CELEX:52016SC0164&amp;from=EN.</w:t>
      </w:r>
    </w:p>
  </w:footnote>
  <w:footnote w:id="115">
    <w:p w:rsidR="00164A6B" w:rsidRPr="009B5734" w:rsidRDefault="00164A6B" w:rsidP="00190355">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The summary of the performance of the options against the criteria is summarised in </w:t>
      </w:r>
      <w:hyperlink w:anchor="_Annex_8:_Impacts" w:history="1">
        <w:r w:rsidRPr="009B5734">
          <w:rPr>
            <w:rStyle w:val="Hyperlink"/>
            <w:sz w:val="18"/>
            <w:szCs w:val="18"/>
          </w:rPr>
          <w:t>Annex 8</w:t>
        </w:r>
      </w:hyperlink>
      <w:r w:rsidRPr="009B5734">
        <w:rPr>
          <w:sz w:val="18"/>
          <w:szCs w:val="18"/>
        </w:rPr>
        <w:t xml:space="preserve">, and has been used to perform the MCA. It covers both a qualitative and quantitative assessment. The MCA results are confirmed by the sensitivity analysis. See </w:t>
      </w:r>
      <w:hyperlink w:anchor="_Annex_9:_Detailed" w:history="1">
        <w:r w:rsidRPr="009B5734">
          <w:rPr>
            <w:rStyle w:val="Hyperlink"/>
            <w:sz w:val="18"/>
            <w:szCs w:val="18"/>
          </w:rPr>
          <w:t>Annex 9</w:t>
        </w:r>
      </w:hyperlink>
      <w:r w:rsidRPr="009B5734">
        <w:rPr>
          <w:sz w:val="18"/>
          <w:szCs w:val="18"/>
        </w:rPr>
        <w:t xml:space="preserve"> for its results.  </w:t>
      </w:r>
    </w:p>
  </w:footnote>
  <w:footnote w:id="116">
    <w:p w:rsidR="00164A6B" w:rsidRPr="009B5734" w:rsidRDefault="00164A6B" w:rsidP="00764468">
      <w:pPr>
        <w:pStyle w:val="FootnoteText"/>
        <w:spacing w:after="0"/>
        <w:ind w:left="0" w:firstLine="0"/>
      </w:pPr>
      <w:r w:rsidRPr="009B5734">
        <w:rPr>
          <w:rStyle w:val="FootnoteReference"/>
        </w:rPr>
        <w:footnoteRef/>
      </w:r>
      <w:r w:rsidRPr="009B5734">
        <w:t xml:space="preserve"> </w:t>
      </w:r>
      <w:r w:rsidRPr="009B5734">
        <w:rPr>
          <w:sz w:val="18"/>
          <w:szCs w:val="18"/>
        </w:rPr>
        <w:t xml:space="preserve">Based on the share of labels that do not currently comply with the criteria, the share of consumers that do not take account of labels as they do not trust them, the increase in the share of more sustainable products and the estimated willingness to pay for these products. Further details are to be found in </w:t>
      </w:r>
      <w:hyperlink w:anchor="_Annex_4:_Analytical_1" w:history="1">
        <w:r w:rsidRPr="009B5734">
          <w:rPr>
            <w:rStyle w:val="Hyperlink"/>
            <w:sz w:val="18"/>
            <w:szCs w:val="18"/>
          </w:rPr>
          <w:t>Annex 4</w:t>
        </w:r>
      </w:hyperlink>
      <w:r w:rsidRPr="009B5734">
        <w:rPr>
          <w:sz w:val="18"/>
          <w:szCs w:val="18"/>
        </w:rPr>
        <w:t>.</w:t>
      </w:r>
    </w:p>
  </w:footnote>
  <w:footnote w:id="117">
    <w:p w:rsidR="00164A6B" w:rsidRPr="00014EB8" w:rsidRDefault="00164A6B" w:rsidP="00190355">
      <w:pPr>
        <w:pStyle w:val="FootnoteText"/>
        <w:spacing w:after="0"/>
        <w:ind w:left="0" w:firstLine="0"/>
        <w:rPr>
          <w:sz w:val="18"/>
        </w:rPr>
      </w:pPr>
      <w:r w:rsidRPr="009B5734">
        <w:rPr>
          <w:rStyle w:val="FootnoteReference"/>
          <w:sz w:val="18"/>
          <w:szCs w:val="18"/>
        </w:rPr>
        <w:footnoteRef/>
      </w:r>
      <w:r w:rsidRPr="009B5734">
        <w:rPr>
          <w:sz w:val="18"/>
          <w:szCs w:val="18"/>
        </w:rPr>
        <w:t xml:space="preserve"> Assuming six meetings in the first year to discuss and prepare the minimum criteria and then one meeting a year to revise the criteria.</w:t>
      </w:r>
    </w:p>
  </w:footnote>
  <w:footnote w:id="118">
    <w:p w:rsidR="00164A6B" w:rsidRPr="00353CBE" w:rsidRDefault="00164A6B" w:rsidP="00BD6A46">
      <w:pPr>
        <w:ind w:left="0" w:firstLine="0"/>
        <w:rPr>
          <w:sz w:val="18"/>
          <w:szCs w:val="18"/>
        </w:rPr>
      </w:pPr>
      <w:r w:rsidRPr="009B5734">
        <w:rPr>
          <w:rStyle w:val="FootnoteReference"/>
          <w:rFonts w:eastAsia="Calibri"/>
          <w:sz w:val="18"/>
          <w:szCs w:val="18"/>
        </w:rPr>
        <w:footnoteRef/>
      </w:r>
      <w:r w:rsidRPr="00275642">
        <w:rPr>
          <w:sz w:val="18"/>
          <w:szCs w:val="18"/>
        </w:rPr>
        <w:t xml:space="preserve"> </w:t>
      </w:r>
      <w:r w:rsidRPr="00353CBE">
        <w:rPr>
          <w:rFonts w:ascii="Times New Roman" w:eastAsia="Times New Roman" w:hAnsi="Times New Roman" w:cs="Times New Roman"/>
          <w:sz w:val="18"/>
          <w:szCs w:val="18"/>
        </w:rPr>
        <w:t xml:space="preserve">European Commission, Support study for the Impact </w:t>
      </w:r>
      <w:r w:rsidRPr="00614BCC">
        <w:rPr>
          <w:rFonts w:ascii="Times New Roman" w:eastAsia="Times New Roman" w:hAnsi="Times New Roman" w:cs="Times New Roman"/>
          <w:sz w:val="18"/>
          <w:szCs w:val="18"/>
        </w:rPr>
        <w:t>A</w:t>
      </w:r>
      <w:r w:rsidRPr="00C84A99">
        <w:rPr>
          <w:rFonts w:ascii="Times New Roman" w:eastAsia="Times New Roman" w:hAnsi="Times New Roman" w:cs="Times New Roman"/>
          <w:sz w:val="18"/>
          <w:szCs w:val="18"/>
        </w:rPr>
        <w:t xml:space="preserve">ssessment on the review of the CPC Regulation 2006/2004/EC: </w:t>
      </w:r>
      <w:hyperlink r:id="rId20" w:history="1">
        <w:r w:rsidRPr="00353CBE">
          <w:rPr>
            <w:rStyle w:val="Hyperlink"/>
            <w:sz w:val="18"/>
            <w:szCs w:val="18"/>
          </w:rPr>
          <w:t>https://ec.europa.eu/info/sites/info/files/cpc_review_support_study_1_en.pdf</w:t>
        </w:r>
      </w:hyperlink>
      <w:r w:rsidRPr="00353CBE">
        <w:rPr>
          <w:sz w:val="18"/>
          <w:szCs w:val="18"/>
        </w:rPr>
        <w:t xml:space="preserve"> and </w:t>
      </w:r>
      <w:r w:rsidRPr="00C84A99">
        <w:rPr>
          <w:rFonts w:ascii="Times New Roman" w:eastAsia="Times New Roman" w:hAnsi="Times New Roman" w:cs="Times New Roman"/>
          <w:sz w:val="18"/>
          <w:szCs w:val="18"/>
        </w:rPr>
        <w:t xml:space="preserve">European Commission, SWD(2016) 164 final: </w:t>
      </w:r>
      <w:hyperlink r:id="rId21" w:history="1">
        <w:r w:rsidRPr="00353CBE">
          <w:rPr>
            <w:rStyle w:val="Hyperlink"/>
            <w:sz w:val="18"/>
            <w:szCs w:val="18"/>
          </w:rPr>
          <w:t>https://eur-lex.europa.eu/legal-content/EN/TXT/PDF/?uri=CELEX:52016SC0164&amp;from=EN</w:t>
        </w:r>
      </w:hyperlink>
      <w:r w:rsidRPr="00353CBE">
        <w:rPr>
          <w:sz w:val="18"/>
          <w:szCs w:val="18"/>
        </w:rPr>
        <w:t xml:space="preserve"> .</w:t>
      </w:r>
    </w:p>
  </w:footnote>
  <w:footnote w:id="119">
    <w:p w:rsidR="00164A6B" w:rsidRPr="00A74580" w:rsidRDefault="00164A6B">
      <w:pPr>
        <w:pStyle w:val="FootnoteText"/>
      </w:pPr>
      <w:r>
        <w:rPr>
          <w:rStyle w:val="FootnoteReference"/>
        </w:rPr>
        <w:footnoteRef/>
      </w:r>
      <w:r>
        <w:t xml:space="preserve"> </w:t>
      </w:r>
      <w:r w:rsidRPr="00014EB8">
        <w:rPr>
          <w:sz w:val="18"/>
        </w:rPr>
        <w:t xml:space="preserve">Source: costs </w:t>
      </w:r>
      <w:r w:rsidRPr="009B5734">
        <w:rPr>
          <w:sz w:val="18"/>
          <w:szCs w:val="18"/>
        </w:rPr>
        <w:t xml:space="preserve">setting up and running BEREC office. </w:t>
      </w:r>
      <w:hyperlink r:id="rId22" w:history="1">
        <w:r w:rsidRPr="009B5734">
          <w:rPr>
            <w:rStyle w:val="Hyperlink"/>
            <w:sz w:val="18"/>
            <w:szCs w:val="18"/>
          </w:rPr>
          <w:t>https://ec.europa.eu/transparency/regdoc/rep/10102/2016/EN/SWD-2016-303-F1-EN-MAIN-PART-1.PDF</w:t>
        </w:r>
      </w:hyperlink>
    </w:p>
  </w:footnote>
  <w:footnote w:id="120">
    <w:p w:rsidR="00164A6B" w:rsidRPr="00014EB8" w:rsidRDefault="00164A6B" w:rsidP="00764468">
      <w:pPr>
        <w:pStyle w:val="FootnoteText"/>
        <w:spacing w:after="0"/>
        <w:ind w:left="0" w:firstLine="0"/>
        <w:rPr>
          <w:sz w:val="18"/>
        </w:rPr>
      </w:pPr>
      <w:r w:rsidRPr="009B5734">
        <w:rPr>
          <w:rStyle w:val="FootnoteReference"/>
          <w:sz w:val="18"/>
          <w:szCs w:val="18"/>
        </w:rPr>
        <w:footnoteRef/>
      </w:r>
      <w:r w:rsidRPr="009B5734">
        <w:rPr>
          <w:sz w:val="18"/>
          <w:szCs w:val="18"/>
        </w:rPr>
        <w:t xml:space="preserve"> Directive 2014/24/EU of the European Parliament and of the Council of 26 February 2014 on public procurement and repealing Directive 2004/18/EC</w:t>
      </w:r>
    </w:p>
  </w:footnote>
  <w:footnote w:id="121">
    <w:p w:rsidR="00164A6B" w:rsidRPr="009B5734" w:rsidRDefault="00164A6B" w:rsidP="00190355">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The summary of the performance of the options against the criteria is summarised in </w:t>
      </w:r>
      <w:hyperlink w:anchor="_Annex_7:_Overview" w:history="1">
        <w:r w:rsidRPr="009B5734">
          <w:rPr>
            <w:rStyle w:val="Hyperlink"/>
            <w:sz w:val="18"/>
            <w:szCs w:val="18"/>
          </w:rPr>
          <w:t>Annex 7</w:t>
        </w:r>
      </w:hyperlink>
      <w:r w:rsidRPr="009B5734">
        <w:rPr>
          <w:sz w:val="18"/>
          <w:szCs w:val="18"/>
        </w:rPr>
        <w:t xml:space="preserve">, and has been used to perform the MCA. It covers both a qualitative and quantitative assessment. The MCA results are confirmed by a sensitivity analysis. The results of the sensitivity analysis show that the ranking of options with the highest score only changes (where Option D ranks higher than Option B) when the weight assigned to effectiveness is high. See </w:t>
      </w:r>
      <w:hyperlink w:anchor="_Annex_9:_Detailed" w:history="1">
        <w:r w:rsidRPr="009B5734">
          <w:rPr>
            <w:rStyle w:val="Hyperlink"/>
          </w:rPr>
          <w:fldChar w:fldCharType="begin"/>
        </w:r>
        <w:r w:rsidRPr="009B5734">
          <w:rPr>
            <w:rStyle w:val="Hyperlink"/>
            <w:sz w:val="18"/>
            <w:szCs w:val="18"/>
          </w:rPr>
          <w:instrText xml:space="preserve"> REF _Ref77090080 \h </w:instrText>
        </w:r>
        <w:r w:rsidRPr="009B5734">
          <w:rPr>
            <w:rStyle w:val="Hyperlink"/>
          </w:rPr>
          <w:instrText xml:space="preserve"> \* MERGEFORMAT </w:instrText>
        </w:r>
        <w:r w:rsidRPr="009B5734">
          <w:rPr>
            <w:rStyle w:val="Hyperlink"/>
          </w:rPr>
        </w:r>
        <w:r w:rsidRPr="009B5734">
          <w:rPr>
            <w:rStyle w:val="Hyperlink"/>
          </w:rPr>
          <w:fldChar w:fldCharType="separate"/>
        </w:r>
        <w:r w:rsidRPr="009B5734">
          <w:rPr>
            <w:rStyle w:val="Hyperlink"/>
            <w:sz w:val="18"/>
          </w:rPr>
          <w:t>Annex 9: Detailed results from the Cost and Benefit Analysis and from the Multi-Criteria Analysis</w:t>
        </w:r>
        <w:r w:rsidRPr="009B5734">
          <w:rPr>
            <w:rStyle w:val="Hyperlink"/>
          </w:rPr>
          <w:fldChar w:fldCharType="end"/>
        </w:r>
      </w:hyperlink>
      <w:r w:rsidRPr="009B5734">
        <w:rPr>
          <w:sz w:val="18"/>
          <w:szCs w:val="18"/>
        </w:rPr>
        <w:t xml:space="preserve"> for its results. </w:t>
      </w:r>
    </w:p>
  </w:footnote>
  <w:footnote w:id="122">
    <w:p w:rsidR="00164A6B" w:rsidRPr="0020247B" w:rsidRDefault="00164A6B" w:rsidP="00FD4E3F">
      <w:pPr>
        <w:pStyle w:val="FootnoteText"/>
        <w:spacing w:after="0"/>
      </w:pPr>
      <w:r>
        <w:rPr>
          <w:rStyle w:val="FootnoteReference"/>
        </w:rPr>
        <w:footnoteRef/>
      </w:r>
      <w:r w:rsidRPr="0020247B">
        <w:t xml:space="preserve"> https://ec.europa.eu/info/sites/default/files/br_toolbox_-_nov_2021_-_chapter_8.pdf</w:t>
      </w:r>
    </w:p>
  </w:footnote>
  <w:footnote w:id="123">
    <w:p w:rsidR="00164A6B" w:rsidRPr="00FD4E3F" w:rsidRDefault="00164A6B" w:rsidP="00FD4E3F">
      <w:pPr>
        <w:pStyle w:val="FootnoteText"/>
        <w:spacing w:after="0"/>
      </w:pPr>
      <w:r>
        <w:rPr>
          <w:rStyle w:val="FootnoteReference"/>
        </w:rPr>
        <w:footnoteRef/>
      </w:r>
      <w:r>
        <w:t xml:space="preserve"> For further details, see </w:t>
      </w:r>
      <w:hyperlink w:anchor="_Option_1.2.C:_1.2.B" w:history="1">
        <w:r w:rsidRPr="00FD4E3F">
          <w:rPr>
            <w:rStyle w:val="Hyperlink"/>
          </w:rPr>
          <w:t>Annex 4</w:t>
        </w:r>
      </w:hyperlink>
    </w:p>
  </w:footnote>
  <w:footnote w:id="124">
    <w:p w:rsidR="00164A6B" w:rsidRPr="004869AB" w:rsidRDefault="00164A6B" w:rsidP="00FD4E3F">
      <w:pPr>
        <w:pStyle w:val="FootnoteText"/>
        <w:spacing w:after="0"/>
      </w:pPr>
      <w:r>
        <w:rPr>
          <w:rStyle w:val="FootnoteReference"/>
        </w:rPr>
        <w:footnoteRef/>
      </w:r>
      <w:r>
        <w:t xml:space="preserve"> </w:t>
      </w:r>
      <w:r w:rsidRPr="00FD4E3F">
        <w:t xml:space="preserve">European Commission, Impact Assessment supporting study: </w:t>
      </w:r>
      <w:r w:rsidRPr="00FD4E3F">
        <w:rPr>
          <w:i/>
        </w:rPr>
        <w:t>Study on Empowering Consumers Towards the Green Transition</w:t>
      </w:r>
      <w:r>
        <w:t>, July 2021, Section 7.21, Table 45, p. 138</w:t>
      </w:r>
    </w:p>
  </w:footnote>
  <w:footnote w:id="125">
    <w:p w:rsidR="00164A6B" w:rsidRPr="00014EB8" w:rsidRDefault="00164A6B" w:rsidP="00EA45F9">
      <w:pPr>
        <w:pStyle w:val="FootnoteText"/>
        <w:spacing w:after="0"/>
      </w:pPr>
      <w:r w:rsidRPr="009B5734">
        <w:rPr>
          <w:rStyle w:val="FootnoteReference"/>
        </w:rPr>
        <w:footnoteRef/>
      </w:r>
      <w:r w:rsidRPr="009B5734">
        <w:t xml:space="preserve"> </w:t>
      </w:r>
      <w:r w:rsidRPr="4C0C73BF">
        <w:rPr>
          <w:sz w:val="18"/>
          <w:szCs w:val="18"/>
        </w:rPr>
        <w:t>Adjusted Commission Work Programme 2020, adopted on 27 May 2020. Available at</w:t>
      </w:r>
      <w:r w:rsidRPr="00353CBE">
        <w:rPr>
          <w:sz w:val="18"/>
          <w:szCs w:val="18"/>
        </w:rPr>
        <w:t xml:space="preserve"> https://ec.europa.eu/info/sites/default/</w:t>
      </w:r>
      <w:r w:rsidRPr="00C84A99">
        <w:rPr>
          <w:sz w:val="18"/>
          <w:szCs w:val="18"/>
        </w:rPr>
        <w:t>files/cwp-2020-adjusted-factsheet_en.pdf</w:t>
      </w:r>
    </w:p>
  </w:footnote>
  <w:footnote w:id="126">
    <w:p w:rsidR="00164A6B" w:rsidRPr="00353CBE" w:rsidRDefault="00164A6B" w:rsidP="00353CBE">
      <w:pPr>
        <w:pStyle w:val="FootnoteText"/>
        <w:spacing w:after="0"/>
        <w:ind w:left="0" w:firstLine="0"/>
        <w:rPr>
          <w:b/>
          <w:sz w:val="18"/>
          <w:szCs w:val="18"/>
        </w:rPr>
      </w:pPr>
      <w:r w:rsidRPr="009B5734">
        <w:rPr>
          <w:rStyle w:val="FootnoteReference"/>
          <w:sz w:val="18"/>
          <w:szCs w:val="18"/>
        </w:rPr>
        <w:footnoteRef/>
      </w:r>
      <w:r w:rsidRPr="4C0C73BF">
        <w:rPr>
          <w:sz w:val="18"/>
          <w:szCs w:val="18"/>
        </w:rPr>
        <w:t xml:space="preserve"> European Commission, </w:t>
      </w:r>
      <w:r w:rsidRPr="7F52AB9A">
        <w:rPr>
          <w:i/>
          <w:iCs/>
          <w:sz w:val="18"/>
          <w:szCs w:val="18"/>
        </w:rPr>
        <w:t xml:space="preserve">Inception Impact Assessment: Empowering the consumer for the green transition, </w:t>
      </w:r>
      <w:r w:rsidRPr="4C0C73BF">
        <w:rPr>
          <w:sz w:val="18"/>
          <w:szCs w:val="18"/>
        </w:rPr>
        <w:t>2020.</w:t>
      </w:r>
    </w:p>
  </w:footnote>
  <w:footnote w:id="127">
    <w:p w:rsidR="00164A6B" w:rsidRPr="00353CBE" w:rsidRDefault="00164A6B" w:rsidP="00353CBE">
      <w:pPr>
        <w:rPr>
          <w:sz w:val="18"/>
          <w:szCs w:val="18"/>
        </w:rPr>
      </w:pPr>
      <w:r w:rsidRPr="009B5734">
        <w:rPr>
          <w:rStyle w:val="FootnoteReference"/>
          <w:sz w:val="18"/>
          <w:szCs w:val="18"/>
        </w:rPr>
        <w:footnoteRef/>
      </w:r>
      <w:r w:rsidRPr="009B5734">
        <w:rPr>
          <w:sz w:val="18"/>
          <w:szCs w:val="18"/>
        </w:rPr>
        <w:t xml:space="preserve"> </w:t>
      </w:r>
      <w:r w:rsidRPr="00353CBE">
        <w:rPr>
          <w:rFonts w:ascii="Times New Roman" w:eastAsia="Times New Roman" w:hAnsi="Times New Roman" w:cs="Times New Roman"/>
          <w:sz w:val="18"/>
          <w:szCs w:val="18"/>
        </w:rPr>
        <w:t xml:space="preserve">Consumer policy – strengthening the role of consumers in the green transition, Feedback and statistics: Inception Impact </w:t>
      </w:r>
      <w:r w:rsidRPr="00614BCC">
        <w:rPr>
          <w:rFonts w:ascii="Times New Roman" w:eastAsia="Times New Roman" w:hAnsi="Times New Roman" w:cs="Times New Roman"/>
          <w:sz w:val="18"/>
          <w:szCs w:val="18"/>
        </w:rPr>
        <w:t>A</w:t>
      </w:r>
      <w:r w:rsidRPr="00C84A99">
        <w:rPr>
          <w:rFonts w:ascii="Times New Roman" w:eastAsia="Times New Roman" w:hAnsi="Times New Roman" w:cs="Times New Roman"/>
          <w:sz w:val="18"/>
          <w:szCs w:val="18"/>
        </w:rPr>
        <w:t xml:space="preserve">ssessment, </w:t>
      </w:r>
      <w:hyperlink r:id="rId23" w:history="1">
        <w:r w:rsidRPr="00111BFE">
          <w:rPr>
            <w:rStyle w:val="Hyperlink"/>
            <w:sz w:val="18"/>
            <w:szCs w:val="18"/>
          </w:rPr>
          <w:t>https://ec.europa.eu/info/law/better-regulation/have-your-say/initiatives/12467-Empowering-the-consumer-for-the-green-transition/feedback?p_id=801747</w:t>
        </w:r>
        <w:r w:rsidRPr="00353CBE">
          <w:rPr>
            <w:rStyle w:val="Hyperlink"/>
            <w:sz w:val="18"/>
            <w:szCs w:val="18"/>
          </w:rPr>
          <w:t>7</w:t>
        </w:r>
      </w:hyperlink>
    </w:p>
  </w:footnote>
  <w:footnote w:id="128">
    <w:p w:rsidR="00164A6B" w:rsidRPr="00353CBE" w:rsidRDefault="00164A6B" w:rsidP="00353CBE">
      <w:pPr>
        <w:rPr>
          <w:sz w:val="18"/>
          <w:szCs w:val="18"/>
        </w:rPr>
      </w:pPr>
      <w:r w:rsidRPr="009B5734">
        <w:rPr>
          <w:rStyle w:val="FootnoteReference"/>
          <w:sz w:val="18"/>
          <w:szCs w:val="18"/>
        </w:rPr>
        <w:footnoteRef/>
      </w:r>
      <w:r w:rsidRPr="009B5734">
        <w:rPr>
          <w:sz w:val="18"/>
          <w:szCs w:val="18"/>
        </w:rPr>
        <w:t xml:space="preserve"> </w:t>
      </w:r>
      <w:r w:rsidRPr="00353CBE">
        <w:rPr>
          <w:rFonts w:ascii="Times New Roman" w:eastAsia="Times New Roman" w:hAnsi="Times New Roman" w:cs="Times New Roman"/>
          <w:sz w:val="18"/>
          <w:szCs w:val="18"/>
        </w:rPr>
        <w:t xml:space="preserve">Consumer policy – strengthening the role of consumers in the green transition, Feedback and statistics: Inception Impact </w:t>
      </w:r>
      <w:r w:rsidRPr="00C84A99">
        <w:rPr>
          <w:rFonts w:ascii="Times New Roman" w:eastAsia="Times New Roman" w:hAnsi="Times New Roman" w:cs="Times New Roman"/>
          <w:sz w:val="18"/>
          <w:szCs w:val="18"/>
        </w:rPr>
        <w:t xml:space="preserve">Assessment, </w:t>
      </w:r>
      <w:r w:rsidRPr="009B5734">
        <w:rPr>
          <w:sz w:val="18"/>
          <w:szCs w:val="18"/>
        </w:rPr>
        <w:tab/>
      </w:r>
      <w:hyperlink r:id="rId24" w:history="1">
        <w:r w:rsidRPr="009B5734">
          <w:rPr>
            <w:rStyle w:val="Hyperlink"/>
            <w:sz w:val="18"/>
            <w:szCs w:val="18"/>
          </w:rPr>
          <w:t>https://ec.europa.eu/info/law/better-regulation/have-your-say/initiatives/12467-Empowering-the-consumer-for-the-green-transition/public-consultation</w:t>
        </w:r>
      </w:hyperlink>
      <w:r w:rsidRPr="009B5734">
        <w:rPr>
          <w:sz w:val="18"/>
          <w:szCs w:val="18"/>
        </w:rPr>
        <w:t xml:space="preserve"> </w:t>
      </w:r>
    </w:p>
  </w:footnote>
  <w:footnote w:id="129">
    <w:p w:rsidR="00164A6B" w:rsidRPr="00014EB8" w:rsidRDefault="00164A6B" w:rsidP="00EA45F9">
      <w:pPr>
        <w:pStyle w:val="FootnoteText"/>
        <w:spacing w:after="0"/>
        <w:ind w:left="0" w:firstLine="0"/>
        <w:rPr>
          <w:sz w:val="18"/>
        </w:rPr>
      </w:pPr>
      <w:r w:rsidRPr="009B5734">
        <w:rPr>
          <w:rStyle w:val="FootnoteReference"/>
          <w:sz w:val="18"/>
          <w:szCs w:val="18"/>
        </w:rPr>
        <w:footnoteRef/>
      </w:r>
      <w:r w:rsidRPr="009B5734">
        <w:rPr>
          <w:sz w:val="18"/>
          <w:szCs w:val="18"/>
        </w:rPr>
        <w:t xml:space="preserve"> </w:t>
      </w:r>
      <w:r w:rsidRPr="00014EB8">
        <w:rPr>
          <w:sz w:val="18"/>
        </w:rPr>
        <w:t xml:space="preserve">Out of which </w:t>
      </w:r>
      <w:r w:rsidRPr="009B5734">
        <w:rPr>
          <w:sz w:val="18"/>
          <w:szCs w:val="18"/>
        </w:rPr>
        <w:t>164 by way of a CATI survey.</w:t>
      </w:r>
    </w:p>
  </w:footnote>
  <w:footnote w:id="130">
    <w:p w:rsidR="00164A6B" w:rsidRPr="00014EB8" w:rsidRDefault="00164A6B" w:rsidP="00EA45F9">
      <w:pPr>
        <w:pStyle w:val="FootnoteText"/>
        <w:spacing w:after="0"/>
        <w:ind w:left="0" w:firstLine="0"/>
        <w:rPr>
          <w:sz w:val="18"/>
        </w:rPr>
      </w:pPr>
      <w:r w:rsidRPr="009B5734">
        <w:rPr>
          <w:rStyle w:val="FootnoteReference"/>
          <w:sz w:val="18"/>
          <w:szCs w:val="18"/>
        </w:rPr>
        <w:footnoteRef/>
      </w:r>
      <w:r w:rsidRPr="009B5734">
        <w:rPr>
          <w:sz w:val="18"/>
          <w:szCs w:val="18"/>
        </w:rPr>
        <w:t xml:space="preserve"> </w:t>
      </w:r>
      <w:r w:rsidRPr="00014EB8">
        <w:rPr>
          <w:sz w:val="18"/>
        </w:rPr>
        <w:t>Includes 2 non-EU citizens.</w:t>
      </w:r>
    </w:p>
  </w:footnote>
  <w:footnote w:id="131">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Includes label, logos, information tools and other certification schemes.</w:t>
      </w:r>
    </w:p>
  </w:footnote>
  <w:footnote w:id="132">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A summary is available via the European Commission’s ‘Have Your Say’ website: </w:t>
      </w:r>
      <w:hyperlink r:id="rId25" w:history="1">
        <w:r w:rsidRPr="009B5734">
          <w:rPr>
            <w:sz w:val="18"/>
            <w:szCs w:val="18"/>
          </w:rPr>
          <w:t>https://ec.europa.eu/info/law/better-regulation/have-your-say/initiatives/12467-Empowering-the-consumer-for-the-green-transition</w:t>
        </w:r>
      </w:hyperlink>
    </w:p>
  </w:footnote>
  <w:footnote w:id="133">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Consumer associations, NGOs and other entities; Business associations; Logos/labels, information tools and certification schemes; Public bodies; EU and international entities.</w:t>
      </w:r>
    </w:p>
  </w:footnote>
  <w:footnote w:id="134">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In this context, durable goods include products such as large household appliances (e.g. washing machines, refrigerators, etc.), small household appliances and tools (e.g. coffee machines, irons, hair dryers, etc.), electronic and IT products (e.g. smartphones, laptops) and furniture (e.g. sofas).</w:t>
      </w:r>
    </w:p>
  </w:footnote>
  <w:footnote w:id="135">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Respondents could select up to 3 out of 15 options.</w:t>
      </w:r>
    </w:p>
  </w:footnote>
  <w:footnote w:id="136">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w:t>
      </w:r>
      <w:r w:rsidRPr="009B5734">
        <w:rPr>
          <w:sz w:val="18"/>
          <w:szCs w:val="18"/>
        </w:rPr>
        <w:tab/>
        <w:t>Consumers were limited to selecting up to 3 out of 14 options.</w:t>
      </w:r>
    </w:p>
  </w:footnote>
  <w:footnote w:id="137">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w:t>
      </w:r>
      <w:r w:rsidRPr="009B5734">
        <w:rPr>
          <w:sz w:val="18"/>
          <w:szCs w:val="18"/>
        </w:rPr>
        <w:tab/>
        <w:t xml:space="preserve">Respondents were asked to provide a score on a scale of 0 to 5, where 0 represents ‘no impact’ and 5 indicates ‘very high impact’. </w:t>
      </w:r>
    </w:p>
  </w:footnote>
  <w:footnote w:id="138">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w:t>
      </w:r>
      <w:r w:rsidRPr="009B5734">
        <w:rPr>
          <w:sz w:val="18"/>
          <w:szCs w:val="18"/>
        </w:rPr>
        <w:tab/>
        <w:t>‘Highly effective’ or ‘Somewhat effective’, ‘Mostly’ or ‘Somewhat’ easy to enforce, ‘Mostly’ or ‘Somewhat’ easy to monitor</w:t>
      </w:r>
    </w:p>
  </w:footnote>
  <w:footnote w:id="139">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w:t>
      </w:r>
      <w:r w:rsidRPr="009B5734">
        <w:rPr>
          <w:sz w:val="18"/>
          <w:szCs w:val="18"/>
        </w:rPr>
        <w:tab/>
        <w:t>Respondents were able to select up to 3 out of a possible 16 measures. This was the third most commonly chosen option.</w:t>
      </w:r>
    </w:p>
  </w:footnote>
  <w:footnote w:id="140">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3 replied "Easy to enforce", 5 "somewhat easy to enforce", 2 “Neither easy nor difficult to enforce”, 4 "Somewhat difficult to enforce" and 1 “Difficult to enforce".</w:t>
      </w:r>
    </w:p>
  </w:footnote>
  <w:footnote w:id="141">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4 replied "Easy to monitor", 3 "Somewhat easy to monitor", 2 “Neither easy nor difficult to enforce”, 3 “Somewhat difficult to monitor", 1 “Difficult to monitor".</w:t>
      </w:r>
    </w:p>
  </w:footnote>
  <w:footnote w:id="142">
    <w:p w:rsidR="00164A6B" w:rsidRPr="00353CBE" w:rsidRDefault="00164A6B" w:rsidP="00C61A50">
      <w:pPr>
        <w:pStyle w:val="FootnoteText"/>
        <w:rPr>
          <w:sz w:val="18"/>
          <w:szCs w:val="18"/>
        </w:rPr>
      </w:pPr>
      <w:r>
        <w:rPr>
          <w:rStyle w:val="FootnoteReference"/>
        </w:rPr>
        <w:footnoteRef/>
      </w:r>
      <w:r>
        <w:t xml:space="preserve"> </w:t>
      </w:r>
      <w:r w:rsidRPr="009B5734">
        <w:rPr>
          <w:sz w:val="18"/>
          <w:szCs w:val="18"/>
        </w:rPr>
        <w:t xml:space="preserve">BEUC, The European Consumer Organisation, </w:t>
      </w:r>
      <w:r w:rsidRPr="009B5734">
        <w:rPr>
          <w:i/>
          <w:sz w:val="18"/>
          <w:szCs w:val="18"/>
        </w:rPr>
        <w:t>Durable and repairable products – changes needed for a successful path towards the green transition</w:t>
      </w:r>
      <w:r w:rsidRPr="009B5734">
        <w:rPr>
          <w:sz w:val="18"/>
          <w:szCs w:val="18"/>
        </w:rPr>
        <w:t>, June 2021.</w:t>
      </w:r>
      <w:r>
        <w:rPr>
          <w:sz w:val="18"/>
          <w:szCs w:val="18"/>
        </w:rPr>
        <w:t xml:space="preserve"> </w:t>
      </w:r>
      <w:r w:rsidRPr="009B5734">
        <w:rPr>
          <w:sz w:val="18"/>
          <w:szCs w:val="18"/>
        </w:rPr>
        <w:t xml:space="preserve">BEUC, </w:t>
      </w:r>
      <w:r w:rsidRPr="7F52AB9A">
        <w:rPr>
          <w:i/>
          <w:iCs/>
          <w:sz w:val="18"/>
          <w:szCs w:val="18"/>
        </w:rPr>
        <w:t>Getting rid of greenwashing</w:t>
      </w:r>
      <w:r w:rsidRPr="009B5734">
        <w:rPr>
          <w:sz w:val="18"/>
          <w:szCs w:val="18"/>
        </w:rPr>
        <w:t xml:space="preserve">, </w:t>
      </w:r>
      <w:r>
        <w:rPr>
          <w:sz w:val="18"/>
          <w:szCs w:val="18"/>
        </w:rPr>
        <w:t xml:space="preserve">Restoring consumer confidence in green claims, </w:t>
      </w:r>
      <w:r w:rsidRPr="009B5734">
        <w:rPr>
          <w:sz w:val="18"/>
          <w:szCs w:val="18"/>
        </w:rPr>
        <w:t>2020</w:t>
      </w:r>
    </w:p>
  </w:footnote>
  <w:footnote w:id="143">
    <w:p w:rsidR="00164A6B" w:rsidRPr="009B5734" w:rsidRDefault="00164A6B" w:rsidP="00EA45F9">
      <w:pPr>
        <w:pStyle w:val="FootnoteText"/>
        <w:spacing w:after="0"/>
        <w:ind w:left="284" w:hanging="284"/>
      </w:pPr>
      <w:r w:rsidRPr="009B5734">
        <w:rPr>
          <w:rStyle w:val="FootnoteReference"/>
        </w:rPr>
        <w:footnoteRef/>
      </w:r>
      <w:r w:rsidRPr="009B5734">
        <w:t xml:space="preserve"> </w:t>
      </w:r>
      <w:r w:rsidRPr="009B5734">
        <w:tab/>
      </w:r>
      <w:r w:rsidRPr="009B5734">
        <w:rPr>
          <w:sz w:val="18"/>
        </w:rPr>
        <w:t xml:space="preserve">Businesses may decide to pass on some of the costs linked to the initiative to consumers. However, the extent of that is not possible to quantify. </w:t>
      </w:r>
    </w:p>
  </w:footnote>
  <w:footnote w:id="144">
    <w:p w:rsidR="00164A6B" w:rsidRPr="00014EB8" w:rsidRDefault="00164A6B" w:rsidP="00EA45F9">
      <w:pPr>
        <w:pStyle w:val="FootnoteText"/>
        <w:spacing w:after="0"/>
        <w:ind w:left="284" w:hanging="284"/>
      </w:pPr>
      <w:r w:rsidRPr="009B5734">
        <w:rPr>
          <w:rStyle w:val="FootnoteReference"/>
        </w:rPr>
        <w:footnoteRef/>
      </w:r>
      <w:r w:rsidRPr="009B5734">
        <w:t xml:space="preserve"> </w:t>
      </w:r>
      <w:r w:rsidRPr="009B5734">
        <w:tab/>
      </w:r>
      <w:r w:rsidRPr="00014EB8">
        <w:rPr>
          <w:sz w:val="18"/>
        </w:rPr>
        <w:t xml:space="preserve">Administrative burdens for the two first measures and compliance costs for the three last ones. </w:t>
      </w:r>
    </w:p>
  </w:footnote>
  <w:footnote w:id="145">
    <w:p w:rsidR="00164A6B" w:rsidRPr="009B5734" w:rsidRDefault="00164A6B" w:rsidP="00EA45F9">
      <w:pPr>
        <w:pStyle w:val="FootnoteText"/>
        <w:spacing w:after="0"/>
        <w:ind w:left="284" w:hanging="284"/>
      </w:pPr>
      <w:r w:rsidRPr="009B5734">
        <w:rPr>
          <w:rStyle w:val="FootnoteReference"/>
        </w:rPr>
        <w:footnoteRef/>
      </w:r>
      <w:r w:rsidRPr="009B5734">
        <w:t xml:space="preserve"> </w:t>
      </w:r>
      <w:r w:rsidRPr="009B5734">
        <w:tab/>
      </w:r>
      <w:r w:rsidRPr="009B5734">
        <w:rPr>
          <w:sz w:val="18"/>
        </w:rPr>
        <w:t xml:space="preserve">Enforcement costs. </w:t>
      </w:r>
    </w:p>
  </w:footnote>
  <w:footnote w:id="146">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w:t>
      </w:r>
      <w:r w:rsidRPr="009B5734">
        <w:rPr>
          <w:sz w:val="18"/>
          <w:szCs w:val="18"/>
        </w:rPr>
        <w:tab/>
        <w:t xml:space="preserve">Either Triangular distribution function of Uniform depending on the parameter. </w:t>
      </w:r>
    </w:p>
  </w:footnote>
  <w:footnote w:id="147">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The companies were from Portugal, Sweden and Belgium. Three were three large enterprises and two micro enterprises. We gathered the data under the commitment that we would not disclose their names.</w:t>
      </w:r>
    </w:p>
  </w:footnote>
  <w:footnote w:id="148">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w:t>
      </w:r>
      <w:r w:rsidRPr="009B5734">
        <w:rPr>
          <w:sz w:val="18"/>
          <w:szCs w:val="18"/>
        </w:rPr>
        <w:tab/>
        <w:t>This was incorporated in the quantitative analysis by ensuring that the costs of improving follow a uniform distribution (0.075, 0.15).</w:t>
      </w:r>
    </w:p>
  </w:footnote>
  <w:footnote w:id="149">
    <w:p w:rsidR="00164A6B" w:rsidRPr="009B5734" w:rsidRDefault="00164A6B" w:rsidP="00EA45F9">
      <w:pPr>
        <w:pStyle w:val="FootnoteText"/>
        <w:spacing w:after="0"/>
        <w:ind w:left="0" w:firstLine="0"/>
        <w:rPr>
          <w:sz w:val="18"/>
          <w:szCs w:val="18"/>
        </w:rPr>
      </w:pPr>
      <w:r w:rsidRPr="009B5734">
        <w:rPr>
          <w:rStyle w:val="FootnoteReference"/>
          <w:rFonts w:eastAsia="Calibri"/>
          <w:sz w:val="18"/>
          <w:szCs w:val="18"/>
        </w:rPr>
        <w:footnoteRef/>
      </w:r>
      <w:r w:rsidRPr="009B5734">
        <w:rPr>
          <w:sz w:val="18"/>
          <w:szCs w:val="18"/>
        </w:rPr>
        <w:t xml:space="preserve"> See Eurostat, Hourly labour costs: https://ec.europa.eu/eurostat/statistics-explained/index.php/Hourly_labour_costs</w:t>
      </w:r>
    </w:p>
  </w:footnote>
  <w:footnote w:id="150">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Eurostat, Population on 1st of January 2021: </w:t>
      </w:r>
      <w:hyperlink r:id="rId26" w:history="1">
        <w:r w:rsidRPr="009B5734">
          <w:rPr>
            <w:sz w:val="18"/>
            <w:szCs w:val="18"/>
          </w:rPr>
          <w:t>https://appsso.eurostat.ec.europa.eu/nui/show.do?dataset=proj_19np&amp;lang=en</w:t>
        </w:r>
      </w:hyperlink>
    </w:p>
  </w:footnote>
  <w:footnote w:id="151">
    <w:p w:rsidR="00164A6B" w:rsidRPr="00353CBE" w:rsidRDefault="00164A6B" w:rsidP="00353CBE">
      <w:pPr>
        <w:rPr>
          <w:sz w:val="18"/>
          <w:szCs w:val="18"/>
        </w:rPr>
      </w:pPr>
      <w:r w:rsidRPr="009B5734">
        <w:rPr>
          <w:rStyle w:val="FootnoteReference"/>
          <w:sz w:val="18"/>
          <w:szCs w:val="18"/>
        </w:rPr>
        <w:footnoteRef/>
      </w:r>
      <w:r w:rsidRPr="009B5734">
        <w:rPr>
          <w:sz w:val="18"/>
          <w:szCs w:val="18"/>
        </w:rPr>
        <w:t xml:space="preserve"> </w:t>
      </w:r>
      <w:r w:rsidRPr="00C84A99">
        <w:rPr>
          <w:rFonts w:ascii="Times New Roman" w:eastAsia="Times New Roman" w:hAnsi="Times New Roman" w:cs="Times New Roman"/>
          <w:sz w:val="18"/>
          <w:szCs w:val="18"/>
        </w:rPr>
        <w:t xml:space="preserve">Eurostat, Annual enterprise statistics by size class for special aggregates of activities, </w:t>
      </w:r>
      <w:r w:rsidRPr="009B5734">
        <w:rPr>
          <w:sz w:val="18"/>
          <w:szCs w:val="18"/>
        </w:rPr>
        <w:t>https://ec.europa.eu/eurostat/databrowser/view/sbs_sc_sca_r2/default/table?lang=en</w:t>
      </w:r>
    </w:p>
  </w:footnote>
  <w:footnote w:id="152">
    <w:p w:rsidR="00164A6B" w:rsidRPr="009B5734" w:rsidRDefault="00164A6B" w:rsidP="00EA45F9">
      <w:pPr>
        <w:pStyle w:val="FootnoteText"/>
        <w:spacing w:after="0"/>
        <w:ind w:left="0" w:firstLine="0"/>
        <w:rPr>
          <w:sz w:val="18"/>
          <w:szCs w:val="18"/>
        </w:rPr>
      </w:pPr>
      <w:r w:rsidRPr="009B5734">
        <w:rPr>
          <w:rStyle w:val="FootnoteReference"/>
          <w:rFonts w:eastAsia="Calibri"/>
          <w:sz w:val="18"/>
          <w:szCs w:val="18"/>
        </w:rPr>
        <w:footnoteRef/>
      </w:r>
      <w:r w:rsidRPr="009B5734">
        <w:rPr>
          <w:sz w:val="18"/>
          <w:szCs w:val="18"/>
        </w:rPr>
        <w:t xml:space="preserve"> Available at: https://www.carbonpricingleadership.org/report-of-the-highlevel-commission-on-carbon-prices/</w:t>
      </w:r>
    </w:p>
  </w:footnote>
  <w:footnote w:id="153">
    <w:p w:rsidR="00164A6B" w:rsidRPr="009B5734" w:rsidRDefault="00164A6B" w:rsidP="00EA45F9">
      <w:pPr>
        <w:pStyle w:val="FootnoteText"/>
        <w:spacing w:after="0"/>
        <w:ind w:left="0" w:firstLine="0"/>
        <w:rPr>
          <w:b/>
          <w:bCs/>
          <w:sz w:val="18"/>
          <w:szCs w:val="18"/>
        </w:rPr>
      </w:pPr>
      <w:r w:rsidRPr="009B5734">
        <w:rPr>
          <w:rStyle w:val="FootnoteReference"/>
          <w:rFonts w:eastAsia="Calibri"/>
          <w:sz w:val="18"/>
          <w:szCs w:val="18"/>
        </w:rPr>
        <w:footnoteRef/>
      </w:r>
      <w:r w:rsidRPr="005D24D2">
        <w:rPr>
          <w:sz w:val="18"/>
          <w:szCs w:val="18"/>
          <w:lang w:val="de-DE"/>
        </w:rPr>
        <w:t xml:space="preserve"> Andersen, O., Walnum, H.J. and Andrae, A., 2010. </w:t>
      </w:r>
      <w:r w:rsidRPr="009B5734">
        <w:rPr>
          <w:sz w:val="18"/>
          <w:szCs w:val="18"/>
        </w:rPr>
        <w:t xml:space="preserve">Life Cycle Assessment of Electronics. Ugelstad-particles Ball Grid Array and Chip Scale Packaging. Vestlandsforsking, Sogndal, Norway, 6(10).; Hu, Allen &amp; Lin, Rong-Wei &amp; Huang, Ching-Yao &amp; Wu, Chin-Lueng. (2012). Carbon Reduction Assessment of a Product Service System: A Case Study of Washing Machines. 10.1007/978-94-007-3010-6_211.; </w:t>
      </w:r>
      <w:hyperlink r:id="rId27" w:history="1">
        <w:r w:rsidRPr="009B5734">
          <w:rPr>
            <w:rStyle w:val="Hyperlink"/>
            <w:sz w:val="18"/>
            <w:szCs w:val="18"/>
          </w:rPr>
          <w:t>https://www.apple.com/environment/pdf/products/notebooks/13-inch_MacBookPro_PER_may2019.pdf</w:t>
        </w:r>
      </w:hyperlink>
      <w:r w:rsidRPr="009B5734">
        <w:rPr>
          <w:sz w:val="18"/>
          <w:szCs w:val="18"/>
        </w:rPr>
        <w:t>; https://www.apple.com/sg/environment/pdf/products/iphone/iPhone_8_PER_sept2017.pdf</w:t>
      </w:r>
    </w:p>
  </w:footnote>
  <w:footnote w:id="154">
    <w:p w:rsidR="00164A6B" w:rsidRPr="009B5734" w:rsidRDefault="00164A6B" w:rsidP="00EA45F9">
      <w:pPr>
        <w:pStyle w:val="FootnoteText"/>
        <w:spacing w:after="0"/>
        <w:ind w:left="0" w:firstLine="0"/>
        <w:rPr>
          <w:sz w:val="18"/>
          <w:szCs w:val="18"/>
        </w:rPr>
      </w:pPr>
      <w:r w:rsidRPr="009B5734">
        <w:rPr>
          <w:rStyle w:val="FootnoteReference"/>
          <w:rFonts w:eastAsia="Calibri"/>
          <w:sz w:val="18"/>
          <w:szCs w:val="18"/>
        </w:rPr>
        <w:footnoteRef/>
      </w:r>
      <w:r w:rsidRPr="009B5734">
        <w:rPr>
          <w:sz w:val="18"/>
          <w:szCs w:val="18"/>
        </w:rPr>
        <w:t xml:space="preserve"> EUR 3.5 million (lower estimate) and EUR 5 million (higher estimate) (in EUR 2012); It was inflated by using the labour cost index.</w:t>
      </w:r>
    </w:p>
  </w:footnote>
  <w:footnote w:id="155">
    <w:p w:rsidR="00164A6B" w:rsidRPr="009B5734" w:rsidRDefault="00164A6B" w:rsidP="00EA45F9">
      <w:pPr>
        <w:pStyle w:val="FootnoteText"/>
        <w:spacing w:after="0"/>
        <w:ind w:left="0" w:firstLine="0"/>
        <w:rPr>
          <w:sz w:val="18"/>
          <w:szCs w:val="18"/>
        </w:rPr>
      </w:pPr>
      <w:r w:rsidRPr="009B5734">
        <w:rPr>
          <w:rStyle w:val="FootnoteReference"/>
          <w:rFonts w:eastAsia="Calibri"/>
          <w:sz w:val="18"/>
          <w:szCs w:val="18"/>
        </w:rPr>
        <w:footnoteRef/>
      </w:r>
      <w:r w:rsidRPr="009B5734">
        <w:rPr>
          <w:sz w:val="18"/>
          <w:szCs w:val="18"/>
        </w:rPr>
        <w:t xml:space="preserve"> Kip W. Viscusi (2019), Identifying the legitimate role of the Value of a Statistical Life in Legal Contexts, Journal of Legal Economics 25(1-2), pp. 5-28; ECHA (2016), Reference willingness-to-pay values for monetizing chemicals health impacts, pp. 1-8, available at: https://echa.europa.eu/support/socio-economic-analysis-in-reach/willingness-to-pay-to-avoid-certain-health-impacts.</w:t>
      </w:r>
    </w:p>
  </w:footnote>
  <w:footnote w:id="156">
    <w:p w:rsidR="00164A6B" w:rsidRPr="00353CBE" w:rsidRDefault="00164A6B" w:rsidP="00353CBE">
      <w:pPr>
        <w:rPr>
          <w:sz w:val="18"/>
          <w:szCs w:val="18"/>
        </w:rPr>
      </w:pPr>
      <w:r w:rsidRPr="009B5734">
        <w:rPr>
          <w:rStyle w:val="FootnoteReference"/>
          <w:rFonts w:eastAsia="Calibri"/>
          <w:sz w:val="18"/>
          <w:szCs w:val="18"/>
        </w:rPr>
        <w:footnoteRef/>
      </w:r>
      <w:r w:rsidRPr="187AED7D">
        <w:t xml:space="preserve"> </w:t>
      </w:r>
      <w:r w:rsidRPr="00353CBE">
        <w:rPr>
          <w:rFonts w:ascii="Times New Roman" w:eastAsia="Times New Roman" w:hAnsi="Times New Roman" w:cs="Times New Roman"/>
          <w:sz w:val="18"/>
          <w:szCs w:val="18"/>
        </w:rPr>
        <w:t xml:space="preserve">The Cost of Recycling E-Waste is becoming a Problem, </w:t>
      </w:r>
      <w:hyperlink r:id="rId28" w:history="1">
        <w:r w:rsidRPr="009B5734">
          <w:rPr>
            <w:rStyle w:val="Hyperlink"/>
            <w:sz w:val="18"/>
            <w:szCs w:val="18"/>
          </w:rPr>
          <w:t>https://sites.psu.edu/cstruthersblog/2016/04/27/the-cost-of-recycling-e-waste-is-becoming-a-problem/</w:t>
        </w:r>
      </w:hyperlink>
      <w:r w:rsidRPr="009B5734">
        <w:rPr>
          <w:sz w:val="18"/>
          <w:szCs w:val="18"/>
        </w:rPr>
        <w:t>; https://ec.europa.eu/environment//waste/studies/pdf/eucostwaste.pdf</w:t>
      </w:r>
    </w:p>
  </w:footnote>
  <w:footnote w:id="157">
    <w:p w:rsidR="00164A6B" w:rsidRPr="009B5734" w:rsidRDefault="00164A6B" w:rsidP="00EA45F9">
      <w:pPr>
        <w:pStyle w:val="FootnoteText"/>
        <w:spacing w:after="0"/>
        <w:ind w:left="0" w:firstLine="0"/>
        <w:rPr>
          <w:sz w:val="18"/>
          <w:szCs w:val="18"/>
        </w:rPr>
      </w:pPr>
      <w:r w:rsidRPr="009B5734">
        <w:rPr>
          <w:rStyle w:val="FootnoteReference"/>
          <w:rFonts w:eastAsia="Calibri"/>
          <w:sz w:val="18"/>
          <w:szCs w:val="18"/>
        </w:rPr>
        <w:footnoteRef/>
      </w:r>
      <w:r w:rsidRPr="009B5734">
        <w:rPr>
          <w:sz w:val="18"/>
          <w:szCs w:val="18"/>
        </w:rPr>
        <w:t xml:space="preserve"> COWI &amp; ECOFYS, 2019. “Support for potential policies implementing the Environmental Footprint methods”. Confidential.</w:t>
      </w:r>
    </w:p>
  </w:footnote>
  <w:footnote w:id="158">
    <w:p w:rsidR="00164A6B" w:rsidRPr="00353CBE" w:rsidRDefault="00164A6B" w:rsidP="00353CBE">
      <w:pPr>
        <w:rPr>
          <w:sz w:val="18"/>
          <w:szCs w:val="18"/>
        </w:rPr>
      </w:pPr>
      <w:r w:rsidRPr="009B5734">
        <w:rPr>
          <w:rStyle w:val="FootnoteReference"/>
          <w:rFonts w:eastAsia="Calibri"/>
          <w:sz w:val="18"/>
          <w:szCs w:val="18"/>
        </w:rPr>
        <w:footnoteRef/>
      </w:r>
      <w:r w:rsidRPr="009B5734">
        <w:rPr>
          <w:sz w:val="18"/>
          <w:szCs w:val="18"/>
        </w:rPr>
        <w:t xml:space="preserve"> </w:t>
      </w:r>
      <w:r w:rsidRPr="00353CBE">
        <w:rPr>
          <w:rFonts w:ascii="Times New Roman" w:eastAsia="Times New Roman" w:hAnsi="Times New Roman" w:cs="Times New Roman"/>
          <w:sz w:val="18"/>
          <w:szCs w:val="18"/>
        </w:rPr>
        <w:t>Including</w:t>
      </w:r>
      <w:r w:rsidRPr="009B5734">
        <w:rPr>
          <w:sz w:val="18"/>
          <w:szCs w:val="18"/>
        </w:rPr>
        <w:t xml:space="preserve">, </w:t>
      </w:r>
      <w:r w:rsidRPr="00353CBE">
        <w:rPr>
          <w:rFonts w:ascii="Times New Roman" w:eastAsia="Times New Roman" w:hAnsi="Times New Roman" w:cs="Times New Roman"/>
          <w:sz w:val="18"/>
          <w:szCs w:val="18"/>
        </w:rPr>
        <w:t xml:space="preserve">European Commission, JRC Technical reports, </w:t>
      </w:r>
      <w:r w:rsidRPr="00353CBE">
        <w:rPr>
          <w:rFonts w:ascii="Times New Roman" w:eastAsia="Times New Roman" w:hAnsi="Times New Roman" w:cs="Times New Roman"/>
          <w:i/>
          <w:sz w:val="18"/>
          <w:szCs w:val="18"/>
        </w:rPr>
        <w:t>Ecodesign and Energy Label for Household Washing machines and washer dryers</w:t>
      </w:r>
      <w:r w:rsidRPr="00C84A99">
        <w:rPr>
          <w:rFonts w:ascii="Times New Roman" w:eastAsia="Times New Roman" w:hAnsi="Times New Roman" w:cs="Times New Roman"/>
          <w:sz w:val="18"/>
          <w:szCs w:val="18"/>
        </w:rPr>
        <w:t xml:space="preserve">, 2017, available at: </w:t>
      </w:r>
      <w:r w:rsidRPr="00C84A99">
        <w:rPr>
          <w:sz w:val="18"/>
          <w:szCs w:val="18"/>
        </w:rPr>
        <w:t xml:space="preserve">https://www.applia-europe.eu/images/Library/Preparatory_Study_on_Washing_Machines__Washer_Dryers_-_2017-compress_compressed.pdf; </w:t>
      </w:r>
      <w:r w:rsidRPr="00C84A99">
        <w:rPr>
          <w:rFonts w:ascii="Times New Roman" w:eastAsia="Times New Roman" w:hAnsi="Times New Roman" w:cs="Times New Roman"/>
          <w:sz w:val="18"/>
          <w:szCs w:val="18"/>
        </w:rPr>
        <w:t xml:space="preserve">F Sumasto et al 2019 IOP Conf. Ser.: Earth Environ. Sci. 219 012008, available at: </w:t>
      </w:r>
      <w:r w:rsidRPr="009B5734">
        <w:rPr>
          <w:sz w:val="18"/>
          <w:szCs w:val="18"/>
        </w:rPr>
        <w:t xml:space="preserve"> https://iopscience.iop.org/article/10.1088/1755-1315/219/1/012008/pdf; </w:t>
      </w:r>
      <w:r w:rsidRPr="00353CBE">
        <w:rPr>
          <w:rFonts w:ascii="Times New Roman" w:eastAsia="Times New Roman" w:hAnsi="Times New Roman" w:cs="Times New Roman"/>
          <w:sz w:val="18"/>
          <w:szCs w:val="18"/>
        </w:rPr>
        <w:t>National Association of Home Builders/Bank of America Home Equity, Study of Life Expectancy of Home Components, 2007, available at:</w:t>
      </w:r>
      <w:r w:rsidRPr="009B5734">
        <w:rPr>
          <w:sz w:val="18"/>
          <w:szCs w:val="18"/>
        </w:rPr>
        <w:t xml:space="preserve"> https://www.interstatebrick.com/sites/default/files/library/nahb20study20of20life20expectancy20of20home20components.pdf</w:t>
      </w:r>
      <w:r w:rsidRPr="00353CBE">
        <w:rPr>
          <w:sz w:val="18"/>
          <w:szCs w:val="18"/>
        </w:rPr>
        <w:t xml:space="preserve">; </w:t>
      </w:r>
      <w:r>
        <w:t>Consumer survey on the lifespan of products</w:t>
      </w:r>
      <w:r w:rsidRPr="009B5734">
        <w:rPr>
          <w:sz w:val="18"/>
          <w:szCs w:val="18"/>
        </w:rPr>
        <w:t xml:space="preserve">; </w:t>
      </w:r>
      <w:hyperlink r:id="rId29" w:history="1">
        <w:r w:rsidRPr="009B5734">
          <w:rPr>
            <w:rStyle w:val="Hyperlink"/>
            <w:sz w:val="18"/>
            <w:szCs w:val="18"/>
          </w:rPr>
          <w:t>https://www.consumentenbond.nl/binaries/content/assets/cbhippowebsite/gidsen/digitaalgids/2016/nummer-3---mei/dg201605p20_enquete_levensduur.pdf</w:t>
        </w:r>
      </w:hyperlink>
      <w:r w:rsidRPr="009B5734">
        <w:rPr>
          <w:sz w:val="18"/>
          <w:szCs w:val="18"/>
        </w:rPr>
        <w:t>.</w:t>
      </w:r>
      <w:r w:rsidRPr="00C84A99">
        <w:rPr>
          <w:sz w:val="18"/>
          <w:szCs w:val="18"/>
        </w:rPr>
        <w:t xml:space="preserve"> </w:t>
      </w:r>
      <w:hyperlink r:id="rId30">
        <w:r w:rsidRPr="00C84A99">
          <w:rPr>
            <w:rStyle w:val="Hyperlink"/>
            <w:sz w:val="18"/>
            <w:szCs w:val="18"/>
          </w:rPr>
          <w:t>https://www.consumentenbond.nl/binaries/content/assets/cbhippowebsite/gidsen/digitaalgids/2016/nummer-3---mei/dg201605p20_enquete_levensduur.pdf</w:t>
        </w:r>
      </w:hyperlink>
      <w:r w:rsidRPr="00C84A99">
        <w:rPr>
          <w:sz w:val="18"/>
          <w:szCs w:val="18"/>
        </w:rPr>
        <w:t>.</w:t>
      </w:r>
    </w:p>
  </w:footnote>
  <w:footnote w:id="159">
    <w:p w:rsidR="00164A6B" w:rsidRPr="00C84A99" w:rsidRDefault="00164A6B">
      <w:pPr>
        <w:pStyle w:val="FootnoteText"/>
        <w:spacing w:after="0"/>
        <w:ind w:left="0" w:firstLine="0"/>
        <w:rPr>
          <w:sz w:val="18"/>
          <w:szCs w:val="18"/>
        </w:rPr>
      </w:pPr>
      <w:r w:rsidRPr="009B5734">
        <w:rPr>
          <w:rStyle w:val="FootnoteReference"/>
          <w:rFonts w:eastAsia="Calibri"/>
          <w:sz w:val="18"/>
          <w:szCs w:val="18"/>
        </w:rPr>
        <w:footnoteRef/>
      </w:r>
      <w:r w:rsidRPr="009B5734">
        <w:rPr>
          <w:sz w:val="18"/>
          <w:szCs w:val="18"/>
        </w:rPr>
        <w:t xml:space="preserve"> European Commission register, available at: </w:t>
      </w:r>
      <w:r w:rsidRPr="00275642">
        <w:rPr>
          <w:sz w:val="18"/>
          <w:szCs w:val="18"/>
        </w:rPr>
        <w:t xml:space="preserve">https://ec.europa.eu/transparency/regdoc/rep/10102/2019/EN/SWD-2019-349-F1-EN-MAIN-PART-2.PDF; European Commission, SWD(2019) 347 final: </w:t>
      </w:r>
      <w:r w:rsidRPr="41200F84">
        <w:t>﷟</w:t>
      </w:r>
      <w:r w:rsidRPr="00275642">
        <w:rPr>
          <w:rStyle w:val="Hyperlink"/>
          <w:sz w:val="18"/>
          <w:szCs w:val="18"/>
        </w:rPr>
        <w:t xml:space="preserve"> </w:t>
      </w:r>
      <w:hyperlink r:id="rId31" w:history="1">
        <w:r w:rsidRPr="00BB32E9">
          <w:rPr>
            <w:rStyle w:val="Hyperlink"/>
            <w:sz w:val="18"/>
            <w:szCs w:val="18"/>
          </w:rPr>
          <w:t>https://eur-lex.europa.eu/legal-content/EN/TXT/PDF/?uri=CELEX:52019SC0347&amp;from=EN</w:t>
        </w:r>
      </w:hyperlink>
      <w:r>
        <w:rPr>
          <w:sz w:val="18"/>
          <w:szCs w:val="18"/>
        </w:rPr>
        <w:t xml:space="preserve">; </w:t>
      </w:r>
      <w:hyperlink r:id="rId32" w:history="1">
        <w:r w:rsidRPr="00275642">
          <w:rPr>
            <w:rStyle w:val="Hyperlink"/>
            <w:sz w:val="18"/>
            <w:szCs w:val="18"/>
          </w:rPr>
          <w:t>https://eur-lex.europa.eu/legal-content/EN/TXT/PDF/?uri=CELEX:52019SC0354&amp;from=EN</w:t>
        </w:r>
      </w:hyperlink>
      <w:r w:rsidRPr="00275642">
        <w:rPr>
          <w:sz w:val="18"/>
          <w:szCs w:val="18"/>
        </w:rPr>
        <w:t xml:space="preserve">; European Commission, </w:t>
      </w:r>
      <w:r w:rsidRPr="41200F84">
        <w:t>SWD(2019) 341 final:</w:t>
      </w:r>
      <w:r w:rsidRPr="009B5734">
        <w:rPr>
          <w:sz w:val="18"/>
          <w:szCs w:val="18"/>
        </w:rPr>
        <w:t xml:space="preserve"> </w:t>
      </w:r>
      <w:hyperlink r:id="rId33" w:history="1">
        <w:r w:rsidRPr="009B5734">
          <w:rPr>
            <w:rStyle w:val="Hyperlink"/>
            <w:sz w:val="18"/>
            <w:szCs w:val="18"/>
          </w:rPr>
          <w:t>https://eur-lex.europa.eu/legal-content/EN/TXT/PDF/?uri=CELEX:52019SC0341&amp;from=EN</w:t>
        </w:r>
      </w:hyperlink>
      <w:r w:rsidRPr="009B5734">
        <w:rPr>
          <w:sz w:val="18"/>
          <w:szCs w:val="18"/>
        </w:rPr>
        <w:t xml:space="preserve"> </w:t>
      </w:r>
    </w:p>
  </w:footnote>
  <w:footnote w:id="160">
    <w:p w:rsidR="00164A6B" w:rsidRPr="00353CBE" w:rsidRDefault="00164A6B" w:rsidP="00353CBE">
      <w:pPr>
        <w:pStyle w:val="FootnoteText"/>
        <w:spacing w:after="0"/>
        <w:ind w:left="0" w:firstLine="0"/>
        <w:rPr>
          <w:sz w:val="18"/>
          <w:szCs w:val="18"/>
        </w:rPr>
      </w:pPr>
      <w:r w:rsidRPr="009B5734">
        <w:rPr>
          <w:rStyle w:val="FootnoteReference"/>
          <w:rFonts w:eastAsia="Calibri"/>
          <w:sz w:val="18"/>
          <w:szCs w:val="18"/>
        </w:rPr>
        <w:footnoteRef/>
      </w:r>
      <w:hyperlink r:id="rId34" w:history="1">
        <w:r w:rsidRPr="009B5734">
          <w:rPr>
            <w:rStyle w:val="Hyperlink"/>
            <w:sz w:val="18"/>
            <w:szCs w:val="18"/>
          </w:rPr>
          <w:t>http://www.atlete.eu/2/doc/Draft_GuidelinesRev4_october2013</w:t>
        </w:r>
      </w:hyperlink>
      <w:r w:rsidRPr="009B5734">
        <w:rPr>
          <w:sz w:val="18"/>
          <w:szCs w:val="18"/>
        </w:rPr>
        <w:t xml:space="preserve">; European Commission, </w:t>
      </w:r>
      <w:r w:rsidRPr="00353CBE">
        <w:rPr>
          <w:sz w:val="18"/>
          <w:szCs w:val="18"/>
        </w:rPr>
        <w:t xml:space="preserve">SWD(2019)341: </w:t>
      </w:r>
      <w:hyperlink r:id="rId35" w:tgtFrame="_blank" w:history="1">
        <w:r w:rsidRPr="009B5734">
          <w:rPr>
            <w:rStyle w:val="Hyperlink"/>
            <w:color w:val="1155CC"/>
            <w:sz w:val="18"/>
            <w:szCs w:val="18"/>
            <w:shd w:val="clear" w:color="auto" w:fill="FFFFFF"/>
          </w:rPr>
          <w:t>https://ec.europa.eu/transparency/regdoc/rep/10102/2019/EN/SWD-2019-341-F1-EN-MAIN-PART-1.PDF</w:t>
        </w:r>
      </w:hyperlink>
    </w:p>
  </w:footnote>
  <w:footnote w:id="161">
    <w:p w:rsidR="00164A6B" w:rsidRPr="00353CBE" w:rsidRDefault="00164A6B" w:rsidP="00353CBE">
      <w:pPr>
        <w:pStyle w:val="FootnoteText"/>
        <w:spacing w:after="0"/>
        <w:ind w:left="0" w:firstLine="0"/>
        <w:rPr>
          <w:sz w:val="18"/>
          <w:szCs w:val="18"/>
        </w:rPr>
      </w:pPr>
      <w:r w:rsidRPr="009B5734">
        <w:rPr>
          <w:rStyle w:val="FootnoteReference"/>
          <w:rFonts w:eastAsia="Calibri"/>
          <w:sz w:val="18"/>
          <w:szCs w:val="18"/>
        </w:rPr>
        <w:footnoteRef/>
      </w:r>
      <w:r w:rsidRPr="009B5734">
        <w:rPr>
          <w:sz w:val="18"/>
          <w:szCs w:val="18"/>
        </w:rPr>
        <w:t xml:space="preserve"> European Commission, </w:t>
      </w:r>
      <w:r w:rsidRPr="00353CBE">
        <w:rPr>
          <w:sz w:val="18"/>
          <w:szCs w:val="18"/>
        </w:rPr>
        <w:t>SWD(2019)349:</w:t>
      </w:r>
      <w:r w:rsidRPr="00353CBE">
        <w:rPr>
          <w:rFonts w:ascii="Arial" w:eastAsia="Arial" w:hAnsi="Arial" w:cs="Arial"/>
          <w:color w:val="000000" w:themeColor="text1"/>
          <w:sz w:val="21"/>
          <w:szCs w:val="21"/>
        </w:rPr>
        <w:t xml:space="preserve"> </w:t>
      </w:r>
      <w:r w:rsidRPr="00C84A99">
        <w:rPr>
          <w:sz w:val="18"/>
          <w:szCs w:val="18"/>
        </w:rPr>
        <w:t>https://ec.europa.eu/transparency/regdoc/rep/10102/2019/EN/SWD-2019-349-F1-EN-MAIN-PART-2.PDF; European Commission, SWD(2019) 347 final</w:t>
      </w:r>
      <w:r w:rsidRPr="009B5734">
        <w:rPr>
          <w:sz w:val="18"/>
          <w:szCs w:val="18"/>
        </w:rPr>
        <w:t xml:space="preserve"> </w:t>
      </w:r>
      <w:hyperlink r:id="rId36" w:history="1">
        <w:r w:rsidRPr="009B5734">
          <w:rPr>
            <w:rStyle w:val="Hyperlink"/>
            <w:sz w:val="18"/>
            <w:szCs w:val="18"/>
          </w:rPr>
          <w:t>https://eur-lex.europa.eu/legal-content/EN/TXT/PDF/?uri=CELEX:52019SC0347&amp;from=EN</w:t>
        </w:r>
      </w:hyperlink>
      <w:r w:rsidRPr="009B5734">
        <w:rPr>
          <w:sz w:val="18"/>
          <w:szCs w:val="18"/>
        </w:rPr>
        <w:t xml:space="preserve">; </w:t>
      </w:r>
      <w:hyperlink r:id="rId37" w:history="1">
        <w:r w:rsidRPr="009B5734">
          <w:rPr>
            <w:rStyle w:val="Hyperlink"/>
            <w:sz w:val="18"/>
            <w:szCs w:val="18"/>
          </w:rPr>
          <w:t>https://eur-lex.europa.eu/legal-content/EN/TXT/PDF/?uri=CELEX:52019SC0354&amp;from=EN</w:t>
        </w:r>
      </w:hyperlink>
      <w:r w:rsidRPr="009B5734">
        <w:rPr>
          <w:sz w:val="18"/>
          <w:szCs w:val="18"/>
        </w:rPr>
        <w:t xml:space="preserve">; </w:t>
      </w:r>
      <w:r w:rsidRPr="00C84A99">
        <w:rPr>
          <w:sz w:val="18"/>
          <w:szCs w:val="18"/>
        </w:rPr>
        <w:t>European Commission, SWD(2019) 341 final</w:t>
      </w:r>
      <w:hyperlink r:id="rId38" w:history="1">
        <w:r w:rsidRPr="009B5734">
          <w:rPr>
            <w:rStyle w:val="Hyperlink"/>
            <w:sz w:val="18"/>
            <w:szCs w:val="18"/>
          </w:rPr>
          <w:t>https://eur-lex.europa.eu/legal-content/EN/TXT/PDF/?uri=CELEX:52019SC0341&amp;from=EN</w:t>
        </w:r>
      </w:hyperlink>
      <w:r w:rsidRPr="009B5734">
        <w:rPr>
          <w:sz w:val="18"/>
          <w:szCs w:val="18"/>
        </w:rPr>
        <w:t xml:space="preserve"> </w:t>
      </w:r>
    </w:p>
  </w:footnote>
  <w:footnote w:id="162">
    <w:p w:rsidR="00164A6B" w:rsidRPr="00C84A99" w:rsidRDefault="00164A6B" w:rsidP="00353CBE">
      <w:pPr>
        <w:pStyle w:val="FootnoteText"/>
        <w:spacing w:after="0"/>
        <w:ind w:left="0" w:firstLine="0"/>
        <w:rPr>
          <w:sz w:val="18"/>
          <w:szCs w:val="18"/>
        </w:rPr>
      </w:pPr>
      <w:r w:rsidRPr="00353CBE">
        <w:rPr>
          <w:rStyle w:val="FootnoteReference"/>
          <w:sz w:val="18"/>
          <w:szCs w:val="18"/>
        </w:rPr>
        <w:footnoteRef/>
      </w:r>
      <w:r w:rsidRPr="00353CBE">
        <w:rPr>
          <w:sz w:val="18"/>
          <w:szCs w:val="18"/>
        </w:rPr>
        <w:t xml:space="preserve"> European Commission, SWD(2019)349:</w:t>
      </w:r>
      <w:r w:rsidRPr="00353CBE">
        <w:rPr>
          <w:color w:val="000000" w:themeColor="text1"/>
          <w:sz w:val="18"/>
          <w:szCs w:val="18"/>
        </w:rPr>
        <w:t xml:space="preserve"> </w:t>
      </w:r>
      <w:r w:rsidRPr="00353CBE">
        <w:rPr>
          <w:sz w:val="18"/>
          <w:szCs w:val="18"/>
        </w:rPr>
        <w:t>https://ec.europa.eu/transparency/regdoc/rep/10102/2019/EN/SWD-2019-349-F1-EN-MAI</w:t>
      </w:r>
      <w:r w:rsidRPr="00614BCC">
        <w:rPr>
          <w:sz w:val="18"/>
          <w:szCs w:val="18"/>
        </w:rPr>
        <w:t xml:space="preserve">N-PART-2.PDF; European Commission, </w:t>
      </w:r>
      <w:r w:rsidRPr="00C84A99">
        <w:rPr>
          <w:rStyle w:val="Hyperlink"/>
          <w:sz w:val="18"/>
          <w:szCs w:val="18"/>
        </w:rPr>
        <w:t>https://ec.europa.eu/transparency/regdoc/rep/10102/2019/EN/SWD-2019-349-F1-EN-MAIN-PART-2.PDF</w:t>
      </w:r>
      <w:r w:rsidRPr="00C84A99">
        <w:rPr>
          <w:sz w:val="18"/>
          <w:szCs w:val="18"/>
        </w:rPr>
        <w:t xml:space="preserve">; European Commission, SWD(2019)349: </w:t>
      </w:r>
      <w:hyperlink r:id="rId39">
        <w:r w:rsidRPr="00C84A99">
          <w:rPr>
            <w:rStyle w:val="Hyperlink"/>
            <w:sz w:val="18"/>
            <w:szCs w:val="18"/>
          </w:rPr>
          <w:t>https://eur-lex.europa.eu/legal-content/EN/TXT/PDF/?uri=CELEX:52019SC0347&amp;from=EN</w:t>
        </w:r>
      </w:hyperlink>
      <w:r w:rsidRPr="00C84A99">
        <w:rPr>
          <w:sz w:val="18"/>
          <w:szCs w:val="18"/>
        </w:rPr>
        <w:t xml:space="preserve">; European Commission, https://eur-lex.europa.eu/legal-content/EN/TXT/PDF/?uri=CELEX:52019SC0354&amp;from=EN; European Commission, Brussels, SWD(2019) 341 final  </w:t>
      </w:r>
      <w:hyperlink r:id="rId40">
        <w:r w:rsidRPr="00C84A99">
          <w:rPr>
            <w:rStyle w:val="Hyperlink"/>
            <w:sz w:val="18"/>
            <w:szCs w:val="18"/>
          </w:rPr>
          <w:t>https://eur-lex.europa.eu/legal-content/EN/TXT/PDF/?uri=CELEX:52019SC0341&amp;from=EN</w:t>
        </w:r>
      </w:hyperlink>
      <w:r w:rsidRPr="00C84A99">
        <w:rPr>
          <w:sz w:val="18"/>
          <w:szCs w:val="18"/>
        </w:rPr>
        <w:t xml:space="preserve"> </w:t>
      </w:r>
    </w:p>
  </w:footnote>
  <w:footnote w:id="163">
    <w:p w:rsidR="00164A6B" w:rsidRPr="00353CBE" w:rsidRDefault="00164A6B" w:rsidP="00353CBE">
      <w:pPr>
        <w:rPr>
          <w:sz w:val="18"/>
          <w:szCs w:val="18"/>
        </w:rPr>
      </w:pPr>
      <w:r w:rsidRPr="009B5734">
        <w:rPr>
          <w:rStyle w:val="FootnoteReference"/>
          <w:rFonts w:eastAsia="Calibri"/>
          <w:sz w:val="18"/>
          <w:szCs w:val="18"/>
        </w:rPr>
        <w:footnoteRef/>
      </w:r>
      <w:r w:rsidRPr="00353CBE">
        <w:rPr>
          <w:sz w:val="18"/>
          <w:szCs w:val="18"/>
        </w:rPr>
        <w:t xml:space="preserve"> </w:t>
      </w:r>
      <w:r w:rsidRPr="00353CBE">
        <w:rPr>
          <w:rFonts w:ascii="Times New Roman" w:eastAsia="Times New Roman" w:hAnsi="Times New Roman" w:cs="Times New Roman"/>
          <w:sz w:val="18"/>
          <w:szCs w:val="18"/>
        </w:rPr>
        <w:t>European Commission, Support study for the I</w:t>
      </w:r>
      <w:r w:rsidRPr="00614BCC">
        <w:rPr>
          <w:rFonts w:ascii="Times New Roman" w:eastAsia="Times New Roman" w:hAnsi="Times New Roman" w:cs="Times New Roman"/>
          <w:sz w:val="18"/>
          <w:szCs w:val="18"/>
        </w:rPr>
        <w:t xml:space="preserve">mpact </w:t>
      </w:r>
      <w:r w:rsidRPr="00C84A99">
        <w:rPr>
          <w:rFonts w:ascii="Times New Roman" w:eastAsia="Times New Roman" w:hAnsi="Times New Roman" w:cs="Times New Roman"/>
          <w:sz w:val="18"/>
          <w:szCs w:val="18"/>
        </w:rPr>
        <w:t xml:space="preserve">Assessment on the review of the CPC Regulation 2006/2004/EC: </w:t>
      </w:r>
      <w:hyperlink r:id="rId41">
        <w:r w:rsidRPr="00353CBE">
          <w:rPr>
            <w:rStyle w:val="Hyperlink"/>
            <w:sz w:val="18"/>
            <w:szCs w:val="18"/>
          </w:rPr>
          <w:t>https://ec.europa.eu/info/sites/info/files/cpc_review_support_study_1_en.pdf;</w:t>
        </w:r>
      </w:hyperlink>
      <w:r w:rsidRPr="00353CBE">
        <w:rPr>
          <w:sz w:val="18"/>
          <w:szCs w:val="18"/>
        </w:rPr>
        <w:t xml:space="preserve"> and </w:t>
      </w:r>
      <w:r w:rsidRPr="00353CBE">
        <w:rPr>
          <w:rFonts w:ascii="Times New Roman" w:eastAsia="Times New Roman" w:hAnsi="Times New Roman" w:cs="Times New Roman"/>
          <w:sz w:val="18"/>
          <w:szCs w:val="18"/>
        </w:rPr>
        <w:t>European Commission, SWD(2016) 164 final</w:t>
      </w:r>
      <w:r w:rsidRPr="00275642">
        <w:rPr>
          <w:rFonts w:ascii="Times New Roman" w:eastAsia="Times New Roman" w:hAnsi="Times New Roman" w:cs="Times New Roman"/>
          <w:sz w:val="18"/>
          <w:szCs w:val="18"/>
        </w:rPr>
        <w:t>:</w:t>
      </w:r>
      <w:r w:rsidRPr="00353CBE">
        <w:rPr>
          <w:sz w:val="18"/>
          <w:szCs w:val="18"/>
        </w:rPr>
        <w:t xml:space="preserve"> </w:t>
      </w:r>
      <w:hyperlink r:id="rId42" w:history="1">
        <w:r w:rsidRPr="00353CBE">
          <w:rPr>
            <w:rStyle w:val="Hyperlink"/>
            <w:sz w:val="18"/>
            <w:szCs w:val="18"/>
          </w:rPr>
          <w:t>https://eur-lex.europa.eu/legal-content/EN/TXT/PDF/?uri=CELEX:52016SC0164&amp;from=EN</w:t>
        </w:r>
      </w:hyperlink>
      <w:r w:rsidRPr="00353CBE">
        <w:rPr>
          <w:sz w:val="18"/>
          <w:szCs w:val="18"/>
        </w:rPr>
        <w:t xml:space="preserve"> .</w:t>
      </w:r>
    </w:p>
  </w:footnote>
  <w:footnote w:id="164">
    <w:p w:rsidR="00164A6B" w:rsidRPr="00353CBE" w:rsidRDefault="00164A6B" w:rsidP="00353CBE">
      <w:pPr>
        <w:tabs>
          <w:tab w:val="left" w:pos="1276"/>
        </w:tabs>
        <w:rPr>
          <w:sz w:val="18"/>
          <w:szCs w:val="18"/>
        </w:rPr>
      </w:pPr>
      <w:r w:rsidRPr="009B5734">
        <w:rPr>
          <w:rStyle w:val="FootnoteReference"/>
          <w:rFonts w:eastAsia="Calibri"/>
          <w:sz w:val="18"/>
          <w:szCs w:val="18"/>
        </w:rPr>
        <w:footnoteRef/>
      </w:r>
      <w:r w:rsidRPr="009B5734">
        <w:rPr>
          <w:sz w:val="18"/>
          <w:szCs w:val="18"/>
        </w:rPr>
        <w:t xml:space="preserve"> </w:t>
      </w:r>
      <w:r w:rsidRPr="00C84A99">
        <w:rPr>
          <w:rFonts w:ascii="Times New Roman" w:eastAsia="Times New Roman" w:hAnsi="Times New Roman" w:cs="Times New Roman"/>
          <w:sz w:val="18"/>
          <w:szCs w:val="18"/>
        </w:rPr>
        <w:t xml:space="preserve">European Commission, SWD(2019)349: </w:t>
      </w:r>
      <w:r w:rsidRPr="009B5734">
        <w:rPr>
          <w:sz w:val="18"/>
          <w:szCs w:val="18"/>
        </w:rPr>
        <w:t xml:space="preserve">https://ec.europa.eu/transparency/regdoc/rep/10102/2019/EN/SWD-2019-349-F1-EN-MAIN-PART-2.PDF; </w:t>
      </w:r>
      <w:r w:rsidRPr="00353CBE">
        <w:rPr>
          <w:rFonts w:ascii="Times New Roman" w:eastAsia="Times New Roman" w:hAnsi="Times New Roman" w:cs="Times New Roman"/>
          <w:sz w:val="18"/>
          <w:szCs w:val="18"/>
        </w:rPr>
        <w:t>European Commission, SWD(2019)347 final:</w:t>
      </w:r>
      <w:r w:rsidRPr="009B5734">
        <w:rPr>
          <w:sz w:val="18"/>
          <w:szCs w:val="18"/>
        </w:rPr>
        <w:t xml:space="preserve"> </w:t>
      </w:r>
      <w:hyperlink r:id="rId43" w:history="1">
        <w:r w:rsidRPr="009B5734">
          <w:rPr>
            <w:rStyle w:val="Hyperlink"/>
            <w:sz w:val="18"/>
            <w:szCs w:val="18"/>
          </w:rPr>
          <w:t>https://eur-lex.europa.eu/legal-content/EN/TXT/PDF/?uri=CELEX:52019SC0347&amp;from=EN</w:t>
        </w:r>
      </w:hyperlink>
      <w:r w:rsidRPr="009B5734">
        <w:rPr>
          <w:sz w:val="18"/>
          <w:szCs w:val="18"/>
        </w:rPr>
        <w:t xml:space="preserve">; </w:t>
      </w:r>
      <w:hyperlink r:id="rId44" w:history="1">
        <w:r w:rsidRPr="009B5734">
          <w:rPr>
            <w:rStyle w:val="Hyperlink"/>
            <w:sz w:val="18"/>
            <w:szCs w:val="18"/>
          </w:rPr>
          <w:t>https://eur-lex.europa.eu/legal-content/EN/TXT/PDF/?uri=CELEX:52019SC0354&amp;from=EN</w:t>
        </w:r>
      </w:hyperlink>
      <w:r w:rsidRPr="009B5734">
        <w:rPr>
          <w:sz w:val="18"/>
          <w:szCs w:val="18"/>
        </w:rPr>
        <w:t xml:space="preserve">; </w:t>
      </w:r>
      <w:r w:rsidRPr="00C84A99">
        <w:rPr>
          <w:rFonts w:ascii="Times New Roman" w:eastAsia="Times New Roman" w:hAnsi="Times New Roman" w:cs="Times New Roman"/>
          <w:sz w:val="18"/>
          <w:szCs w:val="18"/>
        </w:rPr>
        <w:t xml:space="preserve">European Commission, SWD(2019)341 final: </w:t>
      </w:r>
      <w:hyperlink r:id="rId45" w:history="1">
        <w:r w:rsidRPr="009B5734">
          <w:rPr>
            <w:rStyle w:val="Hyperlink"/>
            <w:sz w:val="18"/>
            <w:szCs w:val="18"/>
          </w:rPr>
          <w:t>https://eur-lex.europa.eu/legal-content/EN/TXT/PDF/?uri=CELEX:52019SC0341&amp;from=EN</w:t>
        </w:r>
      </w:hyperlink>
      <w:r w:rsidRPr="009B5734">
        <w:rPr>
          <w:sz w:val="18"/>
          <w:szCs w:val="18"/>
        </w:rPr>
        <w:t xml:space="preserve"> </w:t>
      </w:r>
    </w:p>
  </w:footnote>
  <w:footnote w:id="165">
    <w:p w:rsidR="00164A6B" w:rsidRPr="009B5734" w:rsidRDefault="00164A6B" w:rsidP="00EA45F9">
      <w:pPr>
        <w:pStyle w:val="Bullet3"/>
        <w:tabs>
          <w:tab w:val="clear" w:pos="2160"/>
        </w:tabs>
        <w:spacing w:line="240" w:lineRule="auto"/>
        <w:ind w:left="0" w:firstLine="0"/>
        <w:rPr>
          <w:rFonts w:ascii="Times New Roman" w:hAnsi="Times New Roman"/>
          <w:sz w:val="18"/>
          <w:szCs w:val="18"/>
        </w:rPr>
      </w:pPr>
      <w:r w:rsidRPr="009B5734">
        <w:rPr>
          <w:rFonts w:ascii="Times New Roman" w:hAnsi="Times New Roman"/>
          <w:sz w:val="18"/>
          <w:szCs w:val="18"/>
        </w:rPr>
        <w:footnoteRef/>
      </w:r>
      <w:r w:rsidRPr="009B5734">
        <w:rPr>
          <w:rFonts w:ascii="Times New Roman" w:hAnsi="Times New Roman"/>
          <w:sz w:val="18"/>
          <w:szCs w:val="18"/>
        </w:rPr>
        <w:t xml:space="preserve"> The question did not specify for what products the information would be available, so we adjusted the value based on the share that consumers spend on the three product categories considered in the analysis (large household appliances, small household appliances and ICT and electronic services).</w:t>
      </w:r>
    </w:p>
  </w:footnote>
  <w:footnote w:id="166">
    <w:p w:rsidR="00164A6B" w:rsidRPr="009B5734" w:rsidRDefault="00164A6B" w:rsidP="00EA45F9">
      <w:pPr>
        <w:pStyle w:val="Bullet3"/>
        <w:tabs>
          <w:tab w:val="clear" w:pos="2160"/>
          <w:tab w:val="left" w:pos="708"/>
        </w:tabs>
        <w:spacing w:line="240" w:lineRule="auto"/>
        <w:ind w:left="0" w:firstLine="0"/>
        <w:rPr>
          <w:rFonts w:ascii="Times New Roman" w:hAnsi="Times New Roman"/>
          <w:sz w:val="18"/>
          <w:szCs w:val="18"/>
        </w:rPr>
      </w:pPr>
      <w:r w:rsidRPr="009B5734">
        <w:rPr>
          <w:rFonts w:ascii="Times New Roman" w:hAnsi="Times New Roman"/>
          <w:sz w:val="18"/>
          <w:szCs w:val="18"/>
        </w:rPr>
        <w:footnoteRef/>
      </w:r>
      <w:r w:rsidRPr="009B5734">
        <w:rPr>
          <w:rFonts w:ascii="Times New Roman" w:hAnsi="Times New Roman"/>
          <w:sz w:val="18"/>
          <w:szCs w:val="18"/>
        </w:rPr>
        <w:t xml:space="preserve"> The question did not specify for what products the information would be available, so we adjusted the value based on the share that consumers spend on the three product categories considered in the analysis (large household appliances, small household appliances and ICT and electronic services).</w:t>
      </w:r>
    </w:p>
  </w:footnote>
  <w:footnote w:id="167">
    <w:p w:rsidR="00164A6B" w:rsidRPr="009B5734" w:rsidRDefault="00164A6B" w:rsidP="00EA45F9">
      <w:pPr>
        <w:ind w:left="0" w:firstLine="0"/>
        <w:rPr>
          <w:rFonts w:ascii="Times New Roman" w:hAnsi="Times New Roman" w:cs="Times New Roman"/>
          <w:sz w:val="18"/>
          <w:szCs w:val="18"/>
        </w:rPr>
      </w:pPr>
      <w:r w:rsidRPr="009B5734">
        <w:rPr>
          <w:rFonts w:ascii="Times New Roman" w:hAnsi="Times New Roman" w:cs="Times New Roman"/>
          <w:sz w:val="18"/>
          <w:szCs w:val="18"/>
        </w:rPr>
        <w:footnoteRef/>
      </w:r>
      <w:r w:rsidRPr="009B5734">
        <w:rPr>
          <w:rFonts w:ascii="Times New Roman" w:hAnsi="Times New Roman" w:cs="Times New Roman"/>
          <w:sz w:val="18"/>
          <w:szCs w:val="18"/>
        </w:rPr>
        <w:t xml:space="preserve"> This was incorporated in the analysis by ensuring that the costs of improving follow a uniform distribution (0.075, 0.15).</w:t>
      </w:r>
    </w:p>
  </w:footnote>
  <w:footnote w:id="168">
    <w:p w:rsidR="00164A6B" w:rsidRPr="009B5734" w:rsidRDefault="00164A6B" w:rsidP="00EA45F9">
      <w:pPr>
        <w:pStyle w:val="FootnoteText"/>
        <w:spacing w:after="0"/>
        <w:ind w:left="0" w:firstLine="0"/>
        <w:rPr>
          <w:sz w:val="18"/>
          <w:szCs w:val="18"/>
        </w:rPr>
      </w:pPr>
      <w:r w:rsidRPr="009B5734">
        <w:rPr>
          <w:rStyle w:val="FootnoteReference"/>
          <w:rFonts w:eastAsia="Calibri"/>
          <w:sz w:val="18"/>
          <w:szCs w:val="18"/>
        </w:rPr>
        <w:footnoteRef/>
      </w:r>
      <w:r w:rsidRPr="009B5734">
        <w:rPr>
          <w:sz w:val="18"/>
          <w:szCs w:val="18"/>
        </w:rPr>
        <w:t xml:space="preserve"> </w:t>
      </w:r>
      <w:r w:rsidRPr="009B5734">
        <w:rPr>
          <w:sz w:val="18"/>
          <w:szCs w:val="18"/>
        </w:rPr>
        <w:tab/>
        <w:t xml:space="preserve">Milieu &amp; IPSOS, 2020. </w:t>
      </w:r>
      <w:r w:rsidRPr="00014EB8">
        <w:rPr>
          <w:sz w:val="18"/>
        </w:rPr>
        <w:t>To be published.</w:t>
      </w:r>
    </w:p>
  </w:footnote>
  <w:footnote w:id="169">
    <w:p w:rsidR="00164A6B" w:rsidRPr="009B5734" w:rsidRDefault="00164A6B" w:rsidP="00EA45F9">
      <w:pPr>
        <w:pStyle w:val="FootnoteText"/>
        <w:spacing w:after="0"/>
        <w:ind w:left="0" w:firstLine="0"/>
        <w:rPr>
          <w:sz w:val="18"/>
          <w:szCs w:val="18"/>
        </w:rPr>
      </w:pPr>
      <w:r w:rsidRPr="009B5734">
        <w:rPr>
          <w:rStyle w:val="FootnoteReference"/>
          <w:rFonts w:eastAsia="Calibri"/>
          <w:sz w:val="18"/>
          <w:szCs w:val="18"/>
        </w:rPr>
        <w:footnoteRef/>
      </w:r>
      <w:r w:rsidRPr="009B5734">
        <w:rPr>
          <w:sz w:val="18"/>
          <w:szCs w:val="18"/>
        </w:rPr>
        <w:t xml:space="preserve"> </w:t>
      </w:r>
      <w:r w:rsidRPr="009B5734">
        <w:rPr>
          <w:sz w:val="18"/>
          <w:szCs w:val="18"/>
        </w:rPr>
        <w:tab/>
        <w:t>The measure is relatively simple, specific, and already in line with many guidelines. It also prohibits an action instead of requiring one. For these reasons, the time required for legal analysis is considered to be much less than the one considered for other measures.</w:t>
      </w:r>
    </w:p>
  </w:footnote>
  <w:footnote w:id="170">
    <w:p w:rsidR="00164A6B" w:rsidRPr="00C84A99" w:rsidRDefault="00164A6B" w:rsidP="00353CBE">
      <w:pPr>
        <w:rPr>
          <w:sz w:val="18"/>
          <w:szCs w:val="18"/>
        </w:rPr>
      </w:pPr>
      <w:r w:rsidRPr="009B5734">
        <w:rPr>
          <w:rStyle w:val="FootnoteReference"/>
          <w:rFonts w:eastAsia="Calibri"/>
          <w:sz w:val="18"/>
          <w:szCs w:val="18"/>
        </w:rPr>
        <w:footnoteRef/>
      </w:r>
      <w:r w:rsidRPr="00275642">
        <w:rPr>
          <w:sz w:val="18"/>
          <w:szCs w:val="18"/>
        </w:rPr>
        <w:t xml:space="preserve"> </w:t>
      </w:r>
      <w:r w:rsidRPr="00353CBE">
        <w:rPr>
          <w:rFonts w:ascii="Times New Roman" w:eastAsia="Times New Roman" w:hAnsi="Times New Roman" w:cs="Times New Roman"/>
          <w:sz w:val="18"/>
          <w:szCs w:val="18"/>
        </w:rPr>
        <w:t xml:space="preserve">European Commission, Support study for the impact assessment on the review of the CPC Regulation 2006/2004/EC: </w:t>
      </w:r>
      <w:hyperlink r:id="rId46" w:history="1">
        <w:r w:rsidRPr="00353CBE">
          <w:rPr>
            <w:rStyle w:val="Hyperlink"/>
            <w:sz w:val="18"/>
            <w:szCs w:val="18"/>
          </w:rPr>
          <w:t>https://ec.europa.eu/info/sites/info/files/cpc_review_support_study_1_en.pdf</w:t>
        </w:r>
      </w:hyperlink>
      <w:r w:rsidRPr="00353CBE">
        <w:rPr>
          <w:sz w:val="18"/>
          <w:szCs w:val="18"/>
        </w:rPr>
        <w:t xml:space="preserve"> and </w:t>
      </w:r>
      <w:r w:rsidRPr="00C84A99">
        <w:rPr>
          <w:rFonts w:ascii="Times New Roman" w:eastAsia="Times New Roman" w:hAnsi="Times New Roman" w:cs="Times New Roman"/>
          <w:sz w:val="18"/>
          <w:szCs w:val="18"/>
        </w:rPr>
        <w:t xml:space="preserve">European Commission, SWD(2016) 164 final: </w:t>
      </w:r>
      <w:r w:rsidRPr="00353CBE">
        <w:rPr>
          <w:sz w:val="18"/>
          <w:szCs w:val="18"/>
        </w:rPr>
        <w:t>https://eur-lex.europa.eu/legal-content/EN/TXT/PDF/?uri=CELEX:52016SC0164&amp;from=EN.</w:t>
      </w:r>
    </w:p>
  </w:footnote>
  <w:footnote w:id="171">
    <w:p w:rsidR="00164A6B" w:rsidRPr="009B5734" w:rsidRDefault="00164A6B" w:rsidP="00EA45F9">
      <w:pPr>
        <w:pStyle w:val="FootnoteText"/>
        <w:spacing w:after="0"/>
        <w:ind w:left="0" w:firstLine="0"/>
        <w:rPr>
          <w:sz w:val="18"/>
          <w:szCs w:val="18"/>
        </w:rPr>
      </w:pPr>
      <w:r w:rsidRPr="009B5734">
        <w:rPr>
          <w:rStyle w:val="FootnoteReference"/>
          <w:rFonts w:eastAsia="Calibri"/>
          <w:sz w:val="18"/>
          <w:szCs w:val="18"/>
        </w:rPr>
        <w:footnoteRef/>
      </w:r>
      <w:r w:rsidRPr="009B5734">
        <w:rPr>
          <w:sz w:val="18"/>
          <w:szCs w:val="18"/>
        </w:rPr>
        <w:t xml:space="preserve"> We do not have data on volume but on sales, so had to assume proportionality between the share of products and the share of sales.</w:t>
      </w:r>
    </w:p>
  </w:footnote>
  <w:footnote w:id="172">
    <w:p w:rsidR="00164A6B" w:rsidRPr="009B5734" w:rsidRDefault="00164A6B" w:rsidP="00EA45F9">
      <w:pPr>
        <w:pStyle w:val="FootnoteText"/>
        <w:spacing w:after="0"/>
        <w:ind w:left="0" w:firstLine="0"/>
        <w:rPr>
          <w:sz w:val="18"/>
          <w:szCs w:val="18"/>
        </w:rPr>
      </w:pPr>
      <w:r w:rsidRPr="009B5734">
        <w:rPr>
          <w:rStyle w:val="FootnoteReference"/>
          <w:rFonts w:eastAsia="Calibri"/>
          <w:sz w:val="18"/>
          <w:szCs w:val="18"/>
        </w:rPr>
        <w:footnoteRef/>
      </w:r>
      <w:r w:rsidRPr="009B5734">
        <w:rPr>
          <w:sz w:val="18"/>
          <w:szCs w:val="18"/>
        </w:rPr>
        <w:t xml:space="preserve"> We assume the costs of the products with vague non-substantiated claims and with vague substantiated claims is similar.</w:t>
      </w:r>
    </w:p>
  </w:footnote>
  <w:footnote w:id="173">
    <w:p w:rsidR="00164A6B" w:rsidRPr="00014EB8" w:rsidRDefault="00164A6B" w:rsidP="00EA45F9">
      <w:pPr>
        <w:pStyle w:val="FootnoteText"/>
        <w:spacing w:after="0"/>
        <w:ind w:left="0" w:firstLine="0"/>
        <w:rPr>
          <w:sz w:val="18"/>
        </w:rPr>
      </w:pPr>
      <w:r w:rsidRPr="009B5734">
        <w:rPr>
          <w:rStyle w:val="FootnoteReference"/>
          <w:rFonts w:eastAsia="Calibri"/>
          <w:sz w:val="18"/>
          <w:szCs w:val="18"/>
        </w:rPr>
        <w:footnoteRef/>
      </w:r>
      <w:r w:rsidRPr="009B5734">
        <w:rPr>
          <w:sz w:val="18"/>
          <w:szCs w:val="18"/>
        </w:rPr>
        <w:t xml:space="preserve"> V</w:t>
      </w:r>
      <w:r w:rsidRPr="00014EB8">
        <w:rPr>
          <w:sz w:val="18"/>
        </w:rPr>
        <w:t>ague claims will not be banned for products that are best in class. We do not have data on the share of those products, but it is expected to be very small. We modelled this by using a uniform distribution.</w:t>
      </w:r>
    </w:p>
  </w:footnote>
  <w:footnote w:id="174">
    <w:p w:rsidR="00164A6B" w:rsidRPr="00014EB8" w:rsidRDefault="00164A6B" w:rsidP="00EA45F9">
      <w:pPr>
        <w:pStyle w:val="FootnoteText"/>
        <w:spacing w:after="0"/>
        <w:ind w:left="0" w:firstLine="0"/>
        <w:rPr>
          <w:sz w:val="18"/>
        </w:rPr>
      </w:pPr>
      <w:r w:rsidRPr="009B5734">
        <w:rPr>
          <w:rStyle w:val="FootnoteReference"/>
          <w:rFonts w:eastAsia="Calibri"/>
          <w:sz w:val="18"/>
          <w:szCs w:val="18"/>
        </w:rPr>
        <w:footnoteRef/>
      </w:r>
      <w:r w:rsidRPr="00014EB8">
        <w:rPr>
          <w:sz w:val="18"/>
        </w:rPr>
        <w:t xml:space="preserve"> Milieu &amp; IPSOS, 2020. To be published.</w:t>
      </w:r>
    </w:p>
  </w:footnote>
  <w:footnote w:id="175">
    <w:p w:rsidR="00164A6B" w:rsidRPr="009B5734" w:rsidRDefault="00164A6B" w:rsidP="00EA45F9">
      <w:pPr>
        <w:pStyle w:val="FootnoteText"/>
        <w:spacing w:after="0"/>
        <w:ind w:left="0" w:firstLine="0"/>
        <w:rPr>
          <w:sz w:val="18"/>
          <w:szCs w:val="18"/>
        </w:rPr>
      </w:pPr>
      <w:r w:rsidRPr="009B5734">
        <w:rPr>
          <w:rStyle w:val="FootnoteReference"/>
          <w:rFonts w:eastAsia="Calibri"/>
          <w:sz w:val="18"/>
          <w:szCs w:val="18"/>
        </w:rPr>
        <w:footnoteRef/>
      </w:r>
      <w:r w:rsidRPr="009B5734">
        <w:rPr>
          <w:sz w:val="18"/>
          <w:szCs w:val="18"/>
        </w:rPr>
        <w:t xml:space="preserve"> The measure is relatively simple, specific, and already in line with many guidelines. It also prohibits an action instead of requiring one. For these reasons the time required for legal analysis is considered to be much less than the one considered for other measures.</w:t>
      </w:r>
    </w:p>
  </w:footnote>
  <w:footnote w:id="176">
    <w:p w:rsidR="00164A6B" w:rsidRPr="00353CBE" w:rsidRDefault="00164A6B" w:rsidP="00353CBE">
      <w:pPr>
        <w:ind w:left="0" w:firstLine="0"/>
        <w:rPr>
          <w:sz w:val="18"/>
          <w:szCs w:val="18"/>
        </w:rPr>
      </w:pPr>
      <w:r w:rsidRPr="009B5734">
        <w:rPr>
          <w:rStyle w:val="FootnoteReference"/>
          <w:rFonts w:eastAsia="Calibri"/>
          <w:sz w:val="18"/>
          <w:szCs w:val="18"/>
        </w:rPr>
        <w:footnoteRef/>
      </w:r>
      <w:r w:rsidRPr="00275642">
        <w:rPr>
          <w:sz w:val="18"/>
          <w:szCs w:val="18"/>
        </w:rPr>
        <w:t xml:space="preserve"> </w:t>
      </w:r>
      <w:r w:rsidRPr="00353CBE">
        <w:rPr>
          <w:rFonts w:ascii="Times New Roman" w:eastAsia="Times New Roman" w:hAnsi="Times New Roman" w:cs="Times New Roman"/>
          <w:sz w:val="18"/>
          <w:szCs w:val="18"/>
        </w:rPr>
        <w:t xml:space="preserve">European Commission, Support study for the Impact </w:t>
      </w:r>
      <w:r w:rsidRPr="00614BCC">
        <w:rPr>
          <w:rFonts w:ascii="Times New Roman" w:eastAsia="Times New Roman" w:hAnsi="Times New Roman" w:cs="Times New Roman"/>
          <w:sz w:val="18"/>
          <w:szCs w:val="18"/>
        </w:rPr>
        <w:t>A</w:t>
      </w:r>
      <w:r w:rsidRPr="00C84A99">
        <w:rPr>
          <w:rFonts w:ascii="Times New Roman" w:eastAsia="Times New Roman" w:hAnsi="Times New Roman" w:cs="Times New Roman"/>
          <w:sz w:val="18"/>
          <w:szCs w:val="18"/>
        </w:rPr>
        <w:t xml:space="preserve">ssessment on the review of the CPC Regulation 2006/2004/EC: </w:t>
      </w:r>
      <w:hyperlink r:id="rId47" w:history="1">
        <w:r w:rsidRPr="00353CBE">
          <w:rPr>
            <w:rStyle w:val="Hyperlink"/>
            <w:sz w:val="18"/>
            <w:szCs w:val="18"/>
          </w:rPr>
          <w:t>https://ec.europa.eu/info/sites/info/files/cpc_review_support_study_1_en.pdf</w:t>
        </w:r>
      </w:hyperlink>
      <w:r w:rsidRPr="00353CBE">
        <w:rPr>
          <w:sz w:val="18"/>
          <w:szCs w:val="18"/>
        </w:rPr>
        <w:t xml:space="preserve"> and </w:t>
      </w:r>
      <w:r w:rsidRPr="00C84A99">
        <w:rPr>
          <w:rFonts w:ascii="Times New Roman" w:eastAsia="Times New Roman" w:hAnsi="Times New Roman" w:cs="Times New Roman"/>
          <w:sz w:val="18"/>
          <w:szCs w:val="18"/>
        </w:rPr>
        <w:t xml:space="preserve">European Commission, SWD(2016) 164 final: </w:t>
      </w:r>
      <w:hyperlink r:id="rId48" w:history="1">
        <w:r w:rsidRPr="00353CBE">
          <w:rPr>
            <w:rStyle w:val="Hyperlink"/>
            <w:sz w:val="18"/>
            <w:szCs w:val="18"/>
          </w:rPr>
          <w:t>https://eur-lex.europa.eu/legal-content/EN/TXT/PDF/?uri=CELEX:52016SC0164&amp;from=EN</w:t>
        </w:r>
      </w:hyperlink>
      <w:r w:rsidRPr="00353CBE">
        <w:rPr>
          <w:sz w:val="18"/>
          <w:szCs w:val="18"/>
        </w:rPr>
        <w:t xml:space="preserve"> .</w:t>
      </w:r>
    </w:p>
  </w:footnote>
  <w:footnote w:id="177">
    <w:p w:rsidR="00164A6B" w:rsidRPr="009B5734" w:rsidRDefault="00164A6B" w:rsidP="00EA45F9">
      <w:pPr>
        <w:pStyle w:val="FootnoteText"/>
        <w:spacing w:after="0"/>
        <w:ind w:left="0" w:firstLine="0"/>
        <w:rPr>
          <w:sz w:val="18"/>
          <w:szCs w:val="18"/>
        </w:rPr>
      </w:pPr>
      <w:r w:rsidRPr="009B5734">
        <w:rPr>
          <w:rStyle w:val="FootnoteReference"/>
          <w:rFonts w:eastAsia="Calibri"/>
          <w:sz w:val="18"/>
          <w:szCs w:val="18"/>
        </w:rPr>
        <w:footnoteRef/>
      </w:r>
      <w:r w:rsidRPr="009B5734">
        <w:rPr>
          <w:sz w:val="18"/>
          <w:szCs w:val="18"/>
        </w:rPr>
        <w:t xml:space="preserve"> </w:t>
      </w:r>
      <w:r w:rsidRPr="00014EB8">
        <w:rPr>
          <w:sz w:val="18"/>
        </w:rPr>
        <w:t xml:space="preserve">Source: costs </w:t>
      </w:r>
      <w:r w:rsidRPr="009B5734">
        <w:rPr>
          <w:sz w:val="18"/>
          <w:szCs w:val="18"/>
        </w:rPr>
        <w:t xml:space="preserve">setting up and running BEREC office. </w:t>
      </w:r>
      <w:hyperlink r:id="rId49" w:history="1">
        <w:r w:rsidRPr="009B5734">
          <w:rPr>
            <w:rStyle w:val="Hyperlink"/>
            <w:sz w:val="18"/>
            <w:szCs w:val="18"/>
          </w:rPr>
          <w:t>https://ec.europa.eu/transparency/regdoc/rep/10102/2016/EN/SWD-2016-303-F1-EN-MAIN-PART-1.PDF</w:t>
        </w:r>
      </w:hyperlink>
      <w:r w:rsidRPr="009B5734">
        <w:rPr>
          <w:sz w:val="18"/>
          <w:szCs w:val="18"/>
        </w:rPr>
        <w:t xml:space="preserve"> </w:t>
      </w:r>
    </w:p>
  </w:footnote>
  <w:footnote w:id="178">
    <w:p w:rsidR="00164A6B" w:rsidRPr="009B5734" w:rsidRDefault="00164A6B" w:rsidP="00EA45F9">
      <w:pPr>
        <w:pStyle w:val="FootnoteText"/>
        <w:spacing w:after="0"/>
        <w:ind w:left="0" w:firstLine="0"/>
        <w:rPr>
          <w:sz w:val="18"/>
          <w:szCs w:val="18"/>
        </w:rPr>
      </w:pPr>
      <w:r w:rsidRPr="009B5734">
        <w:rPr>
          <w:rStyle w:val="FootnoteReference"/>
          <w:rFonts w:eastAsia="Calibri"/>
          <w:sz w:val="18"/>
          <w:szCs w:val="18"/>
        </w:rPr>
        <w:footnoteRef/>
      </w:r>
      <w:r w:rsidRPr="009B5734">
        <w:rPr>
          <w:sz w:val="18"/>
          <w:szCs w:val="18"/>
        </w:rPr>
        <w:t xml:space="preserve"> We do not have data on volume but on sales, so we had to assume proportionality between the share of products and the share of sales.</w:t>
      </w:r>
    </w:p>
  </w:footnote>
  <w:footnote w:id="179">
    <w:p w:rsidR="00164A6B" w:rsidRPr="009B5734" w:rsidRDefault="00164A6B" w:rsidP="00EA45F9">
      <w:pPr>
        <w:pStyle w:val="FootnoteText"/>
        <w:spacing w:after="0"/>
        <w:ind w:left="0" w:firstLine="0"/>
        <w:rPr>
          <w:sz w:val="18"/>
          <w:szCs w:val="18"/>
        </w:rPr>
      </w:pPr>
      <w:r w:rsidRPr="009B5734">
        <w:rPr>
          <w:rStyle w:val="FootnoteReference"/>
          <w:rFonts w:eastAsia="Calibri"/>
          <w:sz w:val="18"/>
          <w:szCs w:val="18"/>
        </w:rPr>
        <w:footnoteRef/>
      </w:r>
      <w:r w:rsidRPr="009B5734">
        <w:rPr>
          <w:sz w:val="18"/>
          <w:szCs w:val="18"/>
        </w:rPr>
        <w:t xml:space="preserve"> We assume the costs of the products with vague non-substantiated claims and with vague substantiated claims is similar.</w:t>
      </w:r>
    </w:p>
  </w:footnote>
  <w:footnote w:id="180">
    <w:p w:rsidR="00164A6B" w:rsidRPr="00014EB8" w:rsidRDefault="00164A6B" w:rsidP="00EA45F9">
      <w:pPr>
        <w:pStyle w:val="FootnoteText"/>
        <w:spacing w:after="0"/>
        <w:ind w:left="0" w:firstLine="0"/>
        <w:rPr>
          <w:sz w:val="18"/>
        </w:rPr>
      </w:pPr>
      <w:r w:rsidRPr="009B5734">
        <w:rPr>
          <w:rStyle w:val="FootnoteReference"/>
          <w:rFonts w:eastAsia="Calibri"/>
          <w:sz w:val="18"/>
          <w:szCs w:val="18"/>
        </w:rPr>
        <w:footnoteRef/>
      </w:r>
      <w:r w:rsidRPr="00014EB8">
        <w:rPr>
          <w:sz w:val="18"/>
        </w:rPr>
        <w:t xml:space="preserve"> Milieu &amp; IPSOS, 2020. To be published.</w:t>
      </w:r>
    </w:p>
  </w:footnote>
  <w:footnote w:id="181">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w:t>
      </w:r>
      <w:r w:rsidRPr="009B5734">
        <w:rPr>
          <w:sz w:val="18"/>
          <w:szCs w:val="18"/>
        </w:rPr>
        <w:tab/>
        <w:t>This consumer detriment has been estimated by using two methods: the consumers’ willingness to pay for reliable information on the environmental impacts/characteristics for all products and the non-realised consumer surplus because consumers are not able to select more environmentally friendly products.</w:t>
      </w:r>
    </w:p>
  </w:footnote>
  <w:footnote w:id="182">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w:t>
      </w:r>
      <w:r w:rsidRPr="009B5734">
        <w:rPr>
          <w:sz w:val="18"/>
          <w:szCs w:val="18"/>
        </w:rPr>
        <w:tab/>
        <w:t>Estimated by multiplying the share of consumers willing to pay to have environmental information available for all products and EUR 5.32 (average).</w:t>
      </w:r>
    </w:p>
  </w:footnote>
  <w:footnote w:id="183">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w:t>
      </w:r>
      <w:r w:rsidRPr="009B5734">
        <w:rPr>
          <w:sz w:val="18"/>
          <w:szCs w:val="18"/>
        </w:rPr>
        <w:tab/>
        <w:t>Non-realised consumer surplus because consumers are not able to select more environmentally friendly products.</w:t>
      </w:r>
    </w:p>
  </w:footnote>
  <w:footnote w:id="184">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w:t>
      </w:r>
      <w:r w:rsidRPr="009B5734">
        <w:rPr>
          <w:sz w:val="18"/>
          <w:szCs w:val="18"/>
        </w:rPr>
        <w:tab/>
        <w:t>161 million consumers willing to pay on average EUR 5.88 per year for the information, in line with the data from the consumer survey.</w:t>
      </w:r>
    </w:p>
  </w:footnote>
  <w:footnote w:id="185">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w:t>
      </w:r>
      <w:r w:rsidRPr="009B5734">
        <w:rPr>
          <w:sz w:val="18"/>
          <w:szCs w:val="18"/>
        </w:rPr>
        <w:tab/>
        <w:t>This is a conservative approach as it only covers household appliances, electronic and IT products, cars sofas and seats and mattresses. Furthermore, it only considers consumers that are willing to pay more than 10% of the price of a good for an additional year of lifespan and that only less than half will not be able to find an alternative within the acceptable price range.</w:t>
      </w:r>
    </w:p>
  </w:footnote>
  <w:footnote w:id="186">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w:t>
      </w:r>
      <w:r w:rsidRPr="009B5734">
        <w:rPr>
          <w:sz w:val="18"/>
          <w:szCs w:val="18"/>
        </w:rPr>
        <w:tab/>
        <w:t>157 million willing to pay on average EUR 5.53 per year for the information (from the consumer survey).</w:t>
      </w:r>
    </w:p>
  </w:footnote>
  <w:footnote w:id="187">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w:t>
      </w:r>
      <w:r w:rsidRPr="009B5734">
        <w:rPr>
          <w:sz w:val="18"/>
          <w:szCs w:val="18"/>
        </w:rPr>
        <w:tab/>
        <w:t>Non-realised consumer surplus because consumers are not able to select more reparable products</w:t>
      </w:r>
    </w:p>
  </w:footnote>
  <w:footnote w:id="188">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According to the survey, on average consumers would be willing to pay an additional 2.3% to 3.5% of the price of a product to have an identical product that would be more environmentally sustainable. However, frequently “greener products” have higher prices than “non-greener” ones, often 10% or more based on reviewed literature. Consequently, for the calculations we only considered the percentage of consumers that would be willing to pay 10% or more for “greener” products, i.e., between 2% and 5% depending on the product. See for example https://eng.mst.dk/sustainability/sustainable-consumption-and-production/green-nordic-retail/what-retailers-can-do/downstream-activities/.</w:t>
      </w:r>
    </w:p>
  </w:footnote>
  <w:footnote w:id="189">
    <w:p w:rsidR="00164A6B" w:rsidRPr="00014EB8" w:rsidRDefault="00164A6B" w:rsidP="00EA45F9">
      <w:pPr>
        <w:pStyle w:val="FootnoteText"/>
        <w:spacing w:after="0"/>
        <w:ind w:left="0" w:firstLine="0"/>
        <w:rPr>
          <w:sz w:val="18"/>
        </w:rPr>
      </w:pPr>
      <w:r w:rsidRPr="009B5734">
        <w:rPr>
          <w:rStyle w:val="FootnoteReference"/>
          <w:sz w:val="18"/>
          <w:szCs w:val="18"/>
        </w:rPr>
        <w:footnoteRef/>
      </w:r>
      <w:r w:rsidRPr="009B5734">
        <w:rPr>
          <w:sz w:val="18"/>
          <w:szCs w:val="18"/>
        </w:rPr>
        <w:t xml:space="preserve"> </w:t>
      </w:r>
      <w:r w:rsidRPr="00014EB8">
        <w:rPr>
          <w:sz w:val="18"/>
        </w:rPr>
        <w:t xml:space="preserve">Estimated by multiplying the share of consumers willing to pay to have environmental information available for all products and EUR 5.32 (average). </w:t>
      </w:r>
    </w:p>
  </w:footnote>
  <w:footnote w:id="190">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The methodology is described in the accompanying study.</w:t>
      </w:r>
    </w:p>
  </w:footnote>
  <w:footnote w:id="191">
    <w:p w:rsidR="00164A6B" w:rsidRPr="00014EB8" w:rsidRDefault="00164A6B" w:rsidP="00EA45F9">
      <w:pPr>
        <w:pStyle w:val="FootnoteText"/>
        <w:spacing w:after="0"/>
        <w:ind w:left="0" w:firstLine="0"/>
        <w:rPr>
          <w:sz w:val="18"/>
        </w:rPr>
      </w:pPr>
      <w:r w:rsidRPr="009B5734">
        <w:rPr>
          <w:rStyle w:val="FootnoteReference"/>
          <w:sz w:val="18"/>
          <w:szCs w:val="18"/>
        </w:rPr>
        <w:footnoteRef/>
      </w:r>
      <w:r w:rsidRPr="009B5734">
        <w:rPr>
          <w:sz w:val="18"/>
          <w:szCs w:val="18"/>
        </w:rPr>
        <w:t xml:space="preserve"> These estimations have limitations due to the lack of data and the need to rely on non-representative data or on expert judgment to fill the gaps.</w:t>
      </w:r>
    </w:p>
  </w:footnote>
  <w:footnote w:id="192">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See: European Commission, 2012. Impact Assessment on Building the Single Market for Green Products: Facilitating better and credible information on environmental performance of products and organisations, which supports its conclusions, amongst other, on available evidence that energy labelling has increased the share of more efficient products on the market. Available at: </w:t>
      </w:r>
      <w:hyperlink r:id="rId50" w:history="1">
        <w:r w:rsidRPr="009B5734">
          <w:rPr>
            <w:rStyle w:val="Hyperlink"/>
            <w:sz w:val="18"/>
            <w:szCs w:val="18"/>
          </w:rPr>
          <w:t>https://ec.europa.eu/environment/eussd/smgp/pdf/ia_report.pdf</w:t>
        </w:r>
      </w:hyperlink>
      <w:r w:rsidRPr="009B5734">
        <w:rPr>
          <w:sz w:val="18"/>
          <w:szCs w:val="18"/>
        </w:rPr>
        <w:t>.</w:t>
      </w:r>
    </w:p>
  </w:footnote>
  <w:footnote w:id="193">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There is a lack of data on how much more “environmentally friendly” the products purchased by consumers would be if this information would be available.</w:t>
      </w:r>
    </w:p>
  </w:footnote>
  <w:footnote w:id="194">
    <w:p w:rsidR="00164A6B" w:rsidRPr="009B5734" w:rsidRDefault="00164A6B" w:rsidP="00353CBE">
      <w:pPr>
        <w:rPr>
          <w:sz w:val="18"/>
          <w:szCs w:val="18"/>
        </w:rPr>
      </w:pPr>
      <w:r w:rsidRPr="009B5734">
        <w:rPr>
          <w:rStyle w:val="FootnoteReference"/>
          <w:sz w:val="18"/>
          <w:szCs w:val="18"/>
        </w:rPr>
        <w:footnoteRef/>
      </w:r>
      <w:r w:rsidRPr="009B5734">
        <w:rPr>
          <w:sz w:val="18"/>
          <w:szCs w:val="18"/>
        </w:rPr>
        <w:t xml:space="preserve"> </w:t>
      </w:r>
      <w:r w:rsidRPr="00353CBE">
        <w:rPr>
          <w:rFonts w:ascii="Times New Roman" w:eastAsia="Times New Roman" w:hAnsi="Times New Roman" w:cs="Times New Roman"/>
          <w:sz w:val="18"/>
          <w:szCs w:val="18"/>
        </w:rPr>
        <w:t xml:space="preserve">European Bank for Reconstruction and Development, </w:t>
      </w:r>
      <w:r w:rsidRPr="00353CBE">
        <w:rPr>
          <w:rFonts w:ascii="Times New Roman" w:eastAsia="Times New Roman" w:hAnsi="Times New Roman" w:cs="Times New Roman"/>
          <w:i/>
          <w:sz w:val="18"/>
          <w:szCs w:val="18"/>
        </w:rPr>
        <w:t>Methodology for the economic assessment of EBRD projects with high greenhouse gas emissions</w:t>
      </w:r>
      <w:r w:rsidRPr="00C84A99">
        <w:rPr>
          <w:rFonts w:ascii="Times New Roman" w:eastAsia="Times New Roman" w:hAnsi="Times New Roman" w:cs="Times New Roman"/>
          <w:sz w:val="18"/>
          <w:szCs w:val="18"/>
        </w:rPr>
        <w:t xml:space="preserve">,  2020, available at: </w:t>
      </w:r>
      <w:hyperlink r:id="rId51" w:history="1">
        <w:r w:rsidRPr="009B5734">
          <w:rPr>
            <w:rStyle w:val="Hyperlink"/>
            <w:sz w:val="18"/>
            <w:szCs w:val="18"/>
          </w:rPr>
          <w:t>https://www.ebrd.com/news/publications/institutional-documents/methodology-for-the-economic-assessment-of-ebrd-projects-with-high-greenhouse-gasemissions.html</w:t>
        </w:r>
      </w:hyperlink>
      <w:r w:rsidRPr="009B5734">
        <w:rPr>
          <w:sz w:val="18"/>
          <w:szCs w:val="18"/>
        </w:rPr>
        <w:t xml:space="preserve"> </w:t>
      </w:r>
    </w:p>
  </w:footnote>
  <w:footnote w:id="195">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“Based on national statistics, the Value of Statistical Life (VOSL) has been estimated at EUR 400,000 per fatality and EUR 65,000 per injury. In addition, a value of EUR 13,500 per casualty has been estimated to cover direct medical and administrative costs associated with accidents.” Source: CBA guide available at: </w:t>
      </w:r>
      <w:hyperlink r:id="rId52" w:history="1">
        <w:r w:rsidRPr="009B5734">
          <w:rPr>
            <w:rStyle w:val="Hyperlink"/>
            <w:sz w:val="18"/>
            <w:szCs w:val="18"/>
          </w:rPr>
          <w:t>https://ec.europa.eu/regional_policy/sources/docgener/studies/pdf/cba_guide.pdf</w:t>
        </w:r>
      </w:hyperlink>
      <w:r w:rsidRPr="009B5734">
        <w:rPr>
          <w:sz w:val="18"/>
          <w:szCs w:val="18"/>
        </w:rPr>
        <w:t xml:space="preserve"> </w:t>
      </w:r>
    </w:p>
  </w:footnote>
  <w:footnote w:id="196">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The approach used to do estimations is described in the accompanying study.</w:t>
      </w:r>
    </w:p>
  </w:footnote>
  <w:footnote w:id="197">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European Commission, </w:t>
      </w:r>
      <w:r w:rsidRPr="00353CBE">
        <w:rPr>
          <w:i/>
          <w:sz w:val="18"/>
          <w:szCs w:val="18"/>
        </w:rPr>
        <w:t>Attitudes towards the impact of digitalisation on daily lives</w:t>
      </w:r>
      <w:r w:rsidRPr="009B5734">
        <w:rPr>
          <w:sz w:val="18"/>
          <w:szCs w:val="18"/>
        </w:rPr>
        <w:t>, 2019.</w:t>
      </w:r>
    </w:p>
  </w:footnote>
  <w:footnote w:id="198">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Some studies point out that some large household appliances might be an exception if newer models are significantly more energy efficient than the models own by consumers. In this case, it is possible that the environmental costs associated with materials, production, distribution and disposal of buying an appliance sooner than later are outweighed by the environmental benefits related to the energy savings of using a more efficient model. See for example: Iraldo, F., Facheris, C. and Nucci, B.Is product durability better for environment and for economic efficiency? A comparative assessment applying LCA and LCC to two energy-intensive products. Journal of Cleaner Production, 140, pp.1353-1364.2017.; Ardente, F. and Mathieux, F. Environmental assessment of the durability of energy-using products: method and application. Journal of cleaner production, 74, pp.62-73. 2014; and Reale, F., Castellani, V., Hischier, R., Corrado, S. and Sala, S.. Consumer Footprint-Basket of Products indicator on Household appliances. Technical report. European Commission, Joint Research Centre. 2019.</w:t>
      </w:r>
    </w:p>
  </w:footnote>
  <w:footnote w:id="199">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The results of a JRC study showed that, “</w:t>
      </w:r>
      <w:r w:rsidRPr="009B5734">
        <w:rPr>
          <w:i/>
          <w:sz w:val="18"/>
          <w:szCs w:val="18"/>
        </w:rPr>
        <w:t>for the global warming potential, prolonging the lifetime of a washing machine and dishwasher case studies is environmentally beneficial when the potential replacement product has up to 15 % less energy consumption during the use. For the abiotic depletion potential impact, mainly influenced by the use of materials during the production phase, prolonging the lifetime of both machines was shown always to be beneficial, regardless of the energy efficiency of newer products. Freshwater eutrophication showed a great influence by the impact of the detergent used during the use phase; thus, prolonging the device’s lifetime is still beneficial for this impact category, although the benefits are negligible compared to the life cycle impacts of the products.</w:t>
      </w:r>
      <w:r w:rsidRPr="009B5734">
        <w:rPr>
          <w:sz w:val="18"/>
          <w:szCs w:val="18"/>
        </w:rPr>
        <w:t>”. See https://op.europa.eu/en/publication-detail/-/publication/72cd56e4-bab7-11e6-9e3c-01aa75ed71a1/language-en/format-PDF/source-126402524.</w:t>
      </w:r>
    </w:p>
  </w:footnote>
  <w:footnote w:id="200">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See for example Estevan, H., Schaefer, B. and Adell, A., 2017. Life Cycle Costing State of the art report. Local Governments for Sustainability, European Secretariat. Available at: https://sppregions.eu/fileadmin/user_upload/Life_Cycle_Costing_SoA_Report.pdf.  </w:t>
      </w:r>
    </w:p>
  </w:footnote>
  <w:footnote w:id="201">
    <w:p w:rsidR="00164A6B" w:rsidRPr="00014EB8" w:rsidRDefault="00164A6B" w:rsidP="00EA45F9">
      <w:pPr>
        <w:pStyle w:val="FootnoteText"/>
        <w:spacing w:after="0"/>
        <w:ind w:left="0" w:firstLine="0"/>
        <w:rPr>
          <w:sz w:val="18"/>
          <w:lang w:val="nl-BE"/>
        </w:rPr>
      </w:pPr>
      <w:r w:rsidRPr="009B5734">
        <w:rPr>
          <w:rStyle w:val="FootnoteReference"/>
          <w:sz w:val="18"/>
          <w:szCs w:val="18"/>
        </w:rPr>
        <w:footnoteRef/>
      </w:r>
      <w:r w:rsidRPr="009B5734">
        <w:rPr>
          <w:sz w:val="18"/>
          <w:szCs w:val="18"/>
        </w:rPr>
        <w:t xml:space="preserve"> Bakker C, Wang F, Huisman J, Den Hollander M: Products that go round: Exploring product life extension through design. </w:t>
      </w:r>
      <w:r w:rsidRPr="00014EB8">
        <w:rPr>
          <w:sz w:val="18"/>
          <w:lang w:val="nl-BE"/>
        </w:rPr>
        <w:t>J Clean Prod 2014, 69:10–16.</w:t>
      </w:r>
    </w:p>
  </w:footnote>
  <w:footnote w:id="202">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014EB8">
        <w:rPr>
          <w:sz w:val="18"/>
          <w:lang w:val="nl-BE"/>
        </w:rPr>
        <w:t xml:space="preserve"> Bakker, C., den Hollander, M., Van Hinte, E. and Zijlstra, Y., 2019. </w:t>
      </w:r>
      <w:r w:rsidRPr="009B5734">
        <w:rPr>
          <w:sz w:val="18"/>
          <w:szCs w:val="18"/>
        </w:rPr>
        <w:t>Products that Last 2.0: Product Design for Circular Business Models. BIS Publishers.</w:t>
      </w:r>
    </w:p>
  </w:footnote>
  <w:footnote w:id="203">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w:t>
      </w:r>
      <w:r w:rsidRPr="009B5734">
        <w:rPr>
          <w:color w:val="222222"/>
          <w:sz w:val="18"/>
          <w:szCs w:val="18"/>
        </w:rPr>
        <w:t xml:space="preserve">Cooper, T. ed., 2016. </w:t>
      </w:r>
      <w:r w:rsidRPr="009B5734">
        <w:rPr>
          <w:i/>
          <w:color w:val="222222"/>
          <w:sz w:val="18"/>
          <w:szCs w:val="18"/>
        </w:rPr>
        <w:t>Longer lasting products: Alternatives to the throwaway society</w:t>
      </w:r>
      <w:r w:rsidRPr="009B5734">
        <w:rPr>
          <w:color w:val="222222"/>
          <w:sz w:val="18"/>
          <w:szCs w:val="18"/>
        </w:rPr>
        <w:t>. CRC Press.</w:t>
      </w:r>
    </w:p>
  </w:footnote>
  <w:footnote w:id="204">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5D24D2">
        <w:rPr>
          <w:sz w:val="18"/>
          <w:szCs w:val="18"/>
        </w:rPr>
        <w:t xml:space="preserve"> Ruth Mugge, Jan P. L. Schoormans &amp; Hendrik N. J. Schifferstein, 2005. </w:t>
      </w:r>
      <w:r w:rsidRPr="009B5734">
        <w:rPr>
          <w:sz w:val="18"/>
          <w:szCs w:val="18"/>
        </w:rPr>
        <w:t>Design Strategies to Postpone Consumers' Product Replacement: The Value of a Strong Person-Product Relationship, The Design Journal, 8:2, 38-48.</w:t>
      </w:r>
    </w:p>
  </w:footnote>
  <w:footnote w:id="205">
    <w:p w:rsidR="00164A6B" w:rsidRPr="00353CBE" w:rsidRDefault="00164A6B" w:rsidP="00353CBE">
      <w:pPr>
        <w:ind w:left="0" w:firstLine="0"/>
        <w:rPr>
          <w:sz w:val="18"/>
          <w:szCs w:val="18"/>
        </w:rPr>
      </w:pPr>
      <w:r w:rsidRPr="009B5734">
        <w:rPr>
          <w:rStyle w:val="FootnoteReference"/>
          <w:sz w:val="18"/>
          <w:szCs w:val="18"/>
        </w:rPr>
        <w:footnoteRef/>
      </w:r>
      <w:r w:rsidRPr="009B5734">
        <w:rPr>
          <w:sz w:val="18"/>
          <w:szCs w:val="18"/>
        </w:rPr>
        <w:t xml:space="preserve"> </w:t>
      </w:r>
      <w:r w:rsidRPr="00353CBE">
        <w:rPr>
          <w:rFonts w:ascii="Times New Roman" w:eastAsia="Times New Roman" w:hAnsi="Times New Roman" w:cs="Times New Roman"/>
          <w:sz w:val="18"/>
          <w:szCs w:val="18"/>
        </w:rPr>
        <w:t xml:space="preserve">European Bank for Reconstruction and Development, </w:t>
      </w:r>
      <w:r w:rsidRPr="00353CBE">
        <w:rPr>
          <w:rFonts w:ascii="Times New Roman" w:eastAsia="Times New Roman" w:hAnsi="Times New Roman" w:cs="Times New Roman"/>
          <w:i/>
          <w:sz w:val="18"/>
          <w:szCs w:val="18"/>
        </w:rPr>
        <w:t>Methodology for the economic assessment of EBRD projects with high greenhouse gas emissions</w:t>
      </w:r>
      <w:r w:rsidRPr="00353CBE">
        <w:rPr>
          <w:rFonts w:ascii="Times New Roman" w:eastAsia="Times New Roman" w:hAnsi="Times New Roman" w:cs="Times New Roman"/>
          <w:sz w:val="18"/>
          <w:szCs w:val="18"/>
        </w:rPr>
        <w:t>,  2020</w:t>
      </w:r>
      <w:r w:rsidRPr="00275642">
        <w:rPr>
          <w:rFonts w:ascii="Times New Roman" w:eastAsia="Times New Roman" w:hAnsi="Times New Roman" w:cs="Times New Roman"/>
          <w:sz w:val="18"/>
          <w:szCs w:val="18"/>
        </w:rPr>
        <w:t>.</w:t>
      </w:r>
      <w:r w:rsidRPr="009B5734">
        <w:rPr>
          <w:sz w:val="18"/>
          <w:szCs w:val="18"/>
        </w:rPr>
        <w:t xml:space="preserve"> </w:t>
      </w:r>
    </w:p>
  </w:footnote>
  <w:footnote w:id="206">
    <w:p w:rsidR="00164A6B" w:rsidRPr="00014EB8" w:rsidRDefault="00164A6B" w:rsidP="00EA45F9">
      <w:pPr>
        <w:pStyle w:val="FootnoteText"/>
        <w:spacing w:after="0"/>
        <w:ind w:left="0" w:firstLine="0"/>
        <w:rPr>
          <w:sz w:val="18"/>
        </w:rPr>
      </w:pPr>
      <w:r w:rsidRPr="009B5734">
        <w:rPr>
          <w:rStyle w:val="FootnoteReference"/>
          <w:sz w:val="18"/>
          <w:szCs w:val="18"/>
        </w:rPr>
        <w:footnoteRef/>
      </w:r>
      <w:r w:rsidRPr="009B5734">
        <w:rPr>
          <w:sz w:val="18"/>
          <w:szCs w:val="18"/>
        </w:rPr>
        <w:t xml:space="preserve">  Both questions were asked in the consumers survey</w:t>
      </w:r>
    </w:p>
  </w:footnote>
  <w:footnote w:id="207">
    <w:p w:rsidR="00164A6B" w:rsidRPr="00353CBE" w:rsidRDefault="00164A6B" w:rsidP="00353CBE">
      <w:pPr>
        <w:rPr>
          <w:sz w:val="18"/>
          <w:szCs w:val="18"/>
        </w:rPr>
      </w:pPr>
      <w:r w:rsidRPr="009B5734">
        <w:rPr>
          <w:rStyle w:val="FootnoteReference"/>
          <w:sz w:val="18"/>
          <w:szCs w:val="18"/>
        </w:rPr>
        <w:footnoteRef/>
      </w:r>
      <w:r w:rsidRPr="009B5734">
        <w:rPr>
          <w:sz w:val="18"/>
          <w:szCs w:val="18"/>
        </w:rPr>
        <w:t xml:space="preserve"> </w:t>
      </w:r>
      <w:r w:rsidRPr="00353CBE">
        <w:rPr>
          <w:rFonts w:ascii="Times New Roman" w:eastAsia="Times New Roman" w:hAnsi="Times New Roman" w:cs="Times New Roman"/>
          <w:sz w:val="18"/>
          <w:szCs w:val="18"/>
        </w:rPr>
        <w:t xml:space="preserve">European Bank for Reconstruction and Development, </w:t>
      </w:r>
      <w:r w:rsidRPr="00353CBE">
        <w:rPr>
          <w:rFonts w:ascii="Times New Roman" w:eastAsia="Times New Roman" w:hAnsi="Times New Roman" w:cs="Times New Roman"/>
          <w:i/>
          <w:sz w:val="18"/>
          <w:szCs w:val="18"/>
        </w:rPr>
        <w:t>Methodology for the economic assessment of EBRD projects with high greenhouse gas emissions</w:t>
      </w:r>
      <w:r w:rsidRPr="00353CBE">
        <w:rPr>
          <w:rFonts w:ascii="Times New Roman" w:eastAsia="Times New Roman" w:hAnsi="Times New Roman" w:cs="Times New Roman"/>
          <w:sz w:val="18"/>
          <w:szCs w:val="18"/>
        </w:rPr>
        <w:t>,  2020</w:t>
      </w:r>
      <w:r w:rsidRPr="00275642">
        <w:rPr>
          <w:rFonts w:ascii="Times New Roman" w:eastAsia="Times New Roman" w:hAnsi="Times New Roman" w:cs="Times New Roman"/>
          <w:sz w:val="18"/>
          <w:szCs w:val="18"/>
        </w:rPr>
        <w:t>.</w:t>
      </w:r>
    </w:p>
  </w:footnote>
  <w:footnote w:id="208">
    <w:p w:rsidR="00164A6B" w:rsidRPr="009B5734" w:rsidRDefault="00164A6B" w:rsidP="00EA45F9">
      <w:pPr>
        <w:pStyle w:val="FootnoteText"/>
        <w:spacing w:after="0"/>
        <w:ind w:left="0" w:firstLine="0"/>
        <w:rPr>
          <w:sz w:val="18"/>
          <w:szCs w:val="18"/>
          <w:highlight w:val="yellow"/>
        </w:rPr>
      </w:pPr>
      <w:r w:rsidRPr="009B5734">
        <w:rPr>
          <w:rStyle w:val="FootnoteReference"/>
          <w:sz w:val="18"/>
          <w:szCs w:val="18"/>
        </w:rPr>
        <w:footnoteRef/>
      </w:r>
      <w:r w:rsidRPr="009B5734">
        <w:rPr>
          <w:sz w:val="18"/>
          <w:szCs w:val="18"/>
        </w:rPr>
        <w:t xml:space="preserve"> Estimated consumer detriment due to premature obsolescence, defined as failures that happen before the product reaches 60% of its expected lifespan.</w:t>
      </w:r>
    </w:p>
  </w:footnote>
  <w:footnote w:id="209">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Consumer detriment due to sub-optimal choices as consumers might chose a product over other alternatives (that are in reality no less environmentally friendly that that product) based on misleading claims. Estimation assuming consumers pay a premium of 2.5% of the price of the product.</w:t>
      </w:r>
    </w:p>
  </w:footnote>
  <w:footnote w:id="210">
    <w:p w:rsidR="00164A6B" w:rsidRPr="00353CBE" w:rsidRDefault="00164A6B" w:rsidP="00C84A99">
      <w:pPr>
        <w:ind w:left="0"/>
        <w:rPr>
          <w:sz w:val="18"/>
          <w:szCs w:val="18"/>
        </w:rPr>
      </w:pPr>
      <w:r w:rsidRPr="009B5734">
        <w:rPr>
          <w:rStyle w:val="FootnoteReference"/>
          <w:sz w:val="18"/>
          <w:szCs w:val="18"/>
        </w:rPr>
        <w:footnoteRef/>
      </w:r>
      <w:r w:rsidRPr="009B5734">
        <w:rPr>
          <w:sz w:val="18"/>
          <w:szCs w:val="18"/>
        </w:rPr>
        <w:t xml:space="preserve"> </w:t>
      </w:r>
      <w:r w:rsidRPr="00275642">
        <w:rPr>
          <w:rFonts w:ascii="Times New Roman" w:eastAsia="Times New Roman" w:hAnsi="Times New Roman" w:cs="Times New Roman"/>
          <w:sz w:val="18"/>
          <w:szCs w:val="18"/>
          <w:lang w:eastAsia="en-GB"/>
        </w:rPr>
        <w:t xml:space="preserve">European Bank for Reconstruction and Development, </w:t>
      </w:r>
      <w:r w:rsidRPr="00275642">
        <w:rPr>
          <w:rFonts w:ascii="Times New Roman" w:eastAsia="Times New Roman" w:hAnsi="Times New Roman" w:cs="Times New Roman"/>
          <w:i/>
          <w:iCs/>
          <w:sz w:val="18"/>
          <w:szCs w:val="18"/>
          <w:lang w:eastAsia="en-GB"/>
        </w:rPr>
        <w:t>Methodology for the economic assessment of EBRD projects with high greenhouse gas emissions</w:t>
      </w:r>
      <w:r w:rsidRPr="00275642">
        <w:rPr>
          <w:rFonts w:ascii="Times New Roman" w:eastAsia="Times New Roman" w:hAnsi="Times New Roman" w:cs="Times New Roman"/>
          <w:sz w:val="18"/>
          <w:szCs w:val="18"/>
          <w:lang w:eastAsia="en-GB"/>
        </w:rPr>
        <w:t>,  2020.</w:t>
      </w:r>
      <w:r w:rsidRPr="009B5734">
        <w:rPr>
          <w:sz w:val="18"/>
          <w:szCs w:val="18"/>
        </w:rPr>
        <w:tab/>
      </w:r>
    </w:p>
  </w:footnote>
  <w:footnote w:id="211">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w:t>
      </w:r>
      <w:r w:rsidRPr="009B5734">
        <w:rPr>
          <w:sz w:val="18"/>
          <w:szCs w:val="18"/>
        </w:rPr>
        <w:tab/>
        <w:t>“Based on national statistics, the Value of Statistical Life (VOSL) has been estimated at EUR 400,000 per fatality and EUR 65,000 per injury. In addition, a value of EUR 13,500 per casualty has been estimated to cover direct medical and administrative costs associated with accidents.” Source: CBA guide available at: https://ec.europa.eu/regional_policy/sources/docgener/studies/pdf/cba_guide.pdf</w:t>
      </w:r>
    </w:p>
  </w:footnote>
  <w:footnote w:id="212">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w:t>
      </w:r>
      <w:r w:rsidRPr="009B5734">
        <w:rPr>
          <w:sz w:val="18"/>
          <w:szCs w:val="18"/>
        </w:rPr>
        <w:tab/>
      </w:r>
      <w:r w:rsidRPr="00014EB8">
        <w:rPr>
          <w:sz w:val="18"/>
        </w:rPr>
        <w:t xml:space="preserve">BEUC, 2018. Factsheet – Premature obsolescence when products fail too quickly. Available at:  </w:t>
      </w:r>
      <w:hyperlink r:id="rId53" w:history="1">
        <w:r w:rsidRPr="009B5734">
          <w:rPr>
            <w:rStyle w:val="Hyperlink"/>
            <w:sz w:val="18"/>
            <w:szCs w:val="18"/>
          </w:rPr>
          <w:t>https://www.beuc.eu/publications/beuc-x-2018-057_premature_obsolescence.pdf</w:t>
        </w:r>
      </w:hyperlink>
    </w:p>
  </w:footnote>
  <w:footnote w:id="213">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w:t>
      </w:r>
      <w:r w:rsidRPr="00014EB8">
        <w:rPr>
          <w:sz w:val="18"/>
        </w:rPr>
        <w:t xml:space="preserve">BEUC, 2018. Factsheet – Premature obsolescence when products fail too quickly. Available at:  </w:t>
      </w:r>
      <w:hyperlink r:id="rId54" w:history="1">
        <w:r w:rsidRPr="009B5734">
          <w:rPr>
            <w:rStyle w:val="Hyperlink"/>
            <w:sz w:val="18"/>
            <w:szCs w:val="18"/>
          </w:rPr>
          <w:t>https://www.beuc.eu/publications/beuc-x-2018-057_premature_obsolescence.pdf</w:t>
        </w:r>
      </w:hyperlink>
    </w:p>
  </w:footnote>
  <w:footnote w:id="214">
    <w:p w:rsidR="00164A6B" w:rsidRPr="009B5734" w:rsidRDefault="00164A6B" w:rsidP="00EA45F9">
      <w:pPr>
        <w:ind w:left="0" w:firstLine="0"/>
        <w:rPr>
          <w:rFonts w:ascii="Times New Roman" w:hAnsi="Times New Roman" w:cs="Times New Roman"/>
          <w:sz w:val="18"/>
          <w:szCs w:val="18"/>
        </w:rPr>
      </w:pPr>
      <w:r w:rsidRPr="009B5734">
        <w:rPr>
          <w:rFonts w:ascii="Times New Roman" w:hAnsi="Times New Roman" w:cs="Times New Roman"/>
          <w:sz w:val="18"/>
          <w:szCs w:val="18"/>
        </w:rPr>
        <w:footnoteRef/>
      </w:r>
      <w:r w:rsidRPr="009B5734">
        <w:rPr>
          <w:rFonts w:ascii="Times New Roman" w:hAnsi="Times New Roman" w:cs="Times New Roman"/>
          <w:sz w:val="18"/>
          <w:szCs w:val="18"/>
        </w:rPr>
        <w:t xml:space="preserve"> Household appliances, vehicles and similar products, machines for agricultural and small-area cultivation, information technology products, sport equipment, products in the field of radio communications, audio and video technology and devices connected thereto, electro-medical devices intended for personal use, fire protection devices and wastewater treatment plants. </w:t>
      </w:r>
    </w:p>
  </w:footnote>
  <w:footnote w:id="215">
    <w:p w:rsidR="00164A6B" w:rsidRPr="009B5734" w:rsidRDefault="00164A6B" w:rsidP="00EA45F9">
      <w:pPr>
        <w:ind w:left="0" w:firstLine="0"/>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Household appliances, vehicles and similar products, machines for agricultural and small-area cultivation, information technology products, sport equipment, products in the field of radio communications, audio and video technology and devices connected thereto, electro-medical devices intended for personal use, fire protection devices and wastewater treatment plants. </w:t>
      </w:r>
    </w:p>
  </w:footnote>
  <w:footnote w:id="216">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No methodology is proposed to assess this, yet.</w:t>
      </w:r>
    </w:p>
  </w:footnote>
  <w:footnote w:id="217">
    <w:p w:rsidR="00164A6B" w:rsidRPr="00BC2A97" w:rsidRDefault="00164A6B">
      <w:pPr>
        <w:pStyle w:val="FootnoteText"/>
        <w:rPr>
          <w:lang w:val="en-IE"/>
        </w:rPr>
      </w:pPr>
      <w:r w:rsidRPr="00BC2A97">
        <w:rPr>
          <w:rStyle w:val="FootnoteReference"/>
        </w:rPr>
        <w:footnoteRef/>
      </w:r>
      <w:r w:rsidRPr="00BC2A97">
        <w:t xml:space="preserve"> </w:t>
      </w:r>
      <w:r w:rsidRPr="00BC2A97">
        <w:rPr>
          <w:lang w:val="en-IE"/>
        </w:rPr>
        <w:t>This Recommendation was updated in December 2021 via Recommendation C(2021) 9332 final available at</w:t>
      </w:r>
      <w:r w:rsidRPr="00BC2A97">
        <w:rPr>
          <w:rStyle w:val="markedcontent"/>
          <w:rFonts w:ascii="Arial" w:hAnsi="Arial" w:cs="Arial"/>
          <w:sz w:val="30"/>
          <w:szCs w:val="30"/>
        </w:rPr>
        <w:t xml:space="preserve"> </w:t>
      </w:r>
      <w:r w:rsidRPr="00BC2A97">
        <w:rPr>
          <w:lang w:val="en-IE"/>
        </w:rPr>
        <w:t>https://ec.europa.eu/environment/publications/recommendation-use-environmental-footprint-methods_en</w:t>
      </w:r>
    </w:p>
  </w:footnote>
  <w:footnote w:id="218">
    <w:p w:rsidR="00164A6B" w:rsidRDefault="00164A6B" w:rsidP="00193EDA">
      <w:pPr>
        <w:pStyle w:val="FootnoteText"/>
        <w:rPr>
          <w:sz w:val="16"/>
          <w:szCs w:val="16"/>
        </w:rPr>
      </w:pPr>
      <w:r>
        <w:rPr>
          <w:rStyle w:val="FootnoteReference"/>
          <w:szCs w:val="16"/>
        </w:rPr>
        <w:footnoteRef/>
      </w:r>
      <w:r>
        <w:rPr>
          <w:szCs w:val="16"/>
        </w:rPr>
        <w:t xml:space="preserve">    COM(2020)98 final.</w:t>
      </w:r>
    </w:p>
  </w:footnote>
  <w:footnote w:id="219">
    <w:p w:rsidR="00164A6B" w:rsidRDefault="00164A6B" w:rsidP="00193EDA">
      <w:pPr>
        <w:pStyle w:val="FootnoteText"/>
        <w:rPr>
          <w:szCs w:val="16"/>
        </w:rPr>
      </w:pPr>
      <w:r>
        <w:rPr>
          <w:rStyle w:val="FootnoteReference"/>
          <w:szCs w:val="16"/>
        </w:rPr>
        <w:footnoteRef/>
      </w:r>
      <w:r>
        <w:rPr>
          <w:szCs w:val="16"/>
        </w:rPr>
        <w:t xml:space="preserve">    COM(2020)696 final. </w:t>
      </w:r>
    </w:p>
  </w:footnote>
  <w:footnote w:id="220">
    <w:p w:rsidR="00164A6B" w:rsidRPr="0012002D" w:rsidRDefault="00164A6B" w:rsidP="00193EDA">
      <w:pPr>
        <w:pStyle w:val="FootnoteText"/>
        <w:rPr>
          <w:szCs w:val="16"/>
        </w:rPr>
      </w:pPr>
      <w:r w:rsidRPr="0012002D">
        <w:rPr>
          <w:rStyle w:val="FootnoteReference"/>
          <w:szCs w:val="16"/>
        </w:rPr>
        <w:footnoteRef/>
      </w:r>
      <w:r w:rsidRPr="0012002D">
        <w:rPr>
          <w:szCs w:val="16"/>
        </w:rPr>
        <w:t xml:space="preserve">    </w:t>
      </w:r>
      <w:hyperlink r:id="rId55" w:history="1">
        <w:r w:rsidRPr="0012002D">
          <w:rPr>
            <w:rStyle w:val="Hyperlink"/>
            <w:szCs w:val="16"/>
          </w:rPr>
          <w:t>https://ec.europa.eu/environment/eussd/smgp/</w:t>
        </w:r>
      </w:hyperlink>
      <w:r w:rsidRPr="0012002D">
        <w:rPr>
          <w:szCs w:val="16"/>
        </w:rPr>
        <w:t xml:space="preserve"> </w:t>
      </w:r>
    </w:p>
  </w:footnote>
  <w:footnote w:id="221">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w:t>
      </w:r>
      <w:r w:rsidRPr="7F52AB9A">
        <w:rPr>
          <w:i/>
          <w:iCs/>
          <w:sz w:val="18"/>
          <w:szCs w:val="18"/>
        </w:rPr>
        <w:t xml:space="preserve"> </w:t>
      </w:r>
      <w:r w:rsidRPr="009B5734">
        <w:rPr>
          <w:sz w:val="18"/>
          <w:szCs w:val="18"/>
        </w:rPr>
        <w:t>The Better enforcement and modernisation Directive (EU) 2019/2161 amended the Unfair Commercial Practices Directive 2005/29/EC, requiring Member States to ensure that consumers can seek individual redress for unfair commercial practices as of May 2022. Unfounded statements of expected durability could be eventually found misleading under the UCPD where the deceptive nature of the statement and its negative impact on the</w:t>
      </w:r>
      <w:r>
        <w:rPr>
          <w:sz w:val="18"/>
          <w:szCs w:val="18"/>
        </w:rPr>
        <w:t xml:space="preserve"> integrity of the</w:t>
      </w:r>
      <w:r w:rsidRPr="009B5734">
        <w:rPr>
          <w:sz w:val="18"/>
          <w:szCs w:val="18"/>
        </w:rPr>
        <w:t xml:space="preserve"> transactional decision (to buy the specific good) can be established. Showing the deceptive nature of the statement will require proving that the estimate was wrong, that the trader did not assess it properly etc. Furthermore, the statement about expected durability could also constitute a “public statement” pursuant to Article 7(1)(d) Sale of Goods Directive (objective conformity criterion). Accordingly, it could also establish reasonable consumer expectations and might lead to potential remedies against the seller for non-conformity, although only within the legal guarantee period. </w:t>
      </w:r>
      <w:r w:rsidRPr="7F52AB9A">
        <w:rPr>
          <w:i/>
          <w:iCs/>
          <w:sz w:val="18"/>
          <w:szCs w:val="18"/>
        </w:rPr>
        <w:t>For example: In a situation where a product’s expected durability is indicated as 5 years and later it turns out that the average durability of that product is only 4 years, a consumer who has bought such a product less than 2 years ago (i.e. the EU wide minimum legal guarantee period; in some Member States longer period applies) could be entitled to remedies for non-conformity, although only within the legal guarantee</w:t>
      </w:r>
      <w:r w:rsidRPr="009B5734">
        <w:rPr>
          <w:sz w:val="18"/>
          <w:szCs w:val="18"/>
        </w:rPr>
        <w:t xml:space="preserve"> </w:t>
      </w:r>
      <w:r w:rsidRPr="7F52AB9A">
        <w:rPr>
          <w:i/>
          <w:iCs/>
          <w:sz w:val="18"/>
          <w:szCs w:val="18"/>
        </w:rPr>
        <w:t>depending on the circumstances of the particular case to be decided ultimately by a court . This means that even though such a declaration does not constitute a “commercial guarantee” (see Option 1.2.B), it cannot be excluded that it may still lead to remedies against the seller based on the Sale of Goods Directive.</w:t>
      </w:r>
    </w:p>
  </w:footnote>
  <w:footnote w:id="222">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The impact of the option was assessed for large household appliances, small household appliances and IT and other electronic goods. This assessment has limitations in particular because it relies on extrapolation of anecdotal data for consumer behaviour and for the lifespan of products available on the market and it only considers gains for one additional year of lifespan while in reality the measure will help consumers choose products with lifespans that might be two or more years higher than the products they would have bought in the baseline scenario. </w:t>
      </w:r>
    </w:p>
  </w:footnote>
  <w:footnote w:id="223">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Data obtained for the costs of the tests varied significantly and so we incorporated this in the cost model by assuming that these costs follow a triangular distribution. Another challenge to assess these costs was to estimate how many models exist per product category. The sources used were the Impact Assessments of the eco-design regulations complemented by a desk research of the offer of main online retailers in different EU countries.</w:t>
      </w:r>
    </w:p>
  </w:footnote>
  <w:footnote w:id="224">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It is assumed that in 97.5% of the cases this will be done by the manufacturer on the package and that in 2.5% of the cases stickers will have to be placed on the product package by sellers. Data on how much time it takes to place the stickers was obtained from the Impact Assessments for the proposal of Ecodesign regulations (5 minutes per sticker). </w:t>
      </w:r>
    </w:p>
  </w:footnote>
  <w:footnote w:id="225">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Estimated based on the creation of a team of 5 experts per MS (25% of their time would be dedicated to monitoring the compliance with the measure, 50% would be to carry out inspections and 25% with handling complaints), 140 hours of familiarization with the measures and adjust the internal procedures and a yearly enforcement action amounting to EUR 40 000. </w:t>
      </w:r>
    </w:p>
  </w:footnote>
  <w:footnote w:id="226">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The estimation took into account the willingness to pay for a product covered by one year longer than the legal guarantee.</w:t>
      </w:r>
    </w:p>
  </w:footnote>
  <w:footnote w:id="227">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Which means a gross gain of the willingness to pay, and a net gain equal to the gross gain minus the price premium they paid to purchase a product with a commercial guarantee of one year. The average price premium considered was based on the results of the mystery shopping and of the DG study on Legal and commercial guarantees available at: </w:t>
      </w:r>
      <w:hyperlink r:id="rId56" w:history="1">
        <w:r w:rsidRPr="009B5734">
          <w:rPr>
            <w:rStyle w:val="Hyperlink"/>
            <w:sz w:val="18"/>
            <w:szCs w:val="18"/>
          </w:rPr>
          <w:t>https://ec.europa.eu/info/sites/info/files/legal-guarantees-final-report_en.pdf</w:t>
        </w:r>
      </w:hyperlink>
      <w:r w:rsidRPr="009B5734">
        <w:rPr>
          <w:sz w:val="18"/>
          <w:szCs w:val="18"/>
        </w:rPr>
        <w:t xml:space="preserve"> </w:t>
      </w:r>
    </w:p>
  </w:footnote>
  <w:footnote w:id="228">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Based on 1 staff per Member State, 70 hours of familiarisation with the measure and a yearly action amounting to EUR 40 000.  </w:t>
      </w:r>
    </w:p>
  </w:footnote>
  <w:footnote w:id="229">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Based on 1 extra staff per Member State, 70 hours of familiarization with the measure, and a yearly action estimated at EUR 20 000 per MS. </w:t>
      </w:r>
    </w:p>
  </w:footnote>
  <w:footnote w:id="230">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Based on 1 extra staff per Member State, 70 hours of familiarization with the measure, and a yearly action estimated at EUR 20 000 per MS.</w:t>
      </w:r>
    </w:p>
  </w:footnote>
  <w:footnote w:id="231">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The quantification of benefits was done by adjusting the stated willingness to pay for information about the availability of repair services of products by the respondents to the consumer survey and multiplying it by the number of consumers in the EU. The question did not specify for what products the information would be available, so the value was adjusted based on the share that consumers spend on the three product categories considered in the analysis (large household appliances, small household appliances and ICT and electronic services). Furthermore, the question also covered information on the period of time that repair services would be available. For this reason, we only considered 25% of the stated value</w:t>
      </w:r>
    </w:p>
  </w:footnote>
  <w:footnote w:id="232">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Based on 0.5 extra staff per Member State, 70 hours of familiarization with the measure, and a yearly action estimated at EUR 20 000 per MS.</w:t>
      </w:r>
    </w:p>
  </w:footnote>
  <w:footnote w:id="233">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Based on 2 extra staff per Member State, 70 hours of familiarization with the measure, and a yearly action estimated at EUR 20 000 per MS.</w:t>
      </w:r>
    </w:p>
  </w:footnote>
  <w:footnote w:id="234">
    <w:p w:rsidR="00164A6B" w:rsidRPr="009B5734" w:rsidRDefault="00164A6B" w:rsidP="00EA45F9">
      <w:pPr>
        <w:pStyle w:val="FootnoteText"/>
      </w:pPr>
      <w:r w:rsidRPr="009B5734">
        <w:rPr>
          <w:rStyle w:val="FootnoteReference"/>
        </w:rPr>
        <w:footnoteRef/>
      </w:r>
      <w:r w:rsidRPr="009B5734">
        <w:t xml:space="preserve"> A lack of data did not allow to quantify the benefits of this option.</w:t>
      </w:r>
      <w:r w:rsidRPr="009B5734">
        <w:rPr>
          <w:sz w:val="24"/>
          <w:szCs w:val="24"/>
        </w:rPr>
        <w:t xml:space="preserve"> </w:t>
      </w:r>
      <w:r w:rsidRPr="009B5734">
        <w:rPr>
          <w:b/>
          <w:sz w:val="24"/>
        </w:rPr>
        <w:t xml:space="preserve"> </w:t>
      </w:r>
    </w:p>
  </w:footnote>
  <w:footnote w:id="235">
    <w:p w:rsidR="00164A6B" w:rsidRPr="009B5734" w:rsidRDefault="00164A6B" w:rsidP="00EA45F9">
      <w:pPr>
        <w:pStyle w:val="FootnoteText"/>
        <w:spacing w:after="0"/>
        <w:ind w:left="284" w:hanging="284"/>
        <w:rPr>
          <w:sz w:val="18"/>
          <w:szCs w:val="18"/>
        </w:rPr>
      </w:pPr>
      <w:r w:rsidRPr="009B5734">
        <w:rPr>
          <w:rStyle w:val="FootnoteReference"/>
        </w:rPr>
        <w:footnoteRef/>
      </w:r>
      <w:r w:rsidRPr="009B5734">
        <w:t xml:space="preserve"> </w:t>
      </w:r>
      <w:r w:rsidRPr="009B5734">
        <w:rPr>
          <w:sz w:val="18"/>
          <w:szCs w:val="18"/>
        </w:rPr>
        <w:t>These “expectations” refer to indicative expected lifespan from reviewed technical studies.</w:t>
      </w:r>
    </w:p>
  </w:footnote>
  <w:footnote w:id="236">
    <w:p w:rsidR="00164A6B" w:rsidRPr="009B5734" w:rsidRDefault="00164A6B" w:rsidP="00EA45F9">
      <w:pPr>
        <w:pStyle w:val="FootnoteText"/>
        <w:spacing w:after="0"/>
        <w:ind w:left="284" w:hanging="284"/>
      </w:pPr>
      <w:r w:rsidRPr="009B5734">
        <w:rPr>
          <w:rStyle w:val="FootnoteReference"/>
          <w:szCs w:val="18"/>
        </w:rPr>
        <w:footnoteRef/>
      </w:r>
      <w:r w:rsidRPr="009B5734">
        <w:rPr>
          <w:szCs w:val="18"/>
        </w:rPr>
        <w:t xml:space="preserve"> </w:t>
      </w:r>
      <w:r w:rsidRPr="009B5734">
        <w:rPr>
          <w:sz w:val="18"/>
          <w:szCs w:val="18"/>
        </w:rPr>
        <w:tab/>
        <w:t>Based on 0.5 extra staff per Member State, 35 hours of familiarization with the measure.</w:t>
      </w:r>
    </w:p>
  </w:footnote>
  <w:footnote w:id="237">
    <w:p w:rsidR="00164A6B" w:rsidRPr="009B5734" w:rsidRDefault="00164A6B" w:rsidP="00EA45F9">
      <w:pPr>
        <w:pStyle w:val="FootnoteText"/>
        <w:spacing w:after="0"/>
        <w:ind w:left="284" w:hanging="284"/>
      </w:pPr>
      <w:r w:rsidRPr="009B5734">
        <w:rPr>
          <w:rStyle w:val="FootnoteReference"/>
        </w:rPr>
        <w:footnoteRef/>
      </w:r>
      <w:r w:rsidRPr="009B5734">
        <w:t xml:space="preserve"> </w:t>
      </w:r>
      <w:r w:rsidRPr="009B5734">
        <w:rPr>
          <w:sz w:val="18"/>
          <w:szCs w:val="18"/>
        </w:rPr>
        <w:t>Based on 7 extra staff per Member State, 70 hours of familiarization with the measure. The costs of adjudication are expected to be significantly higher than average given the complexity of the matter. We assume that one ADR case will costs around EUR 7,756 and a court case around five times the average.</w:t>
      </w:r>
    </w:p>
  </w:footnote>
  <w:footnote w:id="238">
    <w:p w:rsidR="00164A6B" w:rsidRPr="009B5734" w:rsidRDefault="00164A6B" w:rsidP="00EA45F9">
      <w:pPr>
        <w:pStyle w:val="FootnoteText"/>
        <w:spacing w:after="0"/>
        <w:ind w:left="284" w:hanging="284"/>
      </w:pPr>
      <w:r w:rsidRPr="009B5734">
        <w:rPr>
          <w:rStyle w:val="FootnoteReference"/>
        </w:rPr>
        <w:footnoteRef/>
      </w:r>
      <w:r w:rsidRPr="009B5734">
        <w:t xml:space="preserve"> </w:t>
      </w:r>
      <w:r w:rsidRPr="009B5734">
        <w:rPr>
          <w:sz w:val="18"/>
          <w:szCs w:val="18"/>
        </w:rPr>
        <w:t>This will be based on sales data, and have assumed proportionality between the share of products and the share of sales. The source of the data was the DG ENV study.</w:t>
      </w:r>
    </w:p>
  </w:footnote>
  <w:footnote w:id="239">
    <w:p w:rsidR="00164A6B" w:rsidRPr="009B5734" w:rsidRDefault="00164A6B" w:rsidP="00EA45F9">
      <w:pPr>
        <w:pStyle w:val="FootnoteText"/>
        <w:spacing w:after="0"/>
        <w:ind w:left="284" w:hanging="284"/>
      </w:pPr>
      <w:r w:rsidRPr="009B5734">
        <w:rPr>
          <w:rStyle w:val="FootnoteReference"/>
        </w:rPr>
        <w:footnoteRef/>
      </w:r>
      <w:r w:rsidRPr="009B5734">
        <w:t xml:space="preserve"> </w:t>
      </w:r>
      <w:r w:rsidRPr="009B5734">
        <w:tab/>
      </w:r>
      <w:r w:rsidRPr="009B5734">
        <w:rPr>
          <w:sz w:val="18"/>
          <w:szCs w:val="18"/>
        </w:rPr>
        <w:t>It is assumed that the costs of the products with vague non-substantiated claims and with vague substantiated claims is similar.</w:t>
      </w:r>
    </w:p>
  </w:footnote>
  <w:footnote w:id="240">
    <w:p w:rsidR="00164A6B" w:rsidRPr="009B5734" w:rsidRDefault="00164A6B">
      <w:pPr>
        <w:pStyle w:val="FootnoteText"/>
      </w:pPr>
      <w:r w:rsidRPr="009B5734">
        <w:rPr>
          <w:rStyle w:val="FootnoteReference"/>
        </w:rPr>
        <w:footnoteRef/>
      </w:r>
      <w:r w:rsidRPr="009B5734">
        <w:t xml:space="preserve"> </w:t>
      </w:r>
      <w:r w:rsidRPr="009B5734">
        <w:rPr>
          <w:sz w:val="18"/>
          <w:szCs w:val="18"/>
        </w:rPr>
        <w:t>The total costs are high because the measure applies to a very high number of companies, with the costs per company per year in the period 2025-2040 estimated to be around EUR 40.</w:t>
      </w:r>
    </w:p>
  </w:footnote>
  <w:footnote w:id="241">
    <w:p w:rsidR="00164A6B" w:rsidRPr="009B5734" w:rsidRDefault="00164A6B">
      <w:pPr>
        <w:pStyle w:val="FootnoteText"/>
      </w:pPr>
      <w:r w:rsidRPr="009B5734">
        <w:rPr>
          <w:rStyle w:val="FootnoteReference"/>
        </w:rPr>
        <w:footnoteRef/>
      </w:r>
      <w:r w:rsidRPr="009B5734">
        <w:t xml:space="preserve"> </w:t>
      </w:r>
      <w:r w:rsidRPr="009B5734">
        <w:rPr>
          <w:sz w:val="18"/>
          <w:szCs w:val="18"/>
        </w:rPr>
        <w:t>The total costs are high because the measure applies to a very high number of companies, with the costs per company per year in the period 2025-2040 estimated to be around EUR 40.</w:t>
      </w:r>
    </w:p>
  </w:footnote>
  <w:footnote w:id="242">
    <w:p w:rsidR="00164A6B" w:rsidRPr="009B5734" w:rsidRDefault="00164A6B">
      <w:pPr>
        <w:pStyle w:val="FootnoteText"/>
      </w:pPr>
      <w:r w:rsidRPr="009B5734">
        <w:rPr>
          <w:rStyle w:val="FootnoteReference"/>
        </w:rPr>
        <w:footnoteRef/>
      </w:r>
      <w:r w:rsidRPr="009B5734">
        <w:t xml:space="preserve"> </w:t>
      </w:r>
      <w:r w:rsidRPr="009B5734">
        <w:rPr>
          <w:sz w:val="18"/>
          <w:szCs w:val="18"/>
        </w:rPr>
        <w:t>The total costs are high because the measure applies to a very high number of companies, with the costs per company per year in the period 2025-2040 estimated to be around EUR 40.</w:t>
      </w:r>
    </w:p>
  </w:footnote>
  <w:footnote w:id="243">
    <w:p w:rsidR="00164A6B" w:rsidRPr="00014EB8" w:rsidRDefault="00164A6B" w:rsidP="00EA45F9">
      <w:pPr>
        <w:pStyle w:val="FootnoteText"/>
        <w:spacing w:after="0"/>
        <w:ind w:left="284" w:hanging="284"/>
      </w:pPr>
      <w:r w:rsidRPr="009B5734">
        <w:rPr>
          <w:rStyle w:val="FootnoteReference"/>
        </w:rPr>
        <w:footnoteRef/>
      </w:r>
      <w:r w:rsidRPr="009B5734">
        <w:t xml:space="preserve"> </w:t>
      </w:r>
      <w:r w:rsidRPr="009B5734">
        <w:tab/>
      </w:r>
      <w:r w:rsidRPr="009B5734">
        <w:rPr>
          <w:sz w:val="18"/>
        </w:rPr>
        <w:t>Assuming six meetings in the first year to discuss and prepare the minimum criteria and then one meeting a year to revise the criteria.</w:t>
      </w:r>
    </w:p>
  </w:footnote>
  <w:footnote w:id="244">
    <w:p w:rsidR="00164A6B" w:rsidRPr="009B5734" w:rsidRDefault="00164A6B" w:rsidP="00EA45F9">
      <w:pPr>
        <w:pStyle w:val="FootnoteText"/>
        <w:spacing w:after="0"/>
        <w:ind w:left="284" w:hanging="284"/>
      </w:pPr>
      <w:r w:rsidRPr="009B5734">
        <w:rPr>
          <w:rStyle w:val="FootnoteReference"/>
        </w:rPr>
        <w:footnoteRef/>
      </w:r>
      <w:r w:rsidRPr="009B5734">
        <w:t xml:space="preserve"> </w:t>
      </w:r>
      <w:r w:rsidRPr="009B5734">
        <w:tab/>
      </w:r>
      <w:r w:rsidRPr="009B5734">
        <w:rPr>
          <w:sz w:val="18"/>
          <w:szCs w:val="18"/>
        </w:rPr>
        <w:t xml:space="preserve">Based on the share of labels that do not currently comply with the criteria, the share of consumers that do not take account of logos as they do not trust them, the increase in the share of more sustainable products and the estimated willingness to pay for these products. </w:t>
      </w:r>
    </w:p>
  </w:footnote>
  <w:footnote w:id="245">
    <w:p w:rsidR="00164A6B" w:rsidRPr="00014EB8" w:rsidRDefault="00164A6B" w:rsidP="00BB3B05">
      <w:pPr>
        <w:pStyle w:val="FootnoteText"/>
        <w:spacing w:after="0"/>
        <w:ind w:left="284" w:hanging="284"/>
      </w:pPr>
      <w:r w:rsidRPr="009B5734">
        <w:rPr>
          <w:rStyle w:val="FootnoteReference"/>
        </w:rPr>
        <w:footnoteRef/>
      </w:r>
      <w:r w:rsidRPr="009B5734">
        <w:t xml:space="preserve"> </w:t>
      </w:r>
      <w:r w:rsidRPr="009B5734">
        <w:rPr>
          <w:sz w:val="18"/>
          <w:szCs w:val="18"/>
        </w:rPr>
        <w:t xml:space="preserve">Source: costs setting up and running BEREC office. </w:t>
      </w:r>
      <w:hyperlink r:id="rId57" w:history="1">
        <w:r w:rsidRPr="009B5734">
          <w:rPr>
            <w:rStyle w:val="Hyperlink"/>
            <w:sz w:val="18"/>
            <w:szCs w:val="18"/>
          </w:rPr>
          <w:t>https://ec.europa.eu/transparency/regdoc/rep/10102/2016/EN/SWD-2016-303-F1-EN-MAIN-PART-1.PDF</w:t>
        </w:r>
      </w:hyperlink>
      <w:r w:rsidRPr="009B5734">
        <w:t xml:space="preserve"> </w:t>
      </w:r>
    </w:p>
  </w:footnote>
  <w:footnote w:id="246">
    <w:p w:rsidR="00164A6B" w:rsidRPr="009B5734" w:rsidRDefault="00164A6B" w:rsidP="00E50EA8">
      <w:pPr>
        <w:pStyle w:val="FootnoteText"/>
      </w:pPr>
      <w:r w:rsidRPr="009B5734">
        <w:rPr>
          <w:rStyle w:val="FootnoteReference"/>
        </w:rPr>
        <w:footnoteRef/>
      </w:r>
      <w:r w:rsidRPr="009B5734">
        <w:t xml:space="preserve"> As explained in the Tool#61 of the Better Regulation Guidelines: ‘The social discount rate is used to compare costs and benefits that occur in different time periods from the point of view of society. It is based on different arguments, one is the principle that people prefer to receive goods and services now rather than later, another one on the shadow costs of risk-free capital.’ ‘A social discount rate is used to convert all costs and benefits to "present values" so that they can be compared. This discount rate is a correction factor applied to costs and benefits expressed in constant prices.’</w:t>
      </w:r>
    </w:p>
  </w:footnote>
  <w:footnote w:id="247">
    <w:p w:rsidR="00164A6B" w:rsidRPr="009B5734" w:rsidRDefault="00164A6B" w:rsidP="00FE7CEC">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The discount rate is 4%.</w:t>
      </w:r>
    </w:p>
  </w:footnote>
  <w:footnote w:id="248">
    <w:p w:rsidR="00164A6B" w:rsidRPr="009B5734" w:rsidRDefault="00164A6B" w:rsidP="00FE7CEC">
      <w:pPr>
        <w:ind w:left="0" w:firstLine="0"/>
        <w:rPr>
          <w:rFonts w:ascii="Times New Roman" w:hAnsi="Times New Roman" w:cs="Times New Roman"/>
          <w:sz w:val="18"/>
          <w:szCs w:val="18"/>
        </w:rPr>
      </w:pPr>
      <w:r w:rsidRPr="009B5734">
        <w:rPr>
          <w:rFonts w:ascii="Times New Roman" w:hAnsi="Times New Roman" w:cs="Times New Roman"/>
          <w:sz w:val="18"/>
          <w:szCs w:val="18"/>
          <w:vertAlign w:val="superscript"/>
        </w:rPr>
        <w:footnoteRef/>
      </w:r>
      <w:r w:rsidRPr="009B5734">
        <w:rPr>
          <w:rFonts w:ascii="Times New Roman" w:hAnsi="Times New Roman" w:cs="Times New Roman"/>
          <w:sz w:val="18"/>
          <w:szCs w:val="18"/>
        </w:rPr>
        <w:t xml:space="preserve"> The discount rate is 4%.</w:t>
      </w:r>
    </w:p>
  </w:footnote>
  <w:footnote w:id="249">
    <w:p w:rsidR="00164A6B" w:rsidRPr="009B5734" w:rsidRDefault="00164A6B" w:rsidP="00FE7CEC">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The discount rate is 4%.</w:t>
      </w:r>
    </w:p>
  </w:footnote>
  <w:footnote w:id="250">
    <w:p w:rsidR="00164A6B" w:rsidRPr="009B5734" w:rsidRDefault="00164A6B" w:rsidP="00FE7CEC">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The discount rate is 4%.</w:t>
      </w:r>
    </w:p>
  </w:footnote>
  <w:footnote w:id="251">
    <w:p w:rsidR="00164A6B" w:rsidRPr="009B5734" w:rsidRDefault="00164A6B" w:rsidP="003B5CC7">
      <w:pPr>
        <w:pStyle w:val="FootnoteText"/>
        <w:spacing w:after="0"/>
        <w:rPr>
          <w:sz w:val="18"/>
          <w:szCs w:val="18"/>
        </w:rPr>
      </w:pPr>
      <w:r w:rsidRPr="009B5734">
        <w:rPr>
          <w:rStyle w:val="FootnoteReference"/>
          <w:sz w:val="18"/>
          <w:szCs w:val="18"/>
        </w:rPr>
        <w:footnoteRef/>
      </w:r>
      <w:r w:rsidRPr="009B5734">
        <w:rPr>
          <w:sz w:val="18"/>
          <w:szCs w:val="18"/>
        </w:rPr>
        <w:t xml:space="preserve"> Based on the analysis of problems and the expected impact of the preferred policy options.</w:t>
      </w:r>
    </w:p>
  </w:footnote>
  <w:footnote w:id="252">
    <w:p w:rsidR="00164A6B" w:rsidRPr="009B5734" w:rsidRDefault="00164A6B" w:rsidP="003B5CC7">
      <w:pPr>
        <w:pStyle w:val="FootnoteText"/>
        <w:spacing w:after="0"/>
        <w:rPr>
          <w:sz w:val="18"/>
          <w:szCs w:val="18"/>
        </w:rPr>
      </w:pPr>
      <w:r w:rsidRPr="009B5734">
        <w:rPr>
          <w:rStyle w:val="FootnoteReference"/>
          <w:sz w:val="18"/>
          <w:szCs w:val="18"/>
        </w:rPr>
        <w:footnoteRef/>
      </w:r>
      <w:r w:rsidRPr="009B5734">
        <w:rPr>
          <w:sz w:val="18"/>
          <w:szCs w:val="18"/>
        </w:rPr>
        <w:t xml:space="preserve"> Percentage of products falling under the product scope of the preferred options</w:t>
      </w:r>
    </w:p>
  </w:footnote>
  <w:footnote w:id="253">
    <w:p w:rsidR="00164A6B" w:rsidRPr="00014EB8" w:rsidRDefault="00164A6B" w:rsidP="003B5CC7">
      <w:pPr>
        <w:pStyle w:val="FootnoteText"/>
        <w:spacing w:after="0"/>
        <w:rPr>
          <w:sz w:val="18"/>
        </w:rPr>
      </w:pPr>
      <w:r w:rsidRPr="009B5734">
        <w:rPr>
          <w:rStyle w:val="FootnoteReference"/>
          <w:sz w:val="18"/>
          <w:szCs w:val="18"/>
        </w:rPr>
        <w:footnoteRef/>
      </w:r>
      <w:r w:rsidRPr="009B5734">
        <w:rPr>
          <w:sz w:val="18"/>
          <w:szCs w:val="18"/>
        </w:rPr>
        <w:t xml:space="preserve"> See: </w:t>
      </w:r>
      <w:r w:rsidRPr="009B5734">
        <w:rPr>
          <w:i/>
          <w:sz w:val="18"/>
          <w:szCs w:val="18"/>
        </w:rPr>
        <w:t>Behavioural Study on Consumers’ Engagement in the Circular Economy</w:t>
      </w:r>
      <w:r w:rsidRPr="009B5734">
        <w:rPr>
          <w:sz w:val="18"/>
          <w:szCs w:val="18"/>
        </w:rPr>
        <w:t>, 2018, p. 47.</w:t>
      </w:r>
    </w:p>
  </w:footnote>
  <w:footnote w:id="254">
    <w:p w:rsidR="00164A6B" w:rsidRPr="009B5734" w:rsidRDefault="00164A6B" w:rsidP="003B5CC7">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Percentages vary depending on source and product. See </w:t>
      </w:r>
      <w:r w:rsidRPr="009B5734">
        <w:rPr>
          <w:i/>
          <w:sz w:val="18"/>
          <w:szCs w:val="18"/>
        </w:rPr>
        <w:t>Behavioural Study on Consumers’ Engagement in the Circular Economy</w:t>
      </w:r>
      <w:r w:rsidRPr="009B5734">
        <w:rPr>
          <w:sz w:val="18"/>
          <w:szCs w:val="18"/>
        </w:rPr>
        <w:t xml:space="preserve">, 2018, p.147; and </w:t>
      </w:r>
      <w:r w:rsidRPr="00014EB8">
        <w:rPr>
          <w:i/>
          <w:sz w:val="18"/>
          <w:szCs w:val="18"/>
        </w:rPr>
        <w:t xml:space="preserve">Consumer </w:t>
      </w:r>
      <w:r w:rsidRPr="009B5734">
        <w:rPr>
          <w:i/>
          <w:sz w:val="18"/>
          <w:szCs w:val="18"/>
        </w:rPr>
        <w:t>Market Monitoring Survey</w:t>
      </w:r>
      <w:r w:rsidRPr="009B5734">
        <w:rPr>
          <w:sz w:val="18"/>
          <w:szCs w:val="18"/>
        </w:rPr>
        <w:t xml:space="preserve"> 2019, p. 14.</w:t>
      </w:r>
    </w:p>
  </w:footnote>
  <w:footnote w:id="255">
    <w:p w:rsidR="00164A6B" w:rsidRPr="009B5734" w:rsidRDefault="00164A6B" w:rsidP="003B5CC7">
      <w:pPr>
        <w:pStyle w:val="FootnoteText"/>
        <w:spacing w:after="0"/>
        <w:rPr>
          <w:sz w:val="18"/>
          <w:szCs w:val="18"/>
        </w:rPr>
      </w:pPr>
      <w:r w:rsidRPr="009B5734">
        <w:rPr>
          <w:rStyle w:val="FootnoteReference"/>
          <w:sz w:val="18"/>
          <w:szCs w:val="18"/>
        </w:rPr>
        <w:footnoteRef/>
      </w:r>
      <w:r w:rsidRPr="009B5734">
        <w:rPr>
          <w:sz w:val="18"/>
          <w:szCs w:val="18"/>
        </w:rPr>
        <w:t xml:space="preserve"> Assuming a certain level of non-compliance.</w:t>
      </w:r>
    </w:p>
  </w:footnote>
  <w:footnote w:id="256">
    <w:p w:rsidR="00164A6B" w:rsidRPr="00353CBE" w:rsidRDefault="00164A6B" w:rsidP="00353CBE">
      <w:pPr>
        <w:rPr>
          <w:sz w:val="18"/>
          <w:szCs w:val="18"/>
        </w:rPr>
      </w:pPr>
      <w:r w:rsidRPr="009B5734">
        <w:rPr>
          <w:rStyle w:val="FootnoteReference"/>
          <w:sz w:val="18"/>
          <w:szCs w:val="18"/>
        </w:rPr>
        <w:footnoteRef/>
      </w:r>
      <w:r w:rsidRPr="009B5734">
        <w:rPr>
          <w:sz w:val="18"/>
          <w:szCs w:val="18"/>
        </w:rPr>
        <w:t xml:space="preserve"> </w:t>
      </w:r>
      <w:r w:rsidRPr="00353CBE">
        <w:rPr>
          <w:rFonts w:ascii="Times New Roman" w:eastAsia="Times New Roman" w:hAnsi="Times New Roman" w:cs="Times New Roman"/>
          <w:sz w:val="18"/>
          <w:szCs w:val="18"/>
        </w:rPr>
        <w:t xml:space="preserve">European Commission, Impact Assessment supporting study: </w:t>
      </w:r>
      <w:r w:rsidRPr="00353CBE">
        <w:rPr>
          <w:rFonts w:ascii="Times New Roman" w:eastAsia="Times New Roman" w:hAnsi="Times New Roman" w:cs="Times New Roman"/>
          <w:i/>
          <w:sz w:val="18"/>
          <w:szCs w:val="18"/>
        </w:rPr>
        <w:t>Study on Empowering Consumers Towards the Green Transition</w:t>
      </w:r>
      <w:r w:rsidRPr="00353CBE">
        <w:rPr>
          <w:rFonts w:ascii="Times New Roman" w:eastAsia="Times New Roman" w:hAnsi="Times New Roman" w:cs="Times New Roman"/>
          <w:sz w:val="18"/>
          <w:szCs w:val="18"/>
        </w:rPr>
        <w:t xml:space="preserve">, July </w:t>
      </w:r>
      <w:r w:rsidRPr="00275642">
        <w:rPr>
          <w:rFonts w:ascii="Times New Roman" w:eastAsia="Times New Roman" w:hAnsi="Times New Roman" w:cs="Times New Roman"/>
          <w:sz w:val="18"/>
          <w:szCs w:val="18"/>
        </w:rPr>
        <w:t>2021</w:t>
      </w:r>
      <w:r w:rsidRPr="00353CBE">
        <w:rPr>
          <w:rFonts w:ascii="Times New Roman" w:eastAsia="Times New Roman" w:hAnsi="Times New Roman" w:cs="Times New Roman"/>
          <w:sz w:val="18"/>
          <w:szCs w:val="18"/>
        </w:rPr>
        <w:t>, Annexes, p.422.</w:t>
      </w:r>
    </w:p>
  </w:footnote>
  <w:footnote w:id="257">
    <w:p w:rsidR="00164A6B" w:rsidRPr="004B3141" w:rsidRDefault="00164A6B" w:rsidP="003B5CC7">
      <w:pPr>
        <w:pStyle w:val="FootnoteText"/>
        <w:spacing w:after="0"/>
        <w:rPr>
          <w:sz w:val="18"/>
          <w:szCs w:val="18"/>
        </w:rPr>
      </w:pPr>
      <w:r w:rsidRPr="009B5734">
        <w:rPr>
          <w:rStyle w:val="FootnoteReference"/>
          <w:sz w:val="18"/>
          <w:szCs w:val="18"/>
        </w:rPr>
        <w:footnoteRef/>
      </w:r>
      <w:r w:rsidRPr="009B5734" w:rsidDel="00CE3C98">
        <w:rPr>
          <w:sz w:val="18"/>
          <w:szCs w:val="18"/>
        </w:rPr>
        <w:t xml:space="preserve"> </w:t>
      </w:r>
      <w:r w:rsidRPr="5D17F28C" w:rsidDel="00CE3C98">
        <w:rPr>
          <w:sz w:val="18"/>
          <w:szCs w:val="18"/>
        </w:rPr>
        <w:t>European Commission,</w:t>
      </w:r>
      <w:r w:rsidRPr="009B5734" w:rsidDel="00CE3C98">
        <w:rPr>
          <w:sz w:val="18"/>
          <w:szCs w:val="18"/>
        </w:rPr>
        <w:t xml:space="preserve"> </w:t>
      </w:r>
      <w:r w:rsidRPr="009B5734">
        <w:rPr>
          <w:i/>
          <w:sz w:val="18"/>
          <w:szCs w:val="18"/>
        </w:rPr>
        <w:t>Behavioural Study on Consumers’ Engagement in the Circular Economy</w:t>
      </w:r>
      <w:r w:rsidRPr="009B5734">
        <w:rPr>
          <w:sz w:val="18"/>
          <w:szCs w:val="18"/>
        </w:rPr>
        <w:t>, 2018, p. 47.</w:t>
      </w:r>
    </w:p>
  </w:footnote>
  <w:footnote w:id="258">
    <w:p w:rsidR="00164A6B" w:rsidRPr="00787778" w:rsidRDefault="00164A6B" w:rsidP="7F52AB9A">
      <w:pPr>
        <w:pStyle w:val="FootnoteText"/>
        <w:spacing w:after="0"/>
      </w:pPr>
      <w:r>
        <w:rPr>
          <w:rStyle w:val="FootnoteReference"/>
        </w:rPr>
        <w:footnoteRef/>
      </w:r>
      <w:r>
        <w:t xml:space="preserve">  </w:t>
      </w:r>
      <w:r w:rsidRPr="009B5734">
        <w:rPr>
          <w:sz w:val="18"/>
          <w:szCs w:val="18"/>
        </w:rPr>
        <w:t>St</w:t>
      </w:r>
      <w:r>
        <w:rPr>
          <w:sz w:val="18"/>
          <w:szCs w:val="18"/>
        </w:rPr>
        <w:t>udy Supporting IA, Annexes, p.437</w:t>
      </w:r>
      <w:r w:rsidRPr="009B5734">
        <w:rPr>
          <w:sz w:val="18"/>
          <w:szCs w:val="18"/>
        </w:rPr>
        <w:t>.</w:t>
      </w:r>
    </w:p>
  </w:footnote>
  <w:footnote w:id="259">
    <w:p w:rsidR="00164A6B" w:rsidRPr="005D7BE7" w:rsidRDefault="00164A6B" w:rsidP="00F133A0">
      <w:pPr>
        <w:pStyle w:val="FootnoteText"/>
        <w:spacing w:after="0"/>
        <w:rPr>
          <w:sz w:val="18"/>
          <w:szCs w:val="18"/>
        </w:rPr>
      </w:pPr>
      <w:r w:rsidRPr="009B5734">
        <w:rPr>
          <w:rStyle w:val="FootnoteReference"/>
          <w:sz w:val="18"/>
          <w:szCs w:val="18"/>
        </w:rPr>
        <w:footnoteRef/>
      </w:r>
      <w:r w:rsidRPr="009B5734">
        <w:rPr>
          <w:sz w:val="18"/>
          <w:szCs w:val="18"/>
        </w:rPr>
        <w:t xml:space="preserve"> </w:t>
      </w:r>
      <w:r>
        <w:rPr>
          <w:sz w:val="18"/>
          <w:szCs w:val="18"/>
        </w:rPr>
        <w:t xml:space="preserve">Consumer </w:t>
      </w:r>
      <w:r w:rsidRPr="009B5734">
        <w:rPr>
          <w:sz w:val="18"/>
          <w:szCs w:val="18"/>
        </w:rPr>
        <w:t>Market Monitoring Survey 2019, Household Appliances, p.33.</w:t>
      </w:r>
    </w:p>
  </w:footnote>
  <w:footnote w:id="260">
    <w:p w:rsidR="00164A6B" w:rsidRPr="009B5734" w:rsidRDefault="00164A6B" w:rsidP="003B5CC7">
      <w:pPr>
        <w:pStyle w:val="FootnoteText"/>
        <w:spacing w:after="0"/>
        <w:rPr>
          <w:sz w:val="18"/>
          <w:szCs w:val="18"/>
        </w:rPr>
      </w:pPr>
      <w:r w:rsidRPr="009B5734">
        <w:rPr>
          <w:rStyle w:val="FootnoteReference"/>
          <w:sz w:val="18"/>
          <w:szCs w:val="18"/>
        </w:rPr>
        <w:footnoteRef/>
      </w:r>
      <w:r w:rsidRPr="009B5734">
        <w:rPr>
          <w:sz w:val="18"/>
          <w:szCs w:val="18"/>
        </w:rPr>
        <w:t xml:space="preserve"> </w:t>
      </w:r>
      <w:r>
        <w:rPr>
          <w:sz w:val="18"/>
          <w:szCs w:val="18"/>
        </w:rPr>
        <w:t>Consumer</w:t>
      </w:r>
      <w:r w:rsidRPr="009B5734" w:rsidDel="00CE3C98">
        <w:rPr>
          <w:sz w:val="18"/>
          <w:szCs w:val="18"/>
        </w:rPr>
        <w:t xml:space="preserve"> </w:t>
      </w:r>
      <w:r w:rsidRPr="009B5734">
        <w:rPr>
          <w:sz w:val="18"/>
          <w:szCs w:val="18"/>
        </w:rPr>
        <w:t xml:space="preserve">Market Monitoring Survey 2019, Internet connected products p.5. </w:t>
      </w:r>
    </w:p>
  </w:footnote>
  <w:footnote w:id="261">
    <w:p w:rsidR="00164A6B" w:rsidRPr="00CE3C98" w:rsidRDefault="00164A6B">
      <w:pPr>
        <w:pStyle w:val="FootnoteText"/>
      </w:pPr>
      <w:r>
        <w:rPr>
          <w:rStyle w:val="FootnoteReference"/>
        </w:rPr>
        <w:footnoteRef/>
      </w:r>
      <w:r w:rsidRPr="5D17F28C">
        <w:t xml:space="preserve"> </w:t>
      </w:r>
      <w:r w:rsidRPr="07DE874D">
        <w:t>European Commission,</w:t>
      </w:r>
      <w:r>
        <w:t xml:space="preserve"> </w:t>
      </w:r>
      <w:r w:rsidRPr="7F52AB9A">
        <w:rPr>
          <w:i/>
          <w:iCs/>
          <w:sz w:val="18"/>
          <w:szCs w:val="18"/>
        </w:rPr>
        <w:t>Consumer Conditions Scoreboard, Consumers at home in the Single Market</w:t>
      </w:r>
      <w:r w:rsidRPr="009B5734">
        <w:rPr>
          <w:sz w:val="18"/>
          <w:szCs w:val="18"/>
        </w:rPr>
        <w:t>, 2019, p.11.</w:t>
      </w:r>
    </w:p>
  </w:footnote>
  <w:footnote w:id="262">
    <w:p w:rsidR="00164A6B" w:rsidRPr="009B5734" w:rsidRDefault="00164A6B" w:rsidP="00C84A99">
      <w:pPr>
        <w:rPr>
          <w:sz w:val="18"/>
          <w:szCs w:val="18"/>
        </w:rPr>
      </w:pPr>
      <w:r w:rsidRPr="009B5734">
        <w:rPr>
          <w:rStyle w:val="FootnoteReference"/>
          <w:sz w:val="18"/>
          <w:szCs w:val="18"/>
        </w:rPr>
        <w:footnoteRef/>
      </w:r>
      <w:r w:rsidRPr="009B5734">
        <w:rPr>
          <w:sz w:val="18"/>
          <w:szCs w:val="18"/>
        </w:rPr>
        <w:t xml:space="preserve"> </w:t>
      </w:r>
      <w:r w:rsidRPr="00C84A99">
        <w:rPr>
          <w:rFonts w:ascii="Times New Roman" w:eastAsia="Times New Roman" w:hAnsi="Times New Roman" w:cs="Times New Roman"/>
          <w:sz w:val="18"/>
          <w:szCs w:val="18"/>
        </w:rPr>
        <w:t xml:space="preserve">European Commission, Impact Assessment supporting study: </w:t>
      </w:r>
      <w:r w:rsidRPr="00C84A99">
        <w:rPr>
          <w:rFonts w:ascii="Times New Roman" w:eastAsia="Times New Roman" w:hAnsi="Times New Roman" w:cs="Times New Roman"/>
          <w:i/>
          <w:sz w:val="18"/>
          <w:szCs w:val="18"/>
        </w:rPr>
        <w:t>Study on Empowering Consumers Towards the Green Transition</w:t>
      </w:r>
      <w:r w:rsidRPr="00C84A99">
        <w:rPr>
          <w:rFonts w:ascii="Times New Roman" w:eastAsia="Times New Roman" w:hAnsi="Times New Roman" w:cs="Times New Roman"/>
          <w:sz w:val="18"/>
          <w:szCs w:val="18"/>
        </w:rPr>
        <w:t xml:space="preserve">, July </w:t>
      </w:r>
      <w:r w:rsidRPr="00275642">
        <w:rPr>
          <w:rFonts w:ascii="Times New Roman" w:eastAsia="Times New Roman" w:hAnsi="Times New Roman" w:cs="Times New Roman"/>
          <w:sz w:val="18"/>
          <w:szCs w:val="18"/>
        </w:rPr>
        <w:t>2021</w:t>
      </w:r>
      <w:r w:rsidRPr="00C84A99">
        <w:rPr>
          <w:rFonts w:ascii="Times New Roman" w:eastAsia="Times New Roman" w:hAnsi="Times New Roman" w:cs="Times New Roman"/>
          <w:sz w:val="18"/>
          <w:szCs w:val="18"/>
        </w:rPr>
        <w:t>, Annexes, p. 172.</w:t>
      </w:r>
    </w:p>
  </w:footnote>
  <w:footnote w:id="263">
    <w:p w:rsidR="00164A6B" w:rsidRPr="005D7BE7" w:rsidRDefault="00164A6B" w:rsidP="00F133A0">
      <w:pPr>
        <w:pStyle w:val="FootnoteText"/>
        <w:spacing w:after="0"/>
        <w:rPr>
          <w:sz w:val="18"/>
          <w:szCs w:val="18"/>
        </w:rPr>
      </w:pPr>
      <w:r w:rsidRPr="009B5734">
        <w:rPr>
          <w:rStyle w:val="FootnoteReference"/>
          <w:sz w:val="18"/>
          <w:szCs w:val="18"/>
        </w:rPr>
        <w:footnoteRef/>
      </w:r>
      <w:r w:rsidRPr="009B5734">
        <w:rPr>
          <w:sz w:val="18"/>
          <w:szCs w:val="18"/>
        </w:rPr>
        <w:t xml:space="preserve"> </w:t>
      </w:r>
      <w:r w:rsidRPr="00353CBE">
        <w:rPr>
          <w:sz w:val="18"/>
          <w:szCs w:val="18"/>
          <w:lang w:eastAsia="en-US"/>
        </w:rPr>
        <w:t>European Commission,</w:t>
      </w:r>
      <w:r w:rsidRPr="00275642">
        <w:rPr>
          <w:rStyle w:val="BodyTextECChar"/>
        </w:rPr>
        <w:t xml:space="preserve"> </w:t>
      </w:r>
      <w:r w:rsidRPr="7F52AB9A">
        <w:rPr>
          <w:i/>
          <w:iCs/>
          <w:sz w:val="18"/>
          <w:szCs w:val="18"/>
        </w:rPr>
        <w:t>Consumer Conditions Scoreboard, Consumers at home in the Single Market</w:t>
      </w:r>
      <w:r w:rsidRPr="009B5734">
        <w:rPr>
          <w:sz w:val="18"/>
          <w:szCs w:val="18"/>
        </w:rPr>
        <w:t xml:space="preserve">, 2019, p.11. </w:t>
      </w:r>
    </w:p>
  </w:footnote>
  <w:footnote w:id="264">
    <w:p w:rsidR="00164A6B" w:rsidRPr="00014EB8" w:rsidRDefault="00164A6B" w:rsidP="003B5CC7">
      <w:pPr>
        <w:pStyle w:val="FootnoteText"/>
        <w:spacing w:after="0"/>
        <w:rPr>
          <w:sz w:val="18"/>
        </w:rPr>
      </w:pPr>
      <w:r w:rsidRPr="009B5734">
        <w:rPr>
          <w:rStyle w:val="FootnoteReference"/>
          <w:sz w:val="18"/>
          <w:szCs w:val="18"/>
        </w:rPr>
        <w:footnoteRef/>
      </w:r>
      <w:r w:rsidRPr="009B5734">
        <w:rPr>
          <w:sz w:val="18"/>
          <w:szCs w:val="18"/>
        </w:rPr>
        <w:t xml:space="preserve"> See: </w:t>
      </w:r>
      <w:r w:rsidRPr="009B5734">
        <w:rPr>
          <w:i/>
          <w:sz w:val="18"/>
          <w:szCs w:val="18"/>
        </w:rPr>
        <w:t>2020 – sweep on misleading sustainability claims</w:t>
      </w:r>
      <w:r w:rsidRPr="009B5734">
        <w:rPr>
          <w:sz w:val="18"/>
          <w:szCs w:val="18"/>
        </w:rPr>
        <w:t>.</w:t>
      </w:r>
    </w:p>
  </w:footnote>
  <w:footnote w:id="265">
    <w:p w:rsidR="00164A6B" w:rsidRPr="00014EB8" w:rsidRDefault="00164A6B" w:rsidP="00EA45F9">
      <w:pPr>
        <w:pStyle w:val="FootnoteText"/>
        <w:spacing w:after="0"/>
        <w:ind w:left="0" w:firstLine="0"/>
        <w:rPr>
          <w:sz w:val="18"/>
        </w:rPr>
      </w:pPr>
      <w:r w:rsidRPr="009B5734">
        <w:rPr>
          <w:rStyle w:val="FootnoteReference"/>
          <w:sz w:val="18"/>
          <w:szCs w:val="18"/>
        </w:rPr>
        <w:footnoteRef/>
      </w:r>
      <w:r w:rsidRPr="009B5734">
        <w:rPr>
          <w:sz w:val="18"/>
          <w:szCs w:val="18"/>
        </w:rPr>
        <w:t xml:space="preserve"> Product Environmental Footprint (PEF). PEF studies can be carried out both based on the overall PEF method (applicable to any product) and based on Product Environmental Footprint Category Rules (PEFCRs). PEFCRs are quite detailed to guarantee the reproducibility, comparability and reliability of the information. The information that can be derived from a PEF study or a PEFCR concerns any of the 16 environmental impacts in scope, information about the most relevant production processes (those contributing most significantly to the total impact), the most relevant life cycle stages, even the most relevant emissions. When a PEFCR exists, it is also possible to compare of the performance of the specific product with the benchmark (the environmental performance of the average product sold on the EU market).</w:t>
      </w:r>
    </w:p>
  </w:footnote>
  <w:footnote w:id="266">
    <w:p w:rsidR="00164A6B" w:rsidRPr="00353CBE" w:rsidRDefault="00164A6B">
      <w:pPr>
        <w:pStyle w:val="FootnoteText"/>
        <w:rPr>
          <w:lang w:val="en-IE"/>
        </w:rPr>
      </w:pPr>
      <w:r>
        <w:rPr>
          <w:rStyle w:val="FootnoteReference"/>
        </w:rPr>
        <w:footnoteRef/>
      </w:r>
      <w:r>
        <w:t xml:space="preserve"> </w:t>
      </w:r>
      <w:r w:rsidRPr="009B5734">
        <w:rPr>
          <w:sz w:val="18"/>
          <w:szCs w:val="18"/>
        </w:rPr>
        <w:t xml:space="preserve">BEUC, </w:t>
      </w:r>
      <w:r w:rsidRPr="7F52AB9A">
        <w:rPr>
          <w:i/>
          <w:iCs/>
          <w:sz w:val="18"/>
          <w:szCs w:val="18"/>
        </w:rPr>
        <w:t>Getting rid of greenwashing</w:t>
      </w:r>
      <w:r w:rsidRPr="009B5734">
        <w:rPr>
          <w:sz w:val="18"/>
          <w:szCs w:val="18"/>
        </w:rPr>
        <w:t xml:space="preserve">, </w:t>
      </w:r>
      <w:r>
        <w:rPr>
          <w:sz w:val="18"/>
          <w:szCs w:val="18"/>
        </w:rPr>
        <w:t>Restoring consumer confidence in green claims, 2020.</w:t>
      </w:r>
    </w:p>
  </w:footnote>
  <w:footnote w:id="267">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European Commission, </w:t>
      </w:r>
      <w:r w:rsidRPr="009B5734">
        <w:rPr>
          <w:i/>
          <w:sz w:val="18"/>
          <w:szCs w:val="18"/>
        </w:rPr>
        <w:t>Consumers Conditions Scoreboard</w:t>
      </w:r>
      <w:r w:rsidRPr="009B5734">
        <w:rPr>
          <w:sz w:val="18"/>
          <w:szCs w:val="18"/>
        </w:rPr>
        <w:t>, 2019, p. 57.</w:t>
      </w:r>
    </w:p>
  </w:footnote>
  <w:footnote w:id="268">
    <w:p w:rsidR="00164A6B" w:rsidRPr="009B5734" w:rsidRDefault="00164A6B" w:rsidP="00EA45F9">
      <w:pPr>
        <w:pStyle w:val="FootnoteText"/>
        <w:spacing w:after="0"/>
        <w:ind w:left="0" w:firstLine="0"/>
        <w:rPr>
          <w:rFonts w:eastAsiaTheme="minorHAnsi"/>
          <w:sz w:val="18"/>
          <w:szCs w:val="18"/>
          <w:lang w:eastAsia="en-US"/>
        </w:rPr>
      </w:pPr>
      <w:r w:rsidRPr="009B5734">
        <w:rPr>
          <w:rStyle w:val="FootnoteReference"/>
          <w:sz w:val="18"/>
          <w:szCs w:val="18"/>
        </w:rPr>
        <w:footnoteRef/>
      </w:r>
      <w:r w:rsidRPr="009B5734">
        <w:rPr>
          <w:sz w:val="18"/>
          <w:szCs w:val="18"/>
        </w:rPr>
        <w:t xml:space="preserve"> </w:t>
      </w:r>
      <w:r w:rsidRPr="009B5734">
        <w:rPr>
          <w:rFonts w:eastAsiaTheme="minorHAnsi"/>
          <w:sz w:val="18"/>
          <w:szCs w:val="18"/>
          <w:lang w:eastAsia="en-US"/>
        </w:rPr>
        <w:t>77% of the respondents indicated that they would be willing to pay more for environmentally-friendly products if they were confident that the products are truly environmentally-friendly.</w:t>
      </w:r>
    </w:p>
    <w:p w:rsidR="00164A6B" w:rsidRPr="009B5734" w:rsidRDefault="00164A6B" w:rsidP="00EA45F9">
      <w:pPr>
        <w:pStyle w:val="FootnoteText"/>
        <w:spacing w:after="0"/>
        <w:ind w:left="0" w:firstLine="0"/>
        <w:rPr>
          <w:rFonts w:eastAsiaTheme="minorHAnsi"/>
          <w:i/>
          <w:sz w:val="18"/>
          <w:szCs w:val="18"/>
          <w:lang w:eastAsia="en-US"/>
        </w:rPr>
      </w:pPr>
      <w:r w:rsidRPr="009B5734">
        <w:rPr>
          <w:rFonts w:eastAsiaTheme="minorHAnsi"/>
          <w:sz w:val="18"/>
          <w:szCs w:val="18"/>
          <w:lang w:eastAsia="en-US"/>
        </w:rPr>
        <w:t xml:space="preserve">European Commission, </w:t>
      </w:r>
      <w:r w:rsidRPr="009B5734">
        <w:rPr>
          <w:rFonts w:eastAsiaTheme="minorHAnsi"/>
          <w:i/>
          <w:sz w:val="18"/>
          <w:szCs w:val="18"/>
          <w:lang w:eastAsia="en-US"/>
        </w:rPr>
        <w:t>Flash</w:t>
      </w:r>
      <w:r w:rsidRPr="009B5734">
        <w:rPr>
          <w:rFonts w:eastAsiaTheme="minorHAnsi"/>
          <w:sz w:val="18"/>
          <w:szCs w:val="18"/>
          <w:lang w:eastAsia="en-US"/>
        </w:rPr>
        <w:t xml:space="preserve"> </w:t>
      </w:r>
      <w:r w:rsidRPr="009B5734">
        <w:rPr>
          <w:rFonts w:eastAsiaTheme="minorHAnsi"/>
          <w:i/>
          <w:sz w:val="18"/>
          <w:szCs w:val="18"/>
          <w:lang w:eastAsia="en-US"/>
        </w:rPr>
        <w:t>Eurobarometer 367</w:t>
      </w:r>
      <w:r w:rsidRPr="009B5734">
        <w:rPr>
          <w:rFonts w:eastAsiaTheme="minorHAnsi"/>
          <w:sz w:val="18"/>
          <w:szCs w:val="18"/>
          <w:lang w:eastAsia="en-US"/>
        </w:rPr>
        <w:t>, 2015, p. 8.</w:t>
      </w:r>
    </w:p>
  </w:footnote>
  <w:footnote w:id="269">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European Commission, </w:t>
      </w:r>
      <w:r w:rsidRPr="009B5734">
        <w:rPr>
          <w:i/>
          <w:sz w:val="18"/>
          <w:szCs w:val="18"/>
        </w:rPr>
        <w:t>Flash Eurobarometer 367</w:t>
      </w:r>
      <w:r w:rsidRPr="009B5734">
        <w:rPr>
          <w:sz w:val="18"/>
          <w:szCs w:val="18"/>
        </w:rPr>
        <w:t>, 2015, p. 73.</w:t>
      </w:r>
    </w:p>
  </w:footnote>
  <w:footnote w:id="270">
    <w:p w:rsidR="00164A6B" w:rsidRPr="00014EB8" w:rsidRDefault="00164A6B" w:rsidP="00EA45F9">
      <w:pPr>
        <w:pStyle w:val="FootnoteText"/>
        <w:spacing w:after="0"/>
        <w:ind w:left="0" w:firstLine="0"/>
        <w:rPr>
          <w:sz w:val="18"/>
        </w:rPr>
      </w:pPr>
      <w:r w:rsidRPr="009B5734">
        <w:rPr>
          <w:rStyle w:val="FootnoteReference"/>
          <w:sz w:val="18"/>
          <w:szCs w:val="18"/>
        </w:rPr>
        <w:footnoteRef/>
      </w:r>
      <w:r w:rsidRPr="00014EB8">
        <w:rPr>
          <w:sz w:val="18"/>
        </w:rPr>
        <w:t xml:space="preserve"> </w:t>
      </w:r>
      <w:r w:rsidRPr="009B5734">
        <w:rPr>
          <w:sz w:val="18"/>
          <w:szCs w:val="18"/>
        </w:rPr>
        <w:t xml:space="preserve">European Commission, </w:t>
      </w:r>
      <w:r w:rsidRPr="009B5734">
        <w:rPr>
          <w:i/>
          <w:sz w:val="18"/>
          <w:szCs w:val="18"/>
        </w:rPr>
        <w:t>Behavioural Study on</w:t>
      </w:r>
      <w:r w:rsidRPr="009B5734">
        <w:rPr>
          <w:sz w:val="18"/>
          <w:szCs w:val="18"/>
        </w:rPr>
        <w:t xml:space="preserve"> </w:t>
      </w:r>
      <w:r w:rsidRPr="009B5734">
        <w:rPr>
          <w:i/>
          <w:sz w:val="18"/>
          <w:szCs w:val="18"/>
        </w:rPr>
        <w:t>Consumers’ engagement in the circular economy,</w:t>
      </w:r>
      <w:r w:rsidRPr="009B5734">
        <w:rPr>
          <w:sz w:val="18"/>
          <w:szCs w:val="18"/>
        </w:rPr>
        <w:t xml:space="preserve"> 2018, p 146.</w:t>
      </w:r>
    </w:p>
  </w:footnote>
  <w:footnote w:id="271">
    <w:p w:rsidR="00164A6B" w:rsidRPr="00014EB8" w:rsidRDefault="00164A6B" w:rsidP="00EA45F9">
      <w:pPr>
        <w:pStyle w:val="FootnoteText"/>
        <w:spacing w:after="0"/>
        <w:ind w:left="0" w:firstLine="0"/>
        <w:rPr>
          <w:sz w:val="18"/>
        </w:rPr>
      </w:pPr>
      <w:r w:rsidRPr="009B5734">
        <w:rPr>
          <w:rStyle w:val="FootnoteReference"/>
          <w:sz w:val="18"/>
          <w:szCs w:val="18"/>
        </w:rPr>
        <w:footnoteRef/>
      </w:r>
      <w:r w:rsidRPr="00014EB8">
        <w:rPr>
          <w:sz w:val="18"/>
        </w:rPr>
        <w:t xml:space="preserve"> </w:t>
      </w:r>
      <w:r w:rsidRPr="009B5734">
        <w:rPr>
          <w:sz w:val="18"/>
          <w:szCs w:val="18"/>
        </w:rPr>
        <w:t xml:space="preserve">European Commission, </w:t>
      </w:r>
      <w:r w:rsidRPr="009B5734">
        <w:rPr>
          <w:i/>
          <w:sz w:val="18"/>
          <w:szCs w:val="18"/>
        </w:rPr>
        <w:t>Behavioural Study on</w:t>
      </w:r>
      <w:r w:rsidRPr="009B5734">
        <w:rPr>
          <w:sz w:val="18"/>
          <w:szCs w:val="18"/>
        </w:rPr>
        <w:t xml:space="preserve"> </w:t>
      </w:r>
      <w:r w:rsidRPr="009B5734">
        <w:rPr>
          <w:i/>
          <w:sz w:val="18"/>
          <w:szCs w:val="18"/>
        </w:rPr>
        <w:t>Consumers’ engagement in the circular economy,</w:t>
      </w:r>
      <w:r w:rsidRPr="009B5734">
        <w:rPr>
          <w:sz w:val="18"/>
          <w:szCs w:val="18"/>
        </w:rPr>
        <w:t xml:space="preserve"> 2018, p 157-158.</w:t>
      </w:r>
    </w:p>
  </w:footnote>
  <w:footnote w:id="272">
    <w:p w:rsidR="00164A6B" w:rsidRPr="009B5734" w:rsidRDefault="00164A6B" w:rsidP="00655572">
      <w:pPr>
        <w:pStyle w:val="FootnoteText"/>
        <w:spacing w:after="0"/>
        <w:rPr>
          <w:i/>
          <w:sz w:val="18"/>
          <w:szCs w:val="18"/>
        </w:rPr>
      </w:pPr>
      <w:r w:rsidRPr="009B5734">
        <w:rPr>
          <w:rStyle w:val="FootnoteReference"/>
          <w:sz w:val="18"/>
          <w:szCs w:val="18"/>
        </w:rPr>
        <w:footnoteRef/>
      </w:r>
      <w:r w:rsidRPr="00C42051">
        <w:rPr>
          <w:sz w:val="18"/>
          <w:szCs w:val="18"/>
          <w:lang w:val="en-IE"/>
        </w:rPr>
        <w:t xml:space="preserve"> Dessart, F. J., Marandola, G., Hille, S., Thøgersen, J. (2021). </w:t>
      </w:r>
      <w:r w:rsidRPr="002027FA">
        <w:rPr>
          <w:i/>
          <w:sz w:val="18"/>
          <w:szCs w:val="18"/>
        </w:rPr>
        <w:t>Comparing the impact of positive, negative, and graded sustainability labels on purchase decisions</w:t>
      </w:r>
      <w:r w:rsidRPr="002027FA">
        <w:rPr>
          <w:sz w:val="18"/>
          <w:szCs w:val="18"/>
        </w:rPr>
        <w:t>. JRC Science for Policy Brief. JRC127006.</w:t>
      </w:r>
    </w:p>
  </w:footnote>
  <w:footnote w:id="273">
    <w:p w:rsidR="00164A6B" w:rsidRPr="00014EB8" w:rsidRDefault="00164A6B" w:rsidP="00EA45F9">
      <w:pPr>
        <w:pStyle w:val="FootnoteText"/>
        <w:spacing w:after="0"/>
        <w:ind w:left="0" w:firstLine="0"/>
        <w:rPr>
          <w:sz w:val="18"/>
        </w:rPr>
      </w:pPr>
      <w:r w:rsidRPr="009B5734">
        <w:rPr>
          <w:rStyle w:val="FootnoteReference"/>
          <w:sz w:val="18"/>
          <w:szCs w:val="18"/>
        </w:rPr>
        <w:footnoteRef/>
      </w:r>
      <w:r w:rsidRPr="009B5734">
        <w:rPr>
          <w:sz w:val="18"/>
          <w:szCs w:val="18"/>
        </w:rPr>
        <w:t xml:space="preserve"> </w:t>
      </w:r>
      <w:r w:rsidRPr="00014EB8">
        <w:rPr>
          <w:sz w:val="18"/>
        </w:rPr>
        <w:t xml:space="preserve">European Economic and Social Committee, </w:t>
      </w:r>
      <w:r w:rsidRPr="00014EB8">
        <w:rPr>
          <w:i/>
          <w:sz w:val="18"/>
        </w:rPr>
        <w:t>The influence of lifespan labelling on consumers</w:t>
      </w:r>
      <w:r w:rsidRPr="00014EB8">
        <w:rPr>
          <w:sz w:val="18"/>
        </w:rPr>
        <w:t xml:space="preserve">, 2016. </w:t>
      </w:r>
    </w:p>
  </w:footnote>
  <w:footnote w:id="274">
    <w:p w:rsidR="00164A6B" w:rsidRPr="00014EB8" w:rsidRDefault="00164A6B" w:rsidP="00EA45F9">
      <w:pPr>
        <w:pStyle w:val="FootnoteText"/>
        <w:spacing w:after="0"/>
        <w:ind w:left="0" w:firstLine="0"/>
        <w:rPr>
          <w:sz w:val="18"/>
        </w:rPr>
      </w:pPr>
      <w:r w:rsidRPr="009B5734">
        <w:rPr>
          <w:rStyle w:val="FootnoteReference"/>
          <w:sz w:val="18"/>
          <w:szCs w:val="18"/>
        </w:rPr>
        <w:footnoteRef/>
      </w:r>
      <w:r w:rsidRPr="00014EB8">
        <w:rPr>
          <w:sz w:val="18"/>
        </w:rPr>
        <w:t xml:space="preserve"> European Commission, </w:t>
      </w:r>
      <w:r w:rsidRPr="00014EB8">
        <w:rPr>
          <w:i/>
          <w:sz w:val="18"/>
        </w:rPr>
        <w:t>Consumer market study to support the fitness check of EU consumer and marketing law</w:t>
      </w:r>
      <w:r w:rsidRPr="00014EB8">
        <w:rPr>
          <w:sz w:val="18"/>
        </w:rPr>
        <w:t xml:space="preserve">, 2017, p. 431-435. </w:t>
      </w:r>
    </w:p>
  </w:footnote>
  <w:footnote w:id="275">
    <w:p w:rsidR="00164A6B" w:rsidRPr="00014EB8" w:rsidRDefault="00164A6B" w:rsidP="00EA45F9">
      <w:pPr>
        <w:ind w:left="0" w:firstLine="0"/>
        <w:rPr>
          <w:rFonts w:ascii="Times New Roman" w:hAnsi="Times New Roman"/>
          <w:sz w:val="18"/>
          <w:lang w:val="de-DE"/>
        </w:rPr>
      </w:pPr>
      <w:r w:rsidRPr="009B5734">
        <w:rPr>
          <w:rStyle w:val="FootnoteReference"/>
          <w:rFonts w:ascii="Times New Roman" w:hAnsi="Times New Roman" w:cs="Times New Roman"/>
          <w:sz w:val="18"/>
          <w:szCs w:val="18"/>
        </w:rPr>
        <w:footnoteRef/>
      </w:r>
      <w:r w:rsidRPr="00014EB8">
        <w:rPr>
          <w:rFonts w:ascii="Times New Roman" w:hAnsi="Times New Roman"/>
          <w:sz w:val="18"/>
          <w:lang w:val="de-DE"/>
        </w:rPr>
        <w:t xml:space="preserve"> Rüdenauer INA, Siddharth Prakash, Öko-Institut e.V., </w:t>
      </w:r>
      <w:r w:rsidRPr="00014EB8">
        <w:rPr>
          <w:rFonts w:ascii="Times New Roman" w:hAnsi="Times New Roman"/>
          <w:i/>
          <w:sz w:val="18"/>
          <w:lang w:val="de-DE"/>
        </w:rPr>
        <w:t>Ökonomische und ökologische Auswirkungen einer Verlängerung der Nutzungsdauer von elektrischen und elektronischen Geräten</w:t>
      </w:r>
      <w:r w:rsidRPr="00014EB8">
        <w:rPr>
          <w:rFonts w:ascii="Times New Roman" w:hAnsi="Times New Roman"/>
          <w:sz w:val="18"/>
          <w:lang w:val="de-DE"/>
        </w:rPr>
        <w:t>, study commissioned by Verbraucherzentrale Bundesverband (vzbv), 2020.</w:t>
      </w:r>
    </w:p>
  </w:footnote>
  <w:footnote w:id="276">
    <w:p w:rsidR="00164A6B" w:rsidRPr="009B5734" w:rsidRDefault="00164A6B" w:rsidP="00EA45F9">
      <w:pPr>
        <w:pStyle w:val="Times"/>
        <w:ind w:left="0" w:firstLine="0"/>
      </w:pPr>
      <w:r w:rsidRPr="009B5734">
        <w:rPr>
          <w:rStyle w:val="FootnoteReference"/>
        </w:rPr>
        <w:footnoteRef/>
      </w:r>
      <w:r w:rsidRPr="009B5734">
        <w:t xml:space="preserve"> Consumers indicated being ready to pay EUR 29 – EUR 54 more for vacuum cleaners; EUR 83 – EUR 105 for dishwashers; EUR 77 – EUR 171 for televisions; EUR 48 – EUR 98 for smartphones; and EUR 10-30 for coats. </w:t>
      </w:r>
    </w:p>
    <w:p w:rsidR="00164A6B" w:rsidRPr="009B5734" w:rsidRDefault="00164A6B" w:rsidP="00EA45F9">
      <w:pPr>
        <w:pStyle w:val="Times"/>
        <w:ind w:left="0" w:firstLine="0"/>
      </w:pPr>
      <w:r w:rsidRPr="009B5734">
        <w:t xml:space="preserve">ibid, p. 129. </w:t>
      </w:r>
    </w:p>
  </w:footnote>
  <w:footnote w:id="277">
    <w:p w:rsidR="00164A6B" w:rsidRPr="00014EB8" w:rsidRDefault="00164A6B" w:rsidP="00EA45F9">
      <w:pPr>
        <w:pStyle w:val="FootnoteText"/>
        <w:spacing w:after="0"/>
        <w:ind w:left="0" w:firstLine="0"/>
        <w:rPr>
          <w:sz w:val="18"/>
        </w:rPr>
      </w:pPr>
      <w:r w:rsidRPr="009B5734">
        <w:rPr>
          <w:rStyle w:val="FootnoteReference"/>
          <w:sz w:val="18"/>
          <w:szCs w:val="18"/>
        </w:rPr>
        <w:footnoteRef/>
      </w:r>
      <w:r w:rsidRPr="009B5734">
        <w:rPr>
          <w:sz w:val="18"/>
          <w:szCs w:val="18"/>
        </w:rPr>
        <w:t xml:space="preserve"> </w:t>
      </w:r>
      <w:r w:rsidRPr="00014EB8">
        <w:rPr>
          <w:sz w:val="18"/>
        </w:rPr>
        <w:t xml:space="preserve">European Commission, </w:t>
      </w:r>
      <w:r w:rsidRPr="00014EB8">
        <w:rPr>
          <w:i/>
          <w:sz w:val="18"/>
        </w:rPr>
        <w:t>Consumer study on the impact of reparability information formats on consumer understanding and purchase decisions</w:t>
      </w:r>
      <w:r w:rsidRPr="00014EB8">
        <w:rPr>
          <w:sz w:val="18"/>
        </w:rPr>
        <w:t xml:space="preserve">, 2020, p. 57. </w:t>
      </w:r>
    </w:p>
  </w:footnote>
  <w:footnote w:id="278">
    <w:p w:rsidR="00164A6B" w:rsidRPr="00014EB8" w:rsidRDefault="00164A6B" w:rsidP="00EA45F9">
      <w:pPr>
        <w:pStyle w:val="FootnoteText"/>
        <w:spacing w:after="0"/>
        <w:ind w:left="0" w:firstLine="0"/>
        <w:rPr>
          <w:sz w:val="18"/>
        </w:rPr>
      </w:pPr>
      <w:r w:rsidRPr="009B5734">
        <w:rPr>
          <w:rStyle w:val="FootnoteReference"/>
          <w:sz w:val="18"/>
          <w:szCs w:val="18"/>
        </w:rPr>
        <w:footnoteRef/>
      </w:r>
      <w:r w:rsidRPr="009B5734">
        <w:rPr>
          <w:sz w:val="18"/>
          <w:szCs w:val="18"/>
        </w:rPr>
        <w:t xml:space="preserve"> European Commission, </w:t>
      </w:r>
      <w:r w:rsidRPr="009B5734">
        <w:rPr>
          <w:i/>
          <w:sz w:val="18"/>
          <w:szCs w:val="18"/>
        </w:rPr>
        <w:t>Behavioural Study on</w:t>
      </w:r>
      <w:r w:rsidRPr="009B5734">
        <w:rPr>
          <w:sz w:val="18"/>
          <w:szCs w:val="18"/>
        </w:rPr>
        <w:t xml:space="preserve"> </w:t>
      </w:r>
      <w:r w:rsidRPr="009B5734">
        <w:rPr>
          <w:i/>
          <w:sz w:val="18"/>
          <w:szCs w:val="18"/>
        </w:rPr>
        <w:t>Consumers’ engagement in the circular economy,</w:t>
      </w:r>
      <w:r w:rsidRPr="009B5734">
        <w:rPr>
          <w:sz w:val="18"/>
          <w:szCs w:val="18"/>
        </w:rPr>
        <w:t xml:space="preserve"> 2018, p 160.</w:t>
      </w:r>
    </w:p>
  </w:footnote>
  <w:footnote w:id="279">
    <w:p w:rsidR="00164A6B" w:rsidRPr="00014EB8" w:rsidRDefault="00164A6B" w:rsidP="00EA45F9">
      <w:pPr>
        <w:pStyle w:val="FootnoteText"/>
        <w:spacing w:after="0"/>
        <w:ind w:left="0" w:firstLine="0"/>
        <w:rPr>
          <w:sz w:val="18"/>
        </w:rPr>
      </w:pPr>
      <w:r w:rsidRPr="009B5734">
        <w:rPr>
          <w:rStyle w:val="FootnoteReference"/>
          <w:sz w:val="18"/>
          <w:szCs w:val="18"/>
        </w:rPr>
        <w:footnoteRef/>
      </w:r>
      <w:r w:rsidRPr="009B5734">
        <w:rPr>
          <w:sz w:val="18"/>
          <w:szCs w:val="18"/>
        </w:rPr>
        <w:t xml:space="preserve"> European Commission, Eurobarometer, 2013, p. 55. </w:t>
      </w:r>
    </w:p>
  </w:footnote>
  <w:footnote w:id="280">
    <w:p w:rsidR="00164A6B" w:rsidRPr="009B5734" w:rsidRDefault="00164A6B" w:rsidP="00EA45F9">
      <w:pPr>
        <w:pStyle w:val="Times"/>
        <w:ind w:left="0" w:firstLine="0"/>
      </w:pPr>
      <w:r w:rsidRPr="009B5734">
        <w:rPr>
          <w:rStyle w:val="FootnoteReference"/>
        </w:rPr>
        <w:footnoteRef/>
      </w:r>
      <w:r w:rsidRPr="009B5734">
        <w:t xml:space="preserve"> The most important reasons for not repairing products is the high price of repairs, followed by the preference for a new product, and the feeling that the old product was simply obsolete or out of fashion.</w:t>
      </w:r>
    </w:p>
    <w:p w:rsidR="00164A6B" w:rsidRPr="009B5734" w:rsidRDefault="00164A6B" w:rsidP="00EA45F9">
      <w:pPr>
        <w:pStyle w:val="Times"/>
        <w:ind w:left="0" w:firstLine="0"/>
      </w:pPr>
      <w:r w:rsidRPr="009B5734">
        <w:t xml:space="preserve">Depending on the product type, between 5 and 10% of consumers surveyed did not repair the product because they did not know where to get it repaired and between 1 and 7% because of the unavailability of spare parts.  </w:t>
      </w:r>
    </w:p>
    <w:p w:rsidR="00164A6B" w:rsidRPr="00014EB8" w:rsidRDefault="00164A6B" w:rsidP="00EA45F9">
      <w:pPr>
        <w:pStyle w:val="FootnoteText"/>
        <w:spacing w:after="0"/>
        <w:ind w:left="0" w:firstLine="0"/>
        <w:rPr>
          <w:sz w:val="18"/>
        </w:rPr>
      </w:pPr>
      <w:r w:rsidRPr="009B5734">
        <w:rPr>
          <w:sz w:val="18"/>
          <w:szCs w:val="18"/>
        </w:rPr>
        <w:t xml:space="preserve">European Commission, </w:t>
      </w:r>
      <w:r w:rsidRPr="009B5734">
        <w:rPr>
          <w:i/>
          <w:sz w:val="18"/>
          <w:szCs w:val="18"/>
        </w:rPr>
        <w:t>Behavioural Study on</w:t>
      </w:r>
      <w:r w:rsidRPr="009B5734">
        <w:rPr>
          <w:sz w:val="18"/>
          <w:szCs w:val="18"/>
        </w:rPr>
        <w:t xml:space="preserve"> </w:t>
      </w:r>
      <w:r w:rsidRPr="009B5734">
        <w:rPr>
          <w:i/>
          <w:sz w:val="18"/>
          <w:szCs w:val="18"/>
        </w:rPr>
        <w:t>Consumers’ engagement in the circular economy,</w:t>
      </w:r>
      <w:r w:rsidRPr="009B5734">
        <w:rPr>
          <w:sz w:val="18"/>
          <w:szCs w:val="18"/>
        </w:rPr>
        <w:t xml:space="preserve"> 2018, p. 86. </w:t>
      </w:r>
    </w:p>
  </w:footnote>
  <w:footnote w:id="281">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Producers who have better environmental products and could communicate about them may find themselves in unfair situation (e.g. high costs) compared to other manufacturers who wrongfully claim the environmental characteristics for their products – c.f. problem 2 of this IA. </w:t>
      </w:r>
    </w:p>
  </w:footnote>
  <w:footnote w:id="282">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The share of products that could be replaced by an alternative that would last at least one additional year is estimated to be around 3% depending on the product category. See </w:t>
      </w:r>
      <w:hyperlink w:anchor="_Annex_5:_Additional" w:history="1">
        <w:r w:rsidRPr="009B5734">
          <w:rPr>
            <w:rStyle w:val="Hyperlink"/>
            <w:sz w:val="18"/>
            <w:szCs w:val="18"/>
          </w:rPr>
          <w:t>Annex 5</w:t>
        </w:r>
      </w:hyperlink>
      <w:r w:rsidRPr="009B5734">
        <w:rPr>
          <w:sz w:val="18"/>
          <w:szCs w:val="18"/>
        </w:rPr>
        <w:t xml:space="preserve">. </w:t>
      </w:r>
    </w:p>
  </w:footnote>
  <w:footnote w:id="283">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European Parliament, </w:t>
      </w:r>
      <w:r w:rsidRPr="009B5734">
        <w:rPr>
          <w:i/>
          <w:sz w:val="18"/>
          <w:szCs w:val="18"/>
        </w:rPr>
        <w:t>Study on the introduction of a lifespan guarantee in the proposed online sales and digital content Directives</w:t>
      </w:r>
      <w:r w:rsidRPr="009B5734">
        <w:rPr>
          <w:sz w:val="18"/>
          <w:szCs w:val="18"/>
        </w:rPr>
        <w:t xml:space="preserve">, 2017. </w:t>
      </w:r>
    </w:p>
  </w:footnote>
  <w:footnote w:id="284">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The mandatory EU Energy Label has been a key driver for helping consumers choose goods which are more energy efficient. For instance, while roughly two-thirds of refrigerators and washing machines sold in 2006 were labelled as class A, over 90% of those sold in 2017 were labelled A+, A++ or A+++.  </w:t>
      </w:r>
      <w:hyperlink r:id="rId58" w:history="1">
        <w:r w:rsidRPr="009B5734">
          <w:rPr>
            <w:rStyle w:val="Hyperlink"/>
            <w:sz w:val="18"/>
            <w:szCs w:val="18"/>
          </w:rPr>
          <w:t>https://ec.europa.eu/info/energy-climate-change-environment/standards-tools-and-labels/products-labelling-rules-and-requirements/energy-label-and-ecodesign/about_en</w:t>
        </w:r>
      </w:hyperlink>
      <w:r w:rsidRPr="009B5734">
        <w:rPr>
          <w:sz w:val="18"/>
          <w:szCs w:val="18"/>
        </w:rPr>
        <w:t xml:space="preserve"> </w:t>
      </w:r>
    </w:p>
  </w:footnote>
  <w:footnote w:id="285">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An increase of 1% of the use of the maintenance, repair, rental services etc. sectors, has an effect of 6.3 billion EUR. </w:t>
      </w:r>
    </w:p>
    <w:p w:rsidR="00164A6B" w:rsidRPr="009B5734" w:rsidRDefault="00164A6B" w:rsidP="00EA45F9">
      <w:pPr>
        <w:pStyle w:val="FootnoteText"/>
        <w:spacing w:after="0"/>
        <w:ind w:left="0" w:firstLine="0"/>
        <w:rPr>
          <w:sz w:val="18"/>
          <w:szCs w:val="18"/>
        </w:rPr>
      </w:pPr>
      <w:r w:rsidRPr="009B5734">
        <w:rPr>
          <w:sz w:val="18"/>
          <w:szCs w:val="18"/>
        </w:rPr>
        <w:t xml:space="preserve">European Parliament, </w:t>
      </w:r>
      <w:r w:rsidRPr="009B5734">
        <w:rPr>
          <w:i/>
          <w:sz w:val="18"/>
          <w:szCs w:val="18"/>
        </w:rPr>
        <w:t>A Longer Lifetime for Products: Benefits for Consumers and Companies</w:t>
      </w:r>
      <w:r w:rsidRPr="009B5734">
        <w:rPr>
          <w:sz w:val="18"/>
          <w:szCs w:val="18"/>
        </w:rPr>
        <w:t>, 2016, p. 10.</w:t>
      </w:r>
    </w:p>
  </w:footnote>
  <w:footnote w:id="286">
    <w:p w:rsidR="00164A6B" w:rsidRPr="00014EB8" w:rsidRDefault="00164A6B" w:rsidP="00EA45F9">
      <w:pPr>
        <w:pStyle w:val="FootnoteText"/>
        <w:spacing w:after="0"/>
        <w:ind w:left="0" w:firstLine="0"/>
        <w:rPr>
          <w:sz w:val="18"/>
        </w:rPr>
      </w:pPr>
      <w:r w:rsidRPr="009B5734">
        <w:rPr>
          <w:rStyle w:val="FootnoteReference"/>
          <w:sz w:val="18"/>
          <w:szCs w:val="18"/>
        </w:rPr>
        <w:footnoteRef/>
      </w:r>
      <w:r w:rsidRPr="009B5734">
        <w:rPr>
          <w:sz w:val="18"/>
          <w:szCs w:val="18"/>
        </w:rPr>
        <w:t xml:space="preserve"> </w:t>
      </w:r>
      <w:r w:rsidRPr="00014EB8">
        <w:rPr>
          <w:sz w:val="18"/>
        </w:rPr>
        <w:t xml:space="preserve">France, Sweden, Slovenia, Finland and Portugal are among the countries who have already enacted specific legislation so that consumers are informed about certain aspects of the durability and reparability of products. Belgium and Italy are in the process of doing so. See </w:t>
      </w:r>
      <w:hyperlink w:anchor="_Annex_6:_Overview_1" w:history="1">
        <w:r w:rsidRPr="00014EB8">
          <w:rPr>
            <w:rStyle w:val="Hyperlink"/>
            <w:sz w:val="18"/>
          </w:rPr>
          <w:t>Annex 6</w:t>
        </w:r>
      </w:hyperlink>
      <w:r w:rsidRPr="00014EB8">
        <w:rPr>
          <w:sz w:val="18"/>
        </w:rPr>
        <w:t xml:space="preserve"> for further details.  </w:t>
      </w:r>
    </w:p>
  </w:footnote>
  <w:footnote w:id="287">
    <w:p w:rsidR="00164A6B" w:rsidRPr="00014EB8" w:rsidRDefault="00164A6B" w:rsidP="00EA45F9">
      <w:pPr>
        <w:pStyle w:val="FootnoteText"/>
        <w:spacing w:after="0"/>
        <w:ind w:left="0" w:firstLine="0"/>
        <w:rPr>
          <w:sz w:val="18"/>
        </w:rPr>
      </w:pPr>
      <w:r w:rsidRPr="009B5734">
        <w:rPr>
          <w:rStyle w:val="FootnoteReference"/>
          <w:sz w:val="18"/>
          <w:szCs w:val="18"/>
        </w:rPr>
        <w:footnoteRef/>
      </w:r>
      <w:r w:rsidRPr="009B5734">
        <w:rPr>
          <w:sz w:val="18"/>
          <w:szCs w:val="18"/>
        </w:rPr>
        <w:t xml:space="preserve"> </w:t>
      </w:r>
      <w:r w:rsidRPr="004B3141">
        <w:rPr>
          <w:sz w:val="18"/>
          <w:szCs w:val="18"/>
        </w:rPr>
        <w:t>Evidence from the survey in the context of the supporting study indicates some degree of support by the public authorities for a number of EU-level information require</w:t>
      </w:r>
      <w:r w:rsidRPr="3541B956">
        <w:rPr>
          <w:sz w:val="18"/>
          <w:szCs w:val="18"/>
        </w:rPr>
        <w:t>ments to be enfor</w:t>
      </w:r>
      <w:r w:rsidRPr="00946905">
        <w:rPr>
          <w:sz w:val="18"/>
          <w:szCs w:val="18"/>
        </w:rPr>
        <w:t>ced.</w:t>
      </w:r>
    </w:p>
    <w:p w:rsidR="00164A6B" w:rsidRDefault="00164A6B">
      <w:r w:rsidRPr="00353CBE">
        <w:rPr>
          <w:rFonts w:ascii="Times New Roman" w:eastAsia="Times New Roman" w:hAnsi="Times New Roman" w:cs="Times New Roman"/>
          <w:sz w:val="18"/>
          <w:szCs w:val="18"/>
        </w:rPr>
        <w:t xml:space="preserve">European Commission, Impact Assessment supporting study: </w:t>
      </w:r>
      <w:r w:rsidRPr="00353CBE">
        <w:rPr>
          <w:rFonts w:ascii="Times New Roman" w:eastAsia="Times New Roman" w:hAnsi="Times New Roman" w:cs="Times New Roman"/>
          <w:i/>
          <w:iCs/>
          <w:sz w:val="18"/>
          <w:szCs w:val="18"/>
        </w:rPr>
        <w:t>Study on Empowering Consumers Towards the Green Transition</w:t>
      </w:r>
      <w:r w:rsidRPr="00353CBE">
        <w:rPr>
          <w:rFonts w:ascii="Times New Roman" w:eastAsia="Times New Roman" w:hAnsi="Times New Roman" w:cs="Times New Roman"/>
          <w:sz w:val="18"/>
          <w:szCs w:val="18"/>
        </w:rPr>
        <w:t>, July 2021.</w:t>
      </w:r>
    </w:p>
  </w:footnote>
  <w:footnote w:id="288">
    <w:p w:rsidR="00164A6B" w:rsidRPr="00014EB8" w:rsidRDefault="00164A6B" w:rsidP="00EA45F9">
      <w:pPr>
        <w:pStyle w:val="FootnoteText"/>
        <w:spacing w:after="0"/>
        <w:ind w:left="0" w:firstLine="0"/>
        <w:rPr>
          <w:sz w:val="18"/>
        </w:rPr>
      </w:pPr>
      <w:r w:rsidRPr="009B5734">
        <w:rPr>
          <w:rStyle w:val="FootnoteReference"/>
          <w:sz w:val="18"/>
          <w:szCs w:val="18"/>
        </w:rPr>
        <w:footnoteRef/>
      </w:r>
      <w:r w:rsidRPr="009B5734">
        <w:rPr>
          <w:sz w:val="18"/>
          <w:szCs w:val="18"/>
        </w:rPr>
        <w:t xml:space="preserve"> Further details on the calculation of these estimates can be found in </w:t>
      </w:r>
      <w:hyperlink w:anchor="_Annex_5:_Additional" w:history="1">
        <w:r w:rsidRPr="009B5734">
          <w:rPr>
            <w:rStyle w:val="Hyperlink"/>
            <w:sz w:val="18"/>
            <w:szCs w:val="18"/>
          </w:rPr>
          <w:t>Annex 5</w:t>
        </w:r>
      </w:hyperlink>
      <w:r w:rsidRPr="009B5734">
        <w:rPr>
          <w:sz w:val="18"/>
          <w:szCs w:val="18"/>
        </w:rPr>
        <w:t>. They rely on several assumptions and should thus mainly serve as pointers.</w:t>
      </w:r>
    </w:p>
  </w:footnote>
  <w:footnote w:id="289">
    <w:p w:rsidR="00164A6B" w:rsidRPr="00014EB8" w:rsidRDefault="00164A6B" w:rsidP="00EA45F9">
      <w:pPr>
        <w:pStyle w:val="FootnoteText"/>
        <w:spacing w:after="0"/>
        <w:ind w:left="0" w:firstLine="0"/>
        <w:rPr>
          <w:sz w:val="18"/>
        </w:rPr>
      </w:pPr>
      <w:r w:rsidRPr="009B5734">
        <w:rPr>
          <w:rStyle w:val="FootnoteReference"/>
          <w:sz w:val="18"/>
          <w:szCs w:val="18"/>
        </w:rPr>
        <w:footnoteRef/>
      </w:r>
      <w:r w:rsidRPr="00014EB8">
        <w:rPr>
          <w:sz w:val="18"/>
        </w:rPr>
        <w:t xml:space="preserve"> Bakker, C. A., Schuit, C. S. C., et al., </w:t>
      </w:r>
      <w:r w:rsidRPr="009B5734">
        <w:rPr>
          <w:i/>
          <w:sz w:val="18"/>
          <w:szCs w:val="18"/>
        </w:rPr>
        <w:t>The long view: Exploring product lifetime extension</w:t>
      </w:r>
      <w:r w:rsidRPr="009B5734">
        <w:rPr>
          <w:sz w:val="18"/>
          <w:szCs w:val="18"/>
        </w:rPr>
        <w:t>, 2017, p. 21.</w:t>
      </w:r>
    </w:p>
  </w:footnote>
  <w:footnote w:id="290">
    <w:p w:rsidR="00164A6B" w:rsidRPr="00014EB8" w:rsidRDefault="00164A6B" w:rsidP="00EA45F9">
      <w:pPr>
        <w:pStyle w:val="FootnoteText"/>
        <w:spacing w:after="0"/>
        <w:ind w:left="0" w:firstLine="0"/>
        <w:rPr>
          <w:sz w:val="18"/>
        </w:rPr>
      </w:pPr>
      <w:r w:rsidRPr="009B5734">
        <w:rPr>
          <w:rStyle w:val="FootnoteReference"/>
          <w:sz w:val="18"/>
          <w:szCs w:val="18"/>
        </w:rPr>
        <w:footnoteRef/>
      </w:r>
      <w:r w:rsidRPr="00014EB8">
        <w:rPr>
          <w:sz w:val="18"/>
          <w:lang w:val="fr-BE"/>
        </w:rPr>
        <w:t xml:space="preserve"> Séré de Lanauze, G., Siadou-Martin, B., </w:t>
      </w:r>
      <w:r w:rsidRPr="00014EB8">
        <w:rPr>
          <w:i/>
          <w:sz w:val="18"/>
          <w:lang w:val="fr-BE"/>
        </w:rPr>
        <w:t>Durée de vie anormalement courte du produit : Effets sur la relation à la marque et perceptions de responsabilité</w:t>
      </w:r>
      <w:r w:rsidRPr="00014EB8">
        <w:rPr>
          <w:sz w:val="18"/>
          <w:lang w:val="fr-BE"/>
        </w:rPr>
        <w:t xml:space="preserve">. </w:t>
      </w:r>
      <w:r w:rsidRPr="00014EB8">
        <w:rPr>
          <w:sz w:val="18"/>
        </w:rPr>
        <w:t>Gestion 2000, volume 32(3), 2015, p.43-65.</w:t>
      </w:r>
    </w:p>
  </w:footnote>
  <w:footnote w:id="291">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014EB8">
        <w:rPr>
          <w:sz w:val="18"/>
        </w:rPr>
        <w:t xml:space="preserve"> BEUC, </w:t>
      </w:r>
      <w:r w:rsidRPr="00014EB8">
        <w:rPr>
          <w:i/>
          <w:sz w:val="18"/>
        </w:rPr>
        <w:t>Premature obsolescence – when products fail too quickly</w:t>
      </w:r>
      <w:r w:rsidRPr="00014EB8">
        <w:rPr>
          <w:sz w:val="18"/>
        </w:rPr>
        <w:t xml:space="preserve">, </w:t>
      </w:r>
      <w:hyperlink r:id="rId59" w:history="1">
        <w:r w:rsidRPr="009B5734">
          <w:rPr>
            <w:rStyle w:val="Hyperlink"/>
            <w:color w:val="auto"/>
            <w:sz w:val="18"/>
            <w:szCs w:val="18"/>
            <w:u w:val="none"/>
          </w:rPr>
          <w:t>2018, p. 1.</w:t>
        </w:r>
      </w:hyperlink>
    </w:p>
  </w:footnote>
  <w:footnote w:id="292">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In Germany, it is estimated that consumers could save EUR 110 every month.</w:t>
      </w:r>
    </w:p>
    <w:p w:rsidR="00164A6B" w:rsidRPr="00014EB8" w:rsidRDefault="00164A6B" w:rsidP="00EA45F9">
      <w:pPr>
        <w:pStyle w:val="FootnoteText"/>
        <w:spacing w:after="0"/>
        <w:ind w:left="0" w:firstLine="0"/>
        <w:rPr>
          <w:sz w:val="18"/>
          <w:lang w:val="nl-BE"/>
        </w:rPr>
      </w:pPr>
      <w:r w:rsidRPr="00014EB8">
        <w:rPr>
          <w:sz w:val="18"/>
          <w:lang w:val="nl-BE"/>
        </w:rPr>
        <w:t xml:space="preserve">Christian Kreiß, </w:t>
      </w:r>
      <w:r w:rsidRPr="00014EB8">
        <w:rPr>
          <w:i/>
          <w:sz w:val="18"/>
          <w:lang w:val="nl-BE"/>
        </w:rPr>
        <w:t>Geplanter Verschleiß</w:t>
      </w:r>
      <w:r w:rsidRPr="00014EB8">
        <w:rPr>
          <w:sz w:val="18"/>
          <w:lang w:val="nl-BE"/>
        </w:rPr>
        <w:t xml:space="preserve">, 2014, p. 63. </w:t>
      </w:r>
    </w:p>
  </w:footnote>
  <w:footnote w:id="293">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w:t>
      </w:r>
      <w:r w:rsidRPr="009B5734">
        <w:rPr>
          <w:color w:val="222222"/>
          <w:sz w:val="18"/>
          <w:szCs w:val="18"/>
          <w:shd w:val="clear" w:color="auto" w:fill="FFFFFF"/>
        </w:rPr>
        <w:t xml:space="preserve">Brécard, D., </w:t>
      </w:r>
      <w:r w:rsidRPr="70D97C89">
        <w:rPr>
          <w:i/>
          <w:iCs/>
          <w:color w:val="222222"/>
          <w:sz w:val="18"/>
          <w:szCs w:val="18"/>
          <w:shd w:val="clear" w:color="auto" w:fill="FFFFFF"/>
        </w:rPr>
        <w:t>Consumer confusion over the profusion of eco-labels: Lessons from a double differentiation model. Resource and energy economics</w:t>
      </w:r>
      <w:r w:rsidRPr="009B5734">
        <w:rPr>
          <w:color w:val="222222"/>
          <w:sz w:val="18"/>
          <w:szCs w:val="18"/>
          <w:shd w:val="clear" w:color="auto" w:fill="FFFFFF"/>
        </w:rPr>
        <w:t>, </w:t>
      </w:r>
      <w:r w:rsidRPr="70D97C89">
        <w:rPr>
          <w:i/>
          <w:iCs/>
          <w:color w:val="222222"/>
          <w:sz w:val="18"/>
          <w:szCs w:val="18"/>
          <w:shd w:val="clear" w:color="auto" w:fill="FFFFFF"/>
        </w:rPr>
        <w:t>37</w:t>
      </w:r>
      <w:r w:rsidRPr="009B5734">
        <w:rPr>
          <w:color w:val="222222"/>
          <w:sz w:val="18"/>
          <w:szCs w:val="18"/>
          <w:shd w:val="clear" w:color="auto" w:fill="FFFFFF"/>
        </w:rPr>
        <w:t>, 2014, pp. 64-84.</w:t>
      </w:r>
    </w:p>
  </w:footnote>
  <w:footnote w:id="294">
    <w:p w:rsidR="00164A6B" w:rsidRPr="00014EB8" w:rsidRDefault="00164A6B" w:rsidP="00EA45F9">
      <w:pPr>
        <w:pStyle w:val="FootnoteText"/>
        <w:spacing w:after="0"/>
        <w:ind w:left="0" w:firstLine="0"/>
        <w:rPr>
          <w:sz w:val="18"/>
        </w:rPr>
      </w:pPr>
      <w:r w:rsidRPr="009B5734">
        <w:rPr>
          <w:rStyle w:val="FootnoteReference"/>
          <w:sz w:val="18"/>
          <w:szCs w:val="18"/>
        </w:rPr>
        <w:footnoteRef/>
      </w:r>
      <w:r w:rsidRPr="00014EB8">
        <w:rPr>
          <w:sz w:val="18"/>
        </w:rPr>
        <w:t xml:space="preserve"> </w:t>
      </w:r>
      <w:r w:rsidRPr="009B5734">
        <w:rPr>
          <w:sz w:val="18"/>
          <w:szCs w:val="18"/>
        </w:rPr>
        <w:t xml:space="preserve">European Commission, </w:t>
      </w:r>
      <w:r w:rsidRPr="009B5734">
        <w:rPr>
          <w:i/>
          <w:sz w:val="18"/>
          <w:szCs w:val="18"/>
        </w:rPr>
        <w:t>Consumer Market Study on Environmental claims for non-food products</w:t>
      </w:r>
      <w:r w:rsidRPr="009B5734">
        <w:rPr>
          <w:sz w:val="18"/>
          <w:szCs w:val="18"/>
        </w:rPr>
        <w:t>, 2014, p. 19-20.</w:t>
      </w:r>
    </w:p>
  </w:footnote>
  <w:footnote w:id="295">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The EU28 overall trust level in environmental claims in 2018 was 4% lower than the one in 2016.</w:t>
      </w:r>
    </w:p>
    <w:p w:rsidR="00164A6B" w:rsidRPr="009B5734" w:rsidRDefault="00164A6B" w:rsidP="00EA45F9">
      <w:pPr>
        <w:pStyle w:val="FootnoteText"/>
        <w:spacing w:after="0"/>
        <w:ind w:left="0" w:firstLine="0"/>
        <w:rPr>
          <w:sz w:val="18"/>
          <w:szCs w:val="18"/>
        </w:rPr>
      </w:pPr>
      <w:r w:rsidRPr="009B5734">
        <w:rPr>
          <w:sz w:val="18"/>
          <w:szCs w:val="18"/>
        </w:rPr>
        <w:t xml:space="preserve">European Commission, </w:t>
      </w:r>
      <w:r w:rsidRPr="009B5734">
        <w:rPr>
          <w:i/>
          <w:sz w:val="18"/>
          <w:szCs w:val="18"/>
        </w:rPr>
        <w:t>Consumer Conditions Scoreboard</w:t>
      </w:r>
      <w:r w:rsidRPr="009B5734">
        <w:rPr>
          <w:sz w:val="18"/>
          <w:szCs w:val="18"/>
        </w:rPr>
        <w:t>, 2019, p. 59.</w:t>
      </w:r>
    </w:p>
  </w:footnote>
  <w:footnote w:id="296">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European Commission, </w:t>
      </w:r>
      <w:r w:rsidRPr="009B5734">
        <w:rPr>
          <w:i/>
          <w:sz w:val="18"/>
          <w:szCs w:val="18"/>
        </w:rPr>
        <w:t>Consumer Market Study on Environmental claims for non-food products</w:t>
      </w:r>
      <w:r w:rsidRPr="009B5734">
        <w:rPr>
          <w:sz w:val="18"/>
          <w:szCs w:val="18"/>
        </w:rPr>
        <w:t>, 2014, P. 32.</w:t>
      </w:r>
    </w:p>
  </w:footnote>
  <w:footnote w:id="297">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European Commission, </w:t>
      </w:r>
      <w:r w:rsidRPr="009B5734">
        <w:rPr>
          <w:i/>
          <w:sz w:val="18"/>
          <w:szCs w:val="18"/>
        </w:rPr>
        <w:t>Consumer Market Study on Environmental claims for non-food products</w:t>
      </w:r>
      <w:r w:rsidRPr="009B5734">
        <w:rPr>
          <w:sz w:val="18"/>
          <w:szCs w:val="18"/>
        </w:rPr>
        <w:t>, 2014, p. 20.</w:t>
      </w:r>
    </w:p>
  </w:footnote>
  <w:footnote w:id="298">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COWI/ECOFYS, </w:t>
      </w:r>
      <w:r w:rsidRPr="009B5734">
        <w:rPr>
          <w:i/>
          <w:sz w:val="18"/>
          <w:szCs w:val="18"/>
        </w:rPr>
        <w:t>Support for potential policies implementing the Environmental Footprint methods</w:t>
      </w:r>
      <w:r w:rsidRPr="009B5734">
        <w:rPr>
          <w:sz w:val="18"/>
          <w:szCs w:val="18"/>
        </w:rPr>
        <w:t xml:space="preserve">, 2019. </w:t>
      </w:r>
    </w:p>
  </w:footnote>
  <w:footnote w:id="299">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International Trade Centre for the European Commission, </w:t>
      </w:r>
      <w:r w:rsidRPr="009B5734">
        <w:rPr>
          <w:i/>
          <w:sz w:val="18"/>
          <w:szCs w:val="18"/>
        </w:rPr>
        <w:t>The European Market for Sustainable Products – The retail perspective on sourcing policies and consumer demand</w:t>
      </w:r>
      <w:r w:rsidRPr="009B5734">
        <w:rPr>
          <w:sz w:val="18"/>
          <w:szCs w:val="18"/>
        </w:rPr>
        <w:t>, 2019, p. 18.</w:t>
      </w:r>
    </w:p>
  </w:footnote>
  <w:footnote w:id="300">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France has already criminalised planned obsolescence. Belgium, Italy and Portugal are in the process of introducing new legislation to tackle planned obsolescence. See </w:t>
      </w:r>
      <w:hyperlink w:anchor="_Annex_6:_Overview_1" w:history="1">
        <w:r w:rsidRPr="009B5734">
          <w:rPr>
            <w:rStyle w:val="Hyperlink"/>
            <w:sz w:val="18"/>
            <w:szCs w:val="18"/>
          </w:rPr>
          <w:t>Annex 6</w:t>
        </w:r>
      </w:hyperlink>
      <w:r w:rsidRPr="009B5734">
        <w:rPr>
          <w:sz w:val="18"/>
          <w:szCs w:val="18"/>
        </w:rPr>
        <w:t xml:space="preserve"> for further details. </w:t>
      </w:r>
    </w:p>
  </w:footnote>
  <w:footnote w:id="301">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w:t>
      </w:r>
      <w:hyperlink r:id="rId60" w:history="1">
        <w:r w:rsidRPr="009B5734">
          <w:rPr>
            <w:rStyle w:val="Hyperlink"/>
            <w:color w:val="auto"/>
            <w:sz w:val="18"/>
            <w:szCs w:val="18"/>
            <w:u w:val="none"/>
          </w:rPr>
          <w:t>Europe</w:t>
        </w:r>
      </w:hyperlink>
      <w:r w:rsidRPr="009B5734">
        <w:rPr>
          <w:rStyle w:val="Hyperlink"/>
          <w:color w:val="auto"/>
          <w:sz w:val="18"/>
          <w:szCs w:val="18"/>
          <w:u w:val="none"/>
        </w:rPr>
        <w:t xml:space="preserve">an Environment Agency, </w:t>
      </w:r>
      <w:r w:rsidRPr="009B5734">
        <w:rPr>
          <w:rStyle w:val="Hyperlink"/>
          <w:i/>
          <w:color w:val="auto"/>
          <w:sz w:val="18"/>
          <w:szCs w:val="18"/>
          <w:u w:val="none"/>
        </w:rPr>
        <w:t>Circular by Design – products in the circular economy</w:t>
      </w:r>
      <w:r w:rsidRPr="009B5734">
        <w:rPr>
          <w:rStyle w:val="Hyperlink"/>
          <w:color w:val="auto"/>
          <w:sz w:val="18"/>
          <w:szCs w:val="18"/>
          <w:u w:val="none"/>
        </w:rPr>
        <w:t xml:space="preserve">, 2017, p. 7. </w:t>
      </w:r>
    </w:p>
  </w:footnote>
  <w:footnote w:id="302">
    <w:p w:rsidR="00164A6B" w:rsidRPr="009B5734" w:rsidRDefault="00164A6B" w:rsidP="00EA45F9">
      <w:pPr>
        <w:pStyle w:val="FootnoteText"/>
        <w:spacing w:after="0"/>
        <w:ind w:left="0" w:firstLine="0"/>
        <w:rPr>
          <w:sz w:val="18"/>
          <w:szCs w:val="18"/>
        </w:rPr>
      </w:pPr>
      <w:r w:rsidRPr="009B5734">
        <w:rPr>
          <w:rStyle w:val="FootnoteReference"/>
          <w:sz w:val="18"/>
          <w:szCs w:val="18"/>
        </w:rPr>
        <w:footnoteRef/>
      </w:r>
      <w:r w:rsidRPr="009B5734">
        <w:rPr>
          <w:sz w:val="18"/>
          <w:szCs w:val="18"/>
        </w:rPr>
        <w:t xml:space="preserve"> </w:t>
      </w:r>
      <w:r w:rsidRPr="009B5734">
        <w:rPr>
          <w:rStyle w:val="Hyperlink"/>
          <w:color w:val="auto"/>
          <w:sz w:val="18"/>
          <w:szCs w:val="18"/>
          <w:u w:val="none"/>
        </w:rPr>
        <w:t>For example, extending the lifetime of all washing machines, notebooks, vacuum cleaners and smartphones in the EU by just one year would save around 4 MtCO2 annually by 2030, the equivalent of taking over 2 million cars off the roads for a year. European Environmental Bureau</w:t>
      </w:r>
    </w:p>
  </w:footnote>
  <w:footnote w:id="303">
    <w:p w:rsidR="00164A6B" w:rsidRPr="00014EB8" w:rsidRDefault="00164A6B" w:rsidP="00EA45F9">
      <w:pPr>
        <w:pStyle w:val="Default"/>
        <w:ind w:left="0" w:firstLine="0"/>
        <w:rPr>
          <w:sz w:val="18"/>
          <w:lang w:val="en-GB"/>
        </w:rPr>
      </w:pPr>
      <w:r w:rsidRPr="00014EB8">
        <w:rPr>
          <w:rStyle w:val="FootnoteReference"/>
          <w:sz w:val="18"/>
          <w:lang w:val="en-GB"/>
        </w:rPr>
        <w:footnoteRef/>
      </w:r>
      <w:r w:rsidRPr="00014EB8">
        <w:rPr>
          <w:sz w:val="18"/>
          <w:lang w:val="en-GB"/>
        </w:rPr>
        <w:t xml:space="preserve"> Possible environmental impacts of premature obsolescence, defined as failures that happen before the product reaches 60% of its expected lifespan and as a consequence of one year of this practice, in 2019 prices. Further details on the estimates presented in this section can be found </w:t>
      </w:r>
      <w:r w:rsidRPr="00B44081">
        <w:rPr>
          <w:sz w:val="18"/>
          <w:lang w:val="en-GB"/>
        </w:rPr>
        <w:t>in</w:t>
      </w:r>
      <w:r w:rsidR="00C42051" w:rsidRPr="00C42051">
        <w:rPr>
          <w:lang w:val="en-IE"/>
        </w:rPr>
        <w:t xml:space="preserve"> </w:t>
      </w:r>
      <w:hyperlink w:anchor="_Annex_5:_Additional" w:history="1">
        <w:r w:rsidR="00C42051" w:rsidRPr="00C42051">
          <w:rPr>
            <w:rStyle w:val="Hyperlink"/>
            <w:sz w:val="18"/>
            <w:lang w:val="en-GB"/>
          </w:rPr>
          <w:t>Annex 5</w:t>
        </w:r>
        <w:r w:rsidRPr="00C42051">
          <w:rPr>
            <w:rStyle w:val="Hyperlink"/>
            <w:sz w:val="18"/>
            <w:lang w:val="en-GB"/>
          </w:rPr>
          <w:t>.</w:t>
        </w:r>
      </w:hyperlink>
    </w:p>
  </w:footnote>
  <w:footnote w:id="304">
    <w:p w:rsidR="00164A6B" w:rsidRPr="00014EB8" w:rsidRDefault="00164A6B" w:rsidP="00EA45F9">
      <w:pPr>
        <w:pStyle w:val="FootnoteText"/>
        <w:spacing w:after="0"/>
        <w:rPr>
          <w:sz w:val="18"/>
        </w:rPr>
      </w:pPr>
      <w:r w:rsidRPr="009B5734">
        <w:rPr>
          <w:rStyle w:val="FootnoteReference"/>
          <w:sz w:val="18"/>
          <w:szCs w:val="18"/>
        </w:rPr>
        <w:footnoteRef/>
      </w:r>
      <w:r w:rsidRPr="009B5734">
        <w:rPr>
          <w:sz w:val="18"/>
          <w:szCs w:val="18"/>
        </w:rPr>
        <w:t xml:space="preserve"> Goods with digital elements are any tangible movable items that incorporate or are inter-connected with digital content.</w:t>
      </w:r>
    </w:p>
  </w:footnote>
  <w:footnote w:id="305">
    <w:p w:rsidR="00164A6B" w:rsidRPr="009B5734" w:rsidRDefault="00164A6B" w:rsidP="00EA45F9">
      <w:pPr>
        <w:pStyle w:val="FootnoteText"/>
        <w:spacing w:after="0"/>
      </w:pPr>
      <w:r w:rsidRPr="009B5734">
        <w:rPr>
          <w:rStyle w:val="FootnoteReference"/>
          <w:sz w:val="18"/>
          <w:szCs w:val="18"/>
        </w:rPr>
        <w:footnoteRef/>
      </w:r>
      <w:r w:rsidRPr="009B5734">
        <w:rPr>
          <w:sz w:val="18"/>
          <w:szCs w:val="18"/>
        </w:rPr>
        <w:t xml:space="preserve"> Europe, L.E., Europe, V.V.A., Ipsos Opinion-Infometrie, ConPolicy GmbH and Trinomics, B.V., 2018. Behavioural study on consumers' engagement in the circular economy. Publications Office of the European Union.</w:t>
      </w:r>
    </w:p>
  </w:footnote>
  <w:footnote w:id="306">
    <w:p w:rsidR="00164A6B" w:rsidRPr="009B5734" w:rsidRDefault="00164A6B" w:rsidP="00EA45F9">
      <w:pPr>
        <w:pStyle w:val="FootnoteText"/>
        <w:spacing w:after="0"/>
        <w:rPr>
          <w:sz w:val="18"/>
          <w:szCs w:val="18"/>
        </w:rPr>
      </w:pPr>
      <w:r w:rsidRPr="009B5734">
        <w:rPr>
          <w:rStyle w:val="FootnoteReference"/>
        </w:rPr>
        <w:footnoteRef/>
      </w:r>
      <w:r w:rsidRPr="009B5734">
        <w:t xml:space="preserve"> </w:t>
      </w:r>
      <w:r w:rsidRPr="009B5734">
        <w:rPr>
          <w:sz w:val="18"/>
          <w:szCs w:val="18"/>
        </w:rPr>
        <w:t>Available at: https://ec.europa.eu/info/policies/consumers/consumer-protection/evidence-based-consumer-policy/market-monitoring/market-monitoring-2019-factsheets-market_en</w:t>
      </w:r>
    </w:p>
  </w:footnote>
  <w:footnote w:id="307">
    <w:p w:rsidR="00164A6B" w:rsidRPr="009B5734" w:rsidRDefault="00164A6B" w:rsidP="00EA45F9">
      <w:pPr>
        <w:pStyle w:val="FootnoteText"/>
        <w:spacing w:after="0"/>
        <w:rPr>
          <w:sz w:val="18"/>
          <w:szCs w:val="18"/>
        </w:rPr>
      </w:pPr>
      <w:r w:rsidRPr="009B5734">
        <w:rPr>
          <w:rStyle w:val="FootnoteReference"/>
          <w:sz w:val="18"/>
          <w:szCs w:val="18"/>
        </w:rPr>
        <w:footnoteRef/>
      </w:r>
      <w:r w:rsidRPr="009B5734">
        <w:rPr>
          <w:sz w:val="18"/>
          <w:szCs w:val="18"/>
        </w:rPr>
        <w:t xml:space="preserve"> EESC (2016): The influence of lifespan labelling on consumers, 2016. Available at: https://www.eesc.europa.eu/resources/docs/16_123_duree-dutilisation-des-produits_complet_en.pdf</w:t>
      </w:r>
    </w:p>
  </w:footnote>
  <w:footnote w:id="308">
    <w:p w:rsidR="00164A6B" w:rsidRPr="009B5734" w:rsidRDefault="00164A6B" w:rsidP="00EA45F9">
      <w:pPr>
        <w:pStyle w:val="FootnoteText"/>
        <w:spacing w:after="0"/>
        <w:rPr>
          <w:sz w:val="18"/>
          <w:szCs w:val="18"/>
        </w:rPr>
      </w:pPr>
      <w:r w:rsidRPr="009B5734">
        <w:rPr>
          <w:rStyle w:val="FootnoteReference"/>
          <w:sz w:val="18"/>
          <w:szCs w:val="18"/>
        </w:rPr>
        <w:footnoteRef/>
      </w:r>
      <w:r w:rsidRPr="009B5734">
        <w:rPr>
          <w:sz w:val="18"/>
          <w:szCs w:val="18"/>
        </w:rPr>
        <w:t xml:space="preserve"> DG JUST, Ipsos-London Economics-Deloitte consortium, 2015. Consumer market study on the functioning of legal and commercial guarantees for consumers in the EU. Publications Office of the European Union.</w:t>
      </w:r>
    </w:p>
  </w:footnote>
  <w:footnote w:id="309">
    <w:p w:rsidR="00164A6B" w:rsidRPr="009B5734" w:rsidRDefault="00164A6B" w:rsidP="00EA45F9">
      <w:pPr>
        <w:rPr>
          <w:rFonts w:ascii="Times New Roman" w:hAnsi="Times New Roman" w:cs="Times New Roman"/>
          <w:sz w:val="18"/>
          <w:szCs w:val="18"/>
        </w:rPr>
      </w:pPr>
      <w:r w:rsidRPr="009B5734">
        <w:rPr>
          <w:rStyle w:val="FootnoteReference"/>
          <w:rFonts w:ascii="Times New Roman" w:hAnsi="Times New Roman" w:cs="Times New Roman"/>
          <w:sz w:val="18"/>
          <w:szCs w:val="18"/>
        </w:rPr>
        <w:footnoteRef/>
      </w:r>
      <w:r w:rsidRPr="009B5734">
        <w:rPr>
          <w:rFonts w:ascii="Times New Roman" w:hAnsi="Times New Roman" w:cs="Times New Roman"/>
          <w:sz w:val="18"/>
          <w:szCs w:val="18"/>
        </w:rPr>
        <w:t xml:space="preserve"> </w:t>
      </w:r>
      <w:r w:rsidRPr="009B5734">
        <w:rPr>
          <w:rFonts w:ascii="Times New Roman" w:eastAsia="Times New Roman" w:hAnsi="Times New Roman" w:cs="Times New Roman"/>
          <w:iCs/>
          <w:color w:val="000000"/>
          <w:sz w:val="18"/>
          <w:szCs w:val="18"/>
          <w:lang w:eastAsia="en-GB"/>
        </w:rPr>
        <w:t>Energy-using goods are goods depending on energy input (electricity, fossil fuels and renewable energy sources) to work as intended.</w:t>
      </w:r>
    </w:p>
  </w:footnote>
  <w:footnote w:id="310">
    <w:p w:rsidR="00164A6B" w:rsidRPr="009B5734" w:rsidRDefault="00164A6B" w:rsidP="00EA45F9">
      <w:pPr>
        <w:pStyle w:val="FootnoteText"/>
        <w:spacing w:after="0"/>
        <w:rPr>
          <w:sz w:val="18"/>
        </w:rPr>
      </w:pPr>
      <w:r w:rsidRPr="009B5734">
        <w:rPr>
          <w:rStyle w:val="FootnoteReference"/>
          <w:sz w:val="18"/>
          <w:szCs w:val="18"/>
        </w:rPr>
        <w:footnoteRef/>
      </w:r>
      <w:r w:rsidRPr="009B5734">
        <w:rPr>
          <w:sz w:val="18"/>
          <w:szCs w:val="18"/>
        </w:rPr>
        <w:t xml:space="preserve"> Europe, L.E., Europe, V.V.A., Ipsos Opinion-Infometrie, ConPolicy GmbH and Trinomics, B.V., 2018. Behavioural study on consumers' engagement in the circular economy. Publications Office of the European Union.</w:t>
      </w:r>
    </w:p>
  </w:footnote>
  <w:footnote w:id="311">
    <w:p w:rsidR="00164A6B" w:rsidRPr="009B5734" w:rsidRDefault="00164A6B" w:rsidP="00EA45F9">
      <w:pPr>
        <w:pStyle w:val="FootnoteText"/>
        <w:spacing w:after="0"/>
        <w:rPr>
          <w:sz w:val="18"/>
        </w:rPr>
      </w:pPr>
      <w:r w:rsidRPr="009B5734">
        <w:rPr>
          <w:rStyle w:val="FootnoteReference"/>
          <w:sz w:val="18"/>
        </w:rPr>
        <w:footnoteRef/>
      </w:r>
      <w:r w:rsidRPr="009B5734">
        <w:rPr>
          <w:sz w:val="18"/>
        </w:rPr>
        <w:t xml:space="preserve"> Available at: https://ec.europa.eu/info/policies/consumers/consumer-protection/evidence-based-consumer-policy/market-monitoring/market-monitoring-2019-factsheets-market_en</w:t>
      </w:r>
    </w:p>
  </w:footnote>
  <w:footnote w:id="312">
    <w:p w:rsidR="00164A6B" w:rsidRPr="009B5734" w:rsidRDefault="00164A6B" w:rsidP="00EA45F9">
      <w:pPr>
        <w:pStyle w:val="FootnoteText"/>
        <w:spacing w:after="0"/>
        <w:rPr>
          <w:sz w:val="16"/>
        </w:rPr>
      </w:pPr>
      <w:r w:rsidRPr="009B5734">
        <w:rPr>
          <w:rStyle w:val="FootnoteReference"/>
          <w:sz w:val="18"/>
        </w:rPr>
        <w:footnoteRef/>
      </w:r>
      <w:r w:rsidRPr="009B5734">
        <w:rPr>
          <w:sz w:val="18"/>
        </w:rPr>
        <w:t xml:space="preserve"> EESC (2016): The influence of lifespan labelling on consumers, 2016. Available at: https://www.eesc.europa.eu/resources/docs/16_123_duree-dutilisation-des-produits_complet_en.pdf</w:t>
      </w:r>
    </w:p>
  </w:footnote>
  <w:footnote w:id="313">
    <w:p w:rsidR="00164A6B" w:rsidRPr="009B5734" w:rsidRDefault="00164A6B" w:rsidP="00EA45F9">
      <w:pPr>
        <w:pStyle w:val="FootnoteText"/>
        <w:spacing w:after="0"/>
        <w:rPr>
          <w:sz w:val="18"/>
        </w:rPr>
      </w:pPr>
      <w:r w:rsidRPr="009B5734">
        <w:rPr>
          <w:rStyle w:val="FootnoteReference"/>
          <w:sz w:val="18"/>
        </w:rPr>
        <w:footnoteRef/>
      </w:r>
      <w:r w:rsidRPr="009B5734">
        <w:rPr>
          <w:sz w:val="18"/>
        </w:rPr>
        <w:t xml:space="preserve"> DG JUST, Ipsos-London Economics-Deloitte consortium, 2015. Consumer market study on the functioning of legal and commercial guarantees for consumers in the EU. Publications Office of the European Union.</w:t>
      </w:r>
    </w:p>
  </w:footnote>
  <w:footnote w:id="314">
    <w:p w:rsidR="00164A6B" w:rsidRPr="009B5734" w:rsidRDefault="00164A6B" w:rsidP="00EA45F9">
      <w:pPr>
        <w:pStyle w:val="FootnoteText"/>
        <w:spacing w:after="0"/>
      </w:pPr>
      <w:r w:rsidRPr="009B5734">
        <w:rPr>
          <w:rStyle w:val="FootnoteReference"/>
          <w:sz w:val="18"/>
        </w:rPr>
        <w:footnoteRef/>
      </w:r>
      <w:r w:rsidRPr="009B5734">
        <w:rPr>
          <w:sz w:val="18"/>
        </w:rPr>
        <w:t xml:space="preserve"> Europe, L.E., Europe, V.V.A., Ipsos Opinion-Infometrie, ConPolicy GmbH and Trinomics, B.V., 2018. Behavioural study on consumers' engagement in the circular economy. Publications Office of the European Union.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706" w:rsidRPr="00700706" w:rsidRDefault="00700706" w:rsidP="0070070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F1E" w:rsidRDefault="005C6F1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F1E" w:rsidRPr="00DB2FCF" w:rsidRDefault="005C6F1E" w:rsidP="00DB2FC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F1E" w:rsidRDefault="005C6F1E" w:rsidP="006F3A6F">
    <w:pPr>
      <w:pStyle w:val="Header"/>
      <w:tabs>
        <w:tab w:val="left" w:pos="7275"/>
      </w:tabs>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F1E" w:rsidRDefault="005C6F1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F1E" w:rsidRPr="00DB2FCF" w:rsidRDefault="005C6F1E" w:rsidP="00DB2FC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F1E" w:rsidRDefault="005C6F1E" w:rsidP="006F3A6F">
    <w:pPr>
      <w:pStyle w:val="Header"/>
      <w:tabs>
        <w:tab w:val="left" w:pos="7275"/>
      </w:tabs>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Pr="00DB2FCF" w:rsidRDefault="00164A6B" w:rsidP="00DB2FC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rsidP="006F3A6F">
    <w:pPr>
      <w:pStyle w:val="Header"/>
      <w:tabs>
        <w:tab w:val="left" w:pos="7275"/>
      </w:tabs>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F1E" w:rsidRDefault="005C6F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706" w:rsidRPr="00700706" w:rsidRDefault="00700706" w:rsidP="00700706">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F1E" w:rsidRPr="00DB2FCF" w:rsidRDefault="005C6F1E" w:rsidP="00DB2FC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F1E" w:rsidRDefault="005C6F1E" w:rsidP="006F3A6F">
    <w:pPr>
      <w:pStyle w:val="Header"/>
      <w:tabs>
        <w:tab w:val="left" w:pos="7275"/>
      </w:tabs>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rsidP="006F3A6F">
    <w:pPr>
      <w:pStyle w:val="Header"/>
      <w:tabs>
        <w:tab w:val="left" w:pos="7275"/>
      </w:tabs>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rsidP="006F3A6F">
    <w:pPr>
      <w:pStyle w:val="Header"/>
      <w:tabs>
        <w:tab w:val="left" w:pos="7275"/>
      </w:tabs>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706" w:rsidRPr="00700706" w:rsidRDefault="00700706" w:rsidP="00700706">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rsidP="006F3A6F">
    <w:pPr>
      <w:pStyle w:val="Header"/>
      <w:tabs>
        <w:tab w:val="left" w:pos="7275"/>
      </w:tabs>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rsidP="006F3A6F">
    <w:pPr>
      <w:pStyle w:val="Header"/>
      <w:tabs>
        <w:tab w:val="left" w:pos="7275"/>
      </w:tabs>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F1E" w:rsidRDefault="005C6F1E">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F1E" w:rsidRDefault="005C6F1E">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F1E" w:rsidRDefault="005C6F1E">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F1E" w:rsidRDefault="005C6F1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F1E" w:rsidRDefault="005C6F1E">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F1E" w:rsidRDefault="005C6F1E">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Pr="00DB2FCF" w:rsidRDefault="00164A6B" w:rsidP="00DB2FCF">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rsidP="006F3A6F">
    <w:pPr>
      <w:pStyle w:val="Header"/>
      <w:tabs>
        <w:tab w:val="left" w:pos="7275"/>
      </w:tabs>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Pr="00DB2FCF" w:rsidRDefault="00164A6B" w:rsidP="00DB2FC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rsidP="006F3A6F">
    <w:pPr>
      <w:pStyle w:val="Header"/>
      <w:tabs>
        <w:tab w:val="left" w:pos="7275"/>
      </w:tabs>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Pr="00DB2FCF" w:rsidRDefault="00164A6B" w:rsidP="00DB2FC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A6B" w:rsidRDefault="00164A6B" w:rsidP="006F3A6F">
    <w:pPr>
      <w:pStyle w:val="Header"/>
      <w:tabs>
        <w:tab w:val="left" w:pos="727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CC8AB04"/>
    <w:lvl w:ilvl="0">
      <w:start w:val="1"/>
      <w:numFmt w:val="bullet"/>
      <w:lvlText w:val=""/>
      <w:lvlJc w:val="left"/>
      <w:pPr>
        <w:tabs>
          <w:tab w:val="num" w:pos="-207"/>
        </w:tabs>
        <w:ind w:left="-207" w:hanging="360"/>
      </w:pPr>
      <w:rPr>
        <w:rFonts w:ascii="Symbol" w:hAnsi="Symbol" w:hint="default"/>
      </w:rPr>
    </w:lvl>
  </w:abstractNum>
  <w:abstractNum w:abstractNumId="1" w15:restartNumberingAfterBreak="0">
    <w:nsid w:val="00253BAD"/>
    <w:multiLevelType w:val="hybridMultilevel"/>
    <w:tmpl w:val="3CC6D56E"/>
    <w:lvl w:ilvl="0" w:tplc="4DFAEA40">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0515EFB"/>
    <w:multiLevelType w:val="multilevel"/>
    <w:tmpl w:val="DA5A5AC0"/>
    <w:styleLink w:val="NumbLstMain"/>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b/>
        <w:i w:val="0"/>
        <w:color w:val="auto"/>
        <w:sz w:val="20"/>
      </w:rPr>
    </w:lvl>
    <w:lvl w:ilvl="4">
      <w:start w:val="1"/>
      <w:numFmt w:val="none"/>
      <w:suff w:val="nothing"/>
      <w:lvlText w:val=""/>
      <w:lvlJc w:val="left"/>
      <w:pPr>
        <w:ind w:left="851" w:hanging="851"/>
      </w:pPr>
      <w:rPr>
        <w:rFonts w:ascii="Arial Bold" w:hAnsi="Arial Bold" w:hint="default"/>
        <w:b/>
        <w:i/>
        <w:color w:val="000000" w:themeColor="text1"/>
        <w:sz w:val="20"/>
      </w:rPr>
    </w:lvl>
    <w:lvl w:ilvl="5">
      <w:start w:val="1"/>
      <w:numFmt w:val="decimal"/>
      <w:lvlRestart w:val="1"/>
      <w:lvlText w:val="Figure %1.%6"/>
      <w:lvlJc w:val="left"/>
      <w:pPr>
        <w:tabs>
          <w:tab w:val="num" w:pos="2041"/>
        </w:tabs>
        <w:ind w:left="2041" w:hanging="1190"/>
      </w:pPr>
      <w:rPr>
        <w:rFonts w:ascii="Arial" w:hAnsi="Arial" w:hint="default"/>
        <w:color w:val="4F81BD" w:themeColor="accent1"/>
      </w:rPr>
    </w:lvl>
    <w:lvl w:ilvl="6">
      <w:start w:val="1"/>
      <w:numFmt w:val="decimal"/>
      <w:lvlRestart w:val="1"/>
      <w:lvlText w:val="Table %1.%7"/>
      <w:lvlJc w:val="left"/>
      <w:pPr>
        <w:tabs>
          <w:tab w:val="num" w:pos="851"/>
        </w:tabs>
        <w:ind w:left="1928" w:hanging="1077"/>
      </w:pPr>
      <w:rPr>
        <w:rFonts w:ascii="Arial" w:hAnsi="Arial" w:hint="default"/>
      </w:rPr>
    </w:lvl>
    <w:lvl w:ilvl="7">
      <w:start w:val="1"/>
      <w:numFmt w:val="decimal"/>
      <w:lvlRestart w:val="1"/>
      <w:lvlText w:val="Box %1.%8"/>
      <w:lvlJc w:val="left"/>
      <w:pPr>
        <w:ind w:left="1928" w:hanging="1077"/>
      </w:pPr>
      <w:rPr>
        <w:rFonts w:ascii="Arial" w:hAnsi="Arial" w:hint="default"/>
        <w:color w:val="4F81BD" w:themeColor="accent1"/>
      </w:rPr>
    </w:lvl>
    <w:lvl w:ilvl="8">
      <w:start w:val="1"/>
      <w:numFmt w:val="none"/>
      <w:lvlText w:val=""/>
      <w:lvlJc w:val="left"/>
      <w:pPr>
        <w:ind w:left="425" w:hanging="425"/>
      </w:pPr>
      <w:rPr>
        <w:rFonts w:ascii="Georgia" w:hAnsi="Georgia" w:hint="default"/>
        <w:color w:val="1F497D" w:themeColor="text2"/>
      </w:rPr>
    </w:lvl>
  </w:abstractNum>
  <w:abstractNum w:abstractNumId="3" w15:restartNumberingAfterBreak="0">
    <w:nsid w:val="00544E67"/>
    <w:multiLevelType w:val="multilevel"/>
    <w:tmpl w:val="926820C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b/>
      </w:rPr>
    </w:lvl>
    <w:lvl w:ilvl="2">
      <w:start w:val="1"/>
      <w:numFmt w:val="decimal"/>
      <w:lvlText w:val="%1.%2.%3."/>
      <w:lvlJc w:val="left"/>
      <w:pPr>
        <w:tabs>
          <w:tab w:val="num" w:pos="1920"/>
        </w:tabs>
        <w:ind w:left="1920" w:hanging="720"/>
      </w:pPr>
      <w:rPr>
        <w:rFonts w:ascii="Times New Roman" w:hAnsi="Times New Roman" w:cs="Times New Roman" w:hint="default"/>
        <w:sz w:val="24"/>
        <w:szCs w:val="24"/>
      </w:rPr>
    </w:lvl>
    <w:lvl w:ilvl="3">
      <w:start w:val="1"/>
      <w:numFmt w:val="decimal"/>
      <w:lvlText w:val="%1.%2.%3.%4."/>
      <w:lvlJc w:val="left"/>
      <w:pPr>
        <w:tabs>
          <w:tab w:val="num" w:pos="1920"/>
        </w:tabs>
        <w:ind w:left="1920" w:hanging="720"/>
      </w:pPr>
      <w:rPr>
        <w:rFonts w:ascii="Times New Roman" w:hAnsi="Times New Roman"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0CC4CCF"/>
    <w:multiLevelType w:val="multilevel"/>
    <w:tmpl w:val="A5342A4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680" w:hanging="720"/>
      </w:pPr>
      <w:rPr>
        <w:rFonts w:ascii="Times New Roman" w:hAnsi="Times New Roman" w:cs="Times New Roman" w:hint="default"/>
        <w:sz w:val="24"/>
      </w:rPr>
    </w:lvl>
    <w:lvl w:ilvl="3">
      <w:start w:val="1"/>
      <w:numFmt w:val="none"/>
      <w:lvlText w:val="6.2.1.1."/>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5" w15:restartNumberingAfterBreak="0">
    <w:nsid w:val="01EF5006"/>
    <w:multiLevelType w:val="multilevel"/>
    <w:tmpl w:val="8F320F56"/>
    <w:styleLink w:val="NumblistTables"/>
    <w:lvl w:ilvl="0">
      <w:start w:val="1"/>
      <w:numFmt w:val="decimal"/>
      <w:lvlText w:val="Table %1."/>
      <w:lvlJc w:val="left"/>
      <w:pPr>
        <w:tabs>
          <w:tab w:val="num" w:pos="1787"/>
        </w:tabs>
        <w:ind w:left="1787" w:hanging="1077"/>
      </w:pPr>
      <w:rPr>
        <w:rFonts w:hint="default"/>
      </w:rPr>
    </w:lvl>
    <w:lvl w:ilvl="1">
      <w:start w:val="1"/>
      <w:numFmt w:val="none"/>
      <w:lvlRestart w:val="0"/>
      <w:lvlText w:val=""/>
      <w:lvlJc w:val="left"/>
      <w:pPr>
        <w:tabs>
          <w:tab w:val="num" w:pos="0"/>
        </w:tabs>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02EB1BE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3545FA8"/>
    <w:multiLevelType w:val="multilevel"/>
    <w:tmpl w:val="764CCCC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b/>
      </w:rPr>
    </w:lvl>
    <w:lvl w:ilvl="2">
      <w:start w:val="1"/>
      <w:numFmt w:val="decimal"/>
      <w:lvlText w:val="%1.%2.%3."/>
      <w:lvlJc w:val="left"/>
      <w:pPr>
        <w:tabs>
          <w:tab w:val="num" w:pos="1920"/>
        </w:tabs>
        <w:ind w:left="1920" w:hanging="720"/>
      </w:pPr>
      <w:rPr>
        <w:rFonts w:ascii="Times New Roman" w:hAnsi="Times New Roman" w:cs="Times New Roman" w:hint="default"/>
        <w:sz w:val="24"/>
        <w:szCs w:val="24"/>
      </w:rPr>
    </w:lvl>
    <w:lvl w:ilvl="3">
      <w:start w:val="1"/>
      <w:numFmt w:val="decimal"/>
      <w:lvlText w:val="%1.%2.%3.%4."/>
      <w:lvlJc w:val="left"/>
      <w:pPr>
        <w:tabs>
          <w:tab w:val="num" w:pos="1920"/>
        </w:tabs>
        <w:ind w:left="1920" w:hanging="720"/>
      </w:pPr>
      <w:rPr>
        <w:rFonts w:ascii="Times New Roman" w:hAnsi="Times New Roman"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3DD628A"/>
    <w:multiLevelType w:val="multilevel"/>
    <w:tmpl w:val="16D0AB4C"/>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b/>
      </w:rPr>
    </w:lvl>
    <w:lvl w:ilvl="2">
      <w:start w:val="1"/>
      <w:numFmt w:val="decimal"/>
      <w:lvlText w:val="%1.%2.%3."/>
      <w:lvlJc w:val="left"/>
      <w:pPr>
        <w:tabs>
          <w:tab w:val="num" w:pos="1920"/>
        </w:tabs>
        <w:ind w:left="1920" w:hanging="720"/>
      </w:pPr>
      <w:rPr>
        <w:rFonts w:ascii="Times New Roman" w:hAnsi="Times New Roman" w:cs="Times New Roman" w:hint="default"/>
        <w:sz w:val="24"/>
        <w:szCs w:val="24"/>
      </w:rPr>
    </w:lvl>
    <w:lvl w:ilvl="3">
      <w:start w:val="1"/>
      <w:numFmt w:val="decimal"/>
      <w:lvlText w:val="%1.%2.%3.%4."/>
      <w:lvlJc w:val="left"/>
      <w:pPr>
        <w:tabs>
          <w:tab w:val="num" w:pos="1920"/>
        </w:tabs>
        <w:ind w:left="1920" w:hanging="720"/>
      </w:pPr>
      <w:rPr>
        <w:rFonts w:ascii="Times New Roman" w:hAnsi="Times New Roman"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4FD1596"/>
    <w:multiLevelType w:val="multilevel"/>
    <w:tmpl w:val="89E6B57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cs="Times New Roman" w:hint="default"/>
        <w:sz w:val="20"/>
      </w:rPr>
    </w:lvl>
    <w:lvl w:ilvl="2">
      <w:start w:val="1"/>
      <w:numFmt w:val="bullet"/>
      <w:lvlText w:val=""/>
      <w:lvlJc w:val="left"/>
      <w:pPr>
        <w:tabs>
          <w:tab w:val="num" w:pos="1080"/>
        </w:tabs>
        <w:ind w:left="1080" w:hanging="360"/>
      </w:pPr>
      <w:rPr>
        <w:rFonts w:ascii="Wingdings" w:hAnsi="Wingdings" w:hint="default"/>
        <w:sz w:val="20"/>
      </w:rPr>
    </w:lvl>
    <w:lvl w:ilvl="3">
      <w:start w:val="1"/>
      <w:numFmt w:val="bullet"/>
      <w:lvlText w:val=""/>
      <w:lvlJc w:val="left"/>
      <w:pPr>
        <w:tabs>
          <w:tab w:val="num" w:pos="1800"/>
        </w:tabs>
        <w:ind w:left="1800" w:hanging="360"/>
      </w:pPr>
      <w:rPr>
        <w:rFonts w:ascii="Wingdings" w:hAnsi="Wingdings" w:hint="default"/>
        <w:sz w:val="20"/>
      </w:rPr>
    </w:lvl>
    <w:lvl w:ilvl="4">
      <w:start w:val="1"/>
      <w:numFmt w:val="bullet"/>
      <w:lvlText w:val=""/>
      <w:lvlJc w:val="left"/>
      <w:pPr>
        <w:tabs>
          <w:tab w:val="num" w:pos="2520"/>
        </w:tabs>
        <w:ind w:left="2520" w:hanging="360"/>
      </w:pPr>
      <w:rPr>
        <w:rFonts w:ascii="Wingdings" w:hAnsi="Wingdings" w:hint="default"/>
        <w:sz w:val="20"/>
      </w:rPr>
    </w:lvl>
    <w:lvl w:ilvl="5">
      <w:start w:val="1"/>
      <w:numFmt w:val="bullet"/>
      <w:lvlText w:val=""/>
      <w:lvlJc w:val="left"/>
      <w:pPr>
        <w:tabs>
          <w:tab w:val="num" w:pos="3240"/>
        </w:tabs>
        <w:ind w:left="3240" w:hanging="360"/>
      </w:pPr>
      <w:rPr>
        <w:rFonts w:ascii="Wingdings" w:hAnsi="Wingdings" w:hint="default"/>
        <w:sz w:val="20"/>
      </w:rPr>
    </w:lvl>
    <w:lvl w:ilvl="6">
      <w:start w:val="1"/>
      <w:numFmt w:val="bullet"/>
      <w:lvlText w:val=""/>
      <w:lvlJc w:val="left"/>
      <w:pPr>
        <w:tabs>
          <w:tab w:val="num" w:pos="3960"/>
        </w:tabs>
        <w:ind w:left="3960" w:hanging="360"/>
      </w:pPr>
      <w:rPr>
        <w:rFonts w:ascii="Wingdings" w:hAnsi="Wingdings" w:hint="default"/>
        <w:sz w:val="20"/>
      </w:rPr>
    </w:lvl>
    <w:lvl w:ilvl="7">
      <w:start w:val="1"/>
      <w:numFmt w:val="bullet"/>
      <w:lvlText w:val=""/>
      <w:lvlJc w:val="left"/>
      <w:pPr>
        <w:tabs>
          <w:tab w:val="num" w:pos="4680"/>
        </w:tabs>
        <w:ind w:left="4680" w:hanging="360"/>
      </w:pPr>
      <w:rPr>
        <w:rFonts w:ascii="Wingdings" w:hAnsi="Wingdings" w:hint="default"/>
        <w:sz w:val="20"/>
      </w:rPr>
    </w:lvl>
    <w:lvl w:ilvl="8">
      <w:start w:val="1"/>
      <w:numFmt w:val="bullet"/>
      <w:lvlText w:val=""/>
      <w:lvlJc w:val="left"/>
      <w:pPr>
        <w:tabs>
          <w:tab w:val="num" w:pos="5400"/>
        </w:tabs>
        <w:ind w:left="5400" w:hanging="360"/>
      </w:pPr>
      <w:rPr>
        <w:rFonts w:ascii="Wingdings" w:hAnsi="Wingdings" w:hint="default"/>
        <w:sz w:val="20"/>
      </w:rPr>
    </w:lvl>
  </w:abstractNum>
  <w:abstractNum w:abstractNumId="10" w15:restartNumberingAfterBreak="0">
    <w:nsid w:val="05431626"/>
    <w:multiLevelType w:val="hybridMultilevel"/>
    <w:tmpl w:val="C25CE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6466C27"/>
    <w:multiLevelType w:val="hybridMultilevel"/>
    <w:tmpl w:val="C2408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951FCA"/>
    <w:multiLevelType w:val="hybridMultilevel"/>
    <w:tmpl w:val="E932D326"/>
    <w:lvl w:ilvl="0" w:tplc="94C0120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7B66F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7DC2DF8"/>
    <w:multiLevelType w:val="hybridMultilevel"/>
    <w:tmpl w:val="93D25638"/>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081E0FE8"/>
    <w:multiLevelType w:val="multilevel"/>
    <w:tmpl w:val="F714788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6" w15:restartNumberingAfterBreak="0">
    <w:nsid w:val="087821A4"/>
    <w:multiLevelType w:val="hybridMultilevel"/>
    <w:tmpl w:val="1EDEA102"/>
    <w:lvl w:ilvl="0" w:tplc="4DFAEA40">
      <w:numFmt w:val="bullet"/>
      <w:lvlText w:val="-"/>
      <w:lvlJc w:val="left"/>
      <w:pPr>
        <w:ind w:left="720" w:hanging="360"/>
      </w:pPr>
      <w:rPr>
        <w:rFonts w:ascii="Times New Roman" w:eastAsia="Times New Roman" w:hAnsi="Times New Roman" w:cs="Times New Roman" w:hint="default"/>
      </w:rPr>
    </w:lvl>
    <w:lvl w:ilvl="1" w:tplc="39721DB0">
      <w:numFmt w:val="bullet"/>
      <w:lvlText w:val="•"/>
      <w:lvlJc w:val="left"/>
      <w:pPr>
        <w:ind w:left="1800" w:hanging="720"/>
      </w:pPr>
      <w:rPr>
        <w:rFonts w:ascii="Times New Roman" w:eastAsiaTheme="minorHAnsi" w:hAnsi="Times New Roman" w:cs="Times New Roman"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088B7282"/>
    <w:multiLevelType w:val="hybridMultilevel"/>
    <w:tmpl w:val="8A241918"/>
    <w:lvl w:ilvl="0" w:tplc="0409000F">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8" w15:restartNumberingAfterBreak="0">
    <w:nsid w:val="08F26E03"/>
    <w:multiLevelType w:val="hybridMultilevel"/>
    <w:tmpl w:val="612C5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986093A"/>
    <w:multiLevelType w:val="hybridMultilevel"/>
    <w:tmpl w:val="54662E48"/>
    <w:lvl w:ilvl="0" w:tplc="4DFAEA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99B32E1"/>
    <w:multiLevelType w:val="multilevel"/>
    <w:tmpl w:val="D22A3CC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1" w15:restartNumberingAfterBreak="0">
    <w:nsid w:val="09AC2E93"/>
    <w:multiLevelType w:val="hybridMultilevel"/>
    <w:tmpl w:val="CF42D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A905F7B"/>
    <w:multiLevelType w:val="hybridMultilevel"/>
    <w:tmpl w:val="5F2C7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C96B1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AFA5CF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0BE16066"/>
    <w:multiLevelType w:val="multilevel"/>
    <w:tmpl w:val="6062F0C0"/>
    <w:lvl w:ilvl="0">
      <w:start w:val="1"/>
      <w:numFmt w:val="bullet"/>
      <w:lvlText w:val=""/>
      <w:lvlJc w:val="left"/>
      <w:pPr>
        <w:tabs>
          <w:tab w:val="num" w:pos="1191"/>
        </w:tabs>
        <w:ind w:left="1191" w:hanging="340"/>
      </w:pPr>
      <w:rPr>
        <w:rFonts w:ascii="Wingdings" w:hAnsi="Wingdings" w:hint="default"/>
      </w:rPr>
    </w:lvl>
    <w:lvl w:ilvl="1">
      <w:start w:val="1"/>
      <w:numFmt w:val="lowerLetter"/>
      <w:pStyle w:val="BTNumbList2"/>
      <w:lvlText w:val="%2."/>
      <w:lvlJc w:val="left"/>
      <w:pPr>
        <w:tabs>
          <w:tab w:val="num" w:pos="1531"/>
        </w:tabs>
        <w:ind w:left="1531" w:hanging="340"/>
      </w:pPr>
      <w:rPr>
        <w:rFonts w:hint="default"/>
      </w:rPr>
    </w:lvl>
    <w:lvl w:ilvl="2">
      <w:start w:val="1"/>
      <w:numFmt w:val="lowerRoman"/>
      <w:lvlRestart w:val="0"/>
      <w:pStyle w:val="BTNumbList3"/>
      <w:lvlText w:val="%3."/>
      <w:lvlJc w:val="left"/>
      <w:pPr>
        <w:tabs>
          <w:tab w:val="num" w:pos="1871"/>
        </w:tabs>
        <w:ind w:left="1871" w:hanging="340"/>
      </w:pPr>
      <w:rPr>
        <w:rFonts w:hint="default"/>
      </w:rPr>
    </w:lvl>
    <w:lvl w:ilvl="3">
      <w:start w:val="1"/>
      <w:numFmt w:val="none"/>
      <w:suff w:val="nothing"/>
      <w:lvlText w:val=""/>
      <w:lvlJc w:val="left"/>
      <w:pPr>
        <w:ind w:left="1871" w:firstLine="0"/>
      </w:pPr>
      <w:rPr>
        <w:rFonts w:hint="default"/>
      </w:rPr>
    </w:lvl>
    <w:lvl w:ilvl="4">
      <w:start w:val="1"/>
      <w:numFmt w:val="none"/>
      <w:lvlRestart w:val="0"/>
      <w:suff w:val="nothing"/>
      <w:lvlText w:val=""/>
      <w:lvlJc w:val="left"/>
      <w:pPr>
        <w:ind w:left="1871" w:firstLine="0"/>
      </w:pPr>
      <w:rPr>
        <w:rFonts w:hint="default"/>
      </w:rPr>
    </w:lvl>
    <w:lvl w:ilvl="5">
      <w:start w:val="1"/>
      <w:numFmt w:val="none"/>
      <w:suff w:val="nothing"/>
      <w:lvlText w:val=""/>
      <w:lvlJc w:val="righ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suff w:val="nothing"/>
      <w:lvlText w:val=""/>
      <w:lvlJc w:val="right"/>
      <w:pPr>
        <w:ind w:left="1871" w:firstLine="0"/>
      </w:pPr>
      <w:rPr>
        <w:rFonts w:hint="default"/>
      </w:rPr>
    </w:lvl>
  </w:abstractNum>
  <w:abstractNum w:abstractNumId="26" w15:restartNumberingAfterBreak="0">
    <w:nsid w:val="0BF017AE"/>
    <w:multiLevelType w:val="hybridMultilevel"/>
    <w:tmpl w:val="423C4A88"/>
    <w:lvl w:ilvl="0" w:tplc="4DFAEA40">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0C293AC4"/>
    <w:multiLevelType w:val="multilevel"/>
    <w:tmpl w:val="662C30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0C5669D6"/>
    <w:multiLevelType w:val="multilevel"/>
    <w:tmpl w:val="846C9A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9" w15:restartNumberingAfterBreak="0">
    <w:nsid w:val="0D4009CD"/>
    <w:multiLevelType w:val="multilevel"/>
    <w:tmpl w:val="846C9AA0"/>
    <w:styleLink w:val="newlist5"/>
    <w:lvl w:ilvl="0">
      <w:start w:val="5"/>
      <w:numFmt w:val="decimal"/>
      <w:lvlText w:val="%1."/>
      <w:lvlJc w:val="left"/>
      <w:pPr>
        <w:ind w:left="360" w:hanging="360"/>
      </w:pPr>
      <w:rPr>
        <w:rFonts w:ascii="Times New Roman" w:hAnsi="Times New Roman" w:hint="default"/>
        <w:sz w:val="24"/>
      </w:rPr>
    </w:lvl>
    <w:lvl w:ilvl="1">
      <w:start w:val="1"/>
      <w:numFmt w:val="decimal"/>
      <w:lvlText w:val="%1.%2."/>
      <w:lvlJc w:val="left"/>
      <w:pPr>
        <w:ind w:left="36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0" w15:restartNumberingAfterBreak="0">
    <w:nsid w:val="0E062358"/>
    <w:multiLevelType w:val="multilevel"/>
    <w:tmpl w:val="BC90812C"/>
    <w:lvl w:ilvl="0">
      <w:start w:val="6"/>
      <w:numFmt w:val="none"/>
      <w:lvlText w:val="5."/>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5%1.%2.%3."/>
      <w:lvlJc w:val="left"/>
      <w:pPr>
        <w:ind w:left="1680" w:hanging="720"/>
      </w:pPr>
      <w:rPr>
        <w:rFonts w:hint="default"/>
      </w:rPr>
    </w:lvl>
    <w:lvl w:ilvl="3">
      <w:start w:val="1"/>
      <w:numFmt w:val="decimal"/>
      <w:lvlText w:val="5%1.1.%3.%4."/>
      <w:lvlJc w:val="left"/>
      <w:pPr>
        <w:ind w:left="2160" w:hanging="720"/>
      </w:pPr>
      <w:rPr>
        <w:rFonts w:hint="default"/>
      </w:rPr>
    </w:lvl>
    <w:lvl w:ilvl="4">
      <w:start w:val="1"/>
      <w:numFmt w:val="decimal"/>
      <w:lvlText w:val="5.1.%3.%4.%5."/>
      <w:lvlJc w:val="left"/>
      <w:pPr>
        <w:ind w:left="3000" w:hanging="1080"/>
      </w:pPr>
      <w:rPr>
        <w:rFonts w:ascii="Times New Roman" w:hAnsi="Times New Roman" w:hint="default"/>
        <w:b w:val="0"/>
        <w:i w:val="0"/>
        <w:sz w:val="24"/>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1" w15:restartNumberingAfterBreak="0">
    <w:nsid w:val="0F265A66"/>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0F8812C6"/>
    <w:multiLevelType w:val="multilevel"/>
    <w:tmpl w:val="822896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2"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0402054"/>
    <w:multiLevelType w:val="hybridMultilevel"/>
    <w:tmpl w:val="6AC6BB48"/>
    <w:lvl w:ilvl="0" w:tplc="D5C47AD2">
      <w:numFmt w:val="bullet"/>
      <w:lvlText w:val="-"/>
      <w:lvlJc w:val="left"/>
      <w:pPr>
        <w:ind w:left="2160" w:hanging="360"/>
      </w:pPr>
      <w:rPr>
        <w:rFonts w:ascii="Times New Roman" w:eastAsia="Times New Roman" w:hAnsi="Times New Roman" w:cs="Times New Roman" w:hint="default"/>
      </w:rPr>
    </w:lvl>
    <w:lvl w:ilvl="1" w:tplc="080C0003">
      <w:start w:val="1"/>
      <w:numFmt w:val="bullet"/>
      <w:lvlText w:val="o"/>
      <w:lvlJc w:val="left"/>
      <w:pPr>
        <w:ind w:left="2880" w:hanging="360"/>
      </w:pPr>
      <w:rPr>
        <w:rFonts w:ascii="Courier New" w:hAnsi="Courier New" w:cs="Courier New" w:hint="default"/>
      </w:rPr>
    </w:lvl>
    <w:lvl w:ilvl="2" w:tplc="080C0005" w:tentative="1">
      <w:start w:val="1"/>
      <w:numFmt w:val="bullet"/>
      <w:lvlText w:val=""/>
      <w:lvlJc w:val="left"/>
      <w:pPr>
        <w:ind w:left="3600" w:hanging="360"/>
      </w:pPr>
      <w:rPr>
        <w:rFonts w:ascii="Wingdings" w:hAnsi="Wingdings" w:hint="default"/>
      </w:rPr>
    </w:lvl>
    <w:lvl w:ilvl="3" w:tplc="080C0001" w:tentative="1">
      <w:start w:val="1"/>
      <w:numFmt w:val="bullet"/>
      <w:lvlText w:val=""/>
      <w:lvlJc w:val="left"/>
      <w:pPr>
        <w:ind w:left="4320" w:hanging="360"/>
      </w:pPr>
      <w:rPr>
        <w:rFonts w:ascii="Symbol" w:hAnsi="Symbol" w:hint="default"/>
      </w:rPr>
    </w:lvl>
    <w:lvl w:ilvl="4" w:tplc="080C0003" w:tentative="1">
      <w:start w:val="1"/>
      <w:numFmt w:val="bullet"/>
      <w:lvlText w:val="o"/>
      <w:lvlJc w:val="left"/>
      <w:pPr>
        <w:ind w:left="5040" w:hanging="360"/>
      </w:pPr>
      <w:rPr>
        <w:rFonts w:ascii="Courier New" w:hAnsi="Courier New" w:cs="Courier New" w:hint="default"/>
      </w:rPr>
    </w:lvl>
    <w:lvl w:ilvl="5" w:tplc="080C0005" w:tentative="1">
      <w:start w:val="1"/>
      <w:numFmt w:val="bullet"/>
      <w:lvlText w:val=""/>
      <w:lvlJc w:val="left"/>
      <w:pPr>
        <w:ind w:left="5760" w:hanging="360"/>
      </w:pPr>
      <w:rPr>
        <w:rFonts w:ascii="Wingdings" w:hAnsi="Wingdings" w:hint="default"/>
      </w:rPr>
    </w:lvl>
    <w:lvl w:ilvl="6" w:tplc="080C0001" w:tentative="1">
      <w:start w:val="1"/>
      <w:numFmt w:val="bullet"/>
      <w:lvlText w:val=""/>
      <w:lvlJc w:val="left"/>
      <w:pPr>
        <w:ind w:left="6480" w:hanging="360"/>
      </w:pPr>
      <w:rPr>
        <w:rFonts w:ascii="Symbol" w:hAnsi="Symbol" w:hint="default"/>
      </w:rPr>
    </w:lvl>
    <w:lvl w:ilvl="7" w:tplc="080C0003" w:tentative="1">
      <w:start w:val="1"/>
      <w:numFmt w:val="bullet"/>
      <w:lvlText w:val="o"/>
      <w:lvlJc w:val="left"/>
      <w:pPr>
        <w:ind w:left="7200" w:hanging="360"/>
      </w:pPr>
      <w:rPr>
        <w:rFonts w:ascii="Courier New" w:hAnsi="Courier New" w:cs="Courier New" w:hint="default"/>
      </w:rPr>
    </w:lvl>
    <w:lvl w:ilvl="8" w:tplc="080C0005" w:tentative="1">
      <w:start w:val="1"/>
      <w:numFmt w:val="bullet"/>
      <w:lvlText w:val=""/>
      <w:lvlJc w:val="left"/>
      <w:pPr>
        <w:ind w:left="7920" w:hanging="360"/>
      </w:pPr>
      <w:rPr>
        <w:rFonts w:ascii="Wingdings" w:hAnsi="Wingdings" w:hint="default"/>
      </w:rPr>
    </w:lvl>
  </w:abstractNum>
  <w:abstractNum w:abstractNumId="34" w15:restartNumberingAfterBreak="0">
    <w:nsid w:val="105D7F5C"/>
    <w:multiLevelType w:val="multilevel"/>
    <w:tmpl w:val="08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08F6CE9"/>
    <w:multiLevelType w:val="hybridMultilevel"/>
    <w:tmpl w:val="D278CD12"/>
    <w:lvl w:ilvl="0" w:tplc="C3680C0A">
      <w:numFmt w:val="bullet"/>
      <w:lvlText w:val="-"/>
      <w:lvlJc w:val="left"/>
      <w:pPr>
        <w:ind w:left="720" w:hanging="360"/>
      </w:pPr>
      <w:rPr>
        <w:rFonts w:ascii="Garamond" w:eastAsiaTheme="minorHAnsi" w:hAnsi="Garamond"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10F702C5"/>
    <w:multiLevelType w:val="multilevel"/>
    <w:tmpl w:val="F4FAE1AE"/>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b/>
      </w:rPr>
    </w:lvl>
    <w:lvl w:ilvl="2">
      <w:start w:val="1"/>
      <w:numFmt w:val="decimal"/>
      <w:lvlText w:val="%1.%2.%3."/>
      <w:lvlJc w:val="left"/>
      <w:pPr>
        <w:tabs>
          <w:tab w:val="num" w:pos="1920"/>
        </w:tabs>
        <w:ind w:left="1920" w:hanging="720"/>
      </w:pPr>
      <w:rPr>
        <w:rFonts w:ascii="Times New Roman" w:hAnsi="Times New Roman" w:cs="Times New Roman" w:hint="default"/>
        <w:sz w:val="24"/>
        <w:szCs w:val="24"/>
      </w:rPr>
    </w:lvl>
    <w:lvl w:ilvl="3">
      <w:start w:val="1"/>
      <w:numFmt w:val="decimal"/>
      <w:lvlText w:val="%1.%2.%3.%4."/>
      <w:lvlJc w:val="left"/>
      <w:pPr>
        <w:tabs>
          <w:tab w:val="num" w:pos="1920"/>
        </w:tabs>
        <w:ind w:left="1920" w:hanging="720"/>
      </w:pPr>
      <w:rPr>
        <w:rFonts w:ascii="Times New Roman" w:hAnsi="Times New Roman"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112C781D"/>
    <w:multiLevelType w:val="multilevel"/>
    <w:tmpl w:val="93EA0612"/>
    <w:lvl w:ilvl="0">
      <w:numFmt w:val="bullet"/>
      <w:lvlText w:val="-"/>
      <w:lvlJc w:val="left"/>
      <w:pPr>
        <w:tabs>
          <w:tab w:val="num" w:pos="340"/>
        </w:tabs>
        <w:ind w:left="340" w:hanging="340"/>
      </w:pPr>
      <w:rPr>
        <w:rFonts w:ascii="Times New Roman" w:eastAsia="Times New Roman" w:hAnsi="Times New Roman" w:cs="Times New Roman" w:hint="default"/>
        <w:color w:val="auto"/>
      </w:rPr>
    </w:lvl>
    <w:lvl w:ilvl="1">
      <w:start w:val="1"/>
      <w:numFmt w:val="bullet"/>
      <w:lvlText w:val="–"/>
      <w:lvlJc w:val="left"/>
      <w:pPr>
        <w:tabs>
          <w:tab w:val="num" w:pos="680"/>
        </w:tabs>
        <w:ind w:left="680" w:hanging="340"/>
      </w:pPr>
      <w:rPr>
        <w:rFonts w:ascii="Arial" w:hAnsi="Arial" w:hint="default"/>
        <w:color w:val="auto"/>
      </w:rPr>
    </w:lvl>
    <w:lvl w:ilvl="2">
      <w:start w:val="1"/>
      <w:numFmt w:val="bullet"/>
      <w:lvlText w:val="○"/>
      <w:lvlJc w:val="left"/>
      <w:pPr>
        <w:tabs>
          <w:tab w:val="num" w:pos="1020"/>
        </w:tabs>
        <w:ind w:left="1020" w:hanging="340"/>
      </w:pPr>
      <w:rPr>
        <w:rFonts w:ascii="Arial" w:hAnsi="Arial" w:hint="default"/>
        <w:color w:val="auto"/>
      </w:rPr>
    </w:lvl>
    <w:lvl w:ilvl="3">
      <w:start w:val="1"/>
      <w:numFmt w:val="none"/>
      <w:suff w:val="nothing"/>
      <w:lvlText w:val=""/>
      <w:lvlJc w:val="left"/>
      <w:pPr>
        <w:ind w:left="1020" w:firstLine="0"/>
      </w:pPr>
      <w:rPr>
        <w:rFonts w:hint="default"/>
      </w:rPr>
    </w:lvl>
    <w:lvl w:ilvl="4">
      <w:start w:val="1"/>
      <w:numFmt w:val="none"/>
      <w:suff w:val="nothing"/>
      <w:lvlText w:val=""/>
      <w:lvlJc w:val="left"/>
      <w:pPr>
        <w:ind w:left="1020" w:firstLine="0"/>
      </w:pPr>
      <w:rPr>
        <w:rFonts w:hint="default"/>
      </w:rPr>
    </w:lvl>
    <w:lvl w:ilvl="5">
      <w:start w:val="1"/>
      <w:numFmt w:val="none"/>
      <w:suff w:val="nothing"/>
      <w:lvlText w:val=""/>
      <w:lvlJc w:val="left"/>
      <w:pPr>
        <w:ind w:left="1020" w:firstLine="0"/>
      </w:pPr>
      <w:rPr>
        <w:rFonts w:hint="default"/>
      </w:rPr>
    </w:lvl>
    <w:lvl w:ilvl="6">
      <w:start w:val="1"/>
      <w:numFmt w:val="none"/>
      <w:suff w:val="nothing"/>
      <w:lvlText w:val=""/>
      <w:lvlJc w:val="left"/>
      <w:pPr>
        <w:ind w:left="1020" w:firstLine="0"/>
      </w:pPr>
      <w:rPr>
        <w:rFonts w:hint="default"/>
      </w:rPr>
    </w:lvl>
    <w:lvl w:ilvl="7">
      <w:start w:val="1"/>
      <w:numFmt w:val="none"/>
      <w:suff w:val="nothing"/>
      <w:lvlText w:val=""/>
      <w:lvlJc w:val="left"/>
      <w:pPr>
        <w:ind w:left="1020" w:firstLine="0"/>
      </w:pPr>
      <w:rPr>
        <w:rFonts w:hint="default"/>
      </w:rPr>
    </w:lvl>
    <w:lvl w:ilvl="8">
      <w:start w:val="1"/>
      <w:numFmt w:val="none"/>
      <w:lvlText w:val=""/>
      <w:lvlJc w:val="left"/>
      <w:pPr>
        <w:ind w:left="2389" w:hanging="360"/>
      </w:pPr>
      <w:rPr>
        <w:rFonts w:hint="default"/>
      </w:rPr>
    </w:lvl>
  </w:abstractNum>
  <w:abstractNum w:abstractNumId="38" w15:restartNumberingAfterBreak="0">
    <w:nsid w:val="1197718C"/>
    <w:multiLevelType w:val="multilevel"/>
    <w:tmpl w:val="BC90812C"/>
    <w:lvl w:ilvl="0">
      <w:start w:val="6"/>
      <w:numFmt w:val="none"/>
      <w:lvlText w:val="5."/>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5%1.%2.%3."/>
      <w:lvlJc w:val="left"/>
      <w:pPr>
        <w:ind w:left="1680" w:hanging="720"/>
      </w:pPr>
      <w:rPr>
        <w:rFonts w:hint="default"/>
      </w:rPr>
    </w:lvl>
    <w:lvl w:ilvl="3">
      <w:start w:val="1"/>
      <w:numFmt w:val="decimal"/>
      <w:lvlText w:val="5%1.1.%3.%4."/>
      <w:lvlJc w:val="left"/>
      <w:pPr>
        <w:ind w:left="2160" w:hanging="720"/>
      </w:pPr>
      <w:rPr>
        <w:rFonts w:hint="default"/>
      </w:rPr>
    </w:lvl>
    <w:lvl w:ilvl="4">
      <w:start w:val="1"/>
      <w:numFmt w:val="decimal"/>
      <w:lvlText w:val="5.1.%3.%4.%5."/>
      <w:lvlJc w:val="left"/>
      <w:pPr>
        <w:ind w:left="3000" w:hanging="1080"/>
      </w:pPr>
      <w:rPr>
        <w:rFonts w:ascii="Times New Roman" w:hAnsi="Times New Roman" w:hint="default"/>
        <w:b w:val="0"/>
        <w:i w:val="0"/>
        <w:sz w:val="24"/>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9" w15:restartNumberingAfterBreak="0">
    <w:nsid w:val="123D690D"/>
    <w:multiLevelType w:val="hybridMultilevel"/>
    <w:tmpl w:val="F7DEC8EA"/>
    <w:lvl w:ilvl="0" w:tplc="BD5045A4">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12447924"/>
    <w:multiLevelType w:val="hybridMultilevel"/>
    <w:tmpl w:val="342A9D92"/>
    <w:lvl w:ilvl="0" w:tplc="8F0A01A4">
      <w:numFmt w:val="bullet"/>
      <w:lvlText w:val="-"/>
      <w:lvlJc w:val="left"/>
      <w:pPr>
        <w:ind w:left="720" w:hanging="360"/>
      </w:pPr>
      <w:rPr>
        <w:rFonts w:ascii="Times New Roman" w:eastAsia="Times New Roman" w:hAnsi="Times New Roman" w:cs="Times New Roman"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41" w15:restartNumberingAfterBreak="0">
    <w:nsid w:val="126C65B1"/>
    <w:multiLevelType w:val="multilevel"/>
    <w:tmpl w:val="D22A3CC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42" w15:restartNumberingAfterBreak="0">
    <w:nsid w:val="128403E2"/>
    <w:multiLevelType w:val="hybridMultilevel"/>
    <w:tmpl w:val="339413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15:restartNumberingAfterBreak="0">
    <w:nsid w:val="12BB31D6"/>
    <w:multiLevelType w:val="multilevel"/>
    <w:tmpl w:val="BC90812C"/>
    <w:lvl w:ilvl="0">
      <w:start w:val="6"/>
      <w:numFmt w:val="none"/>
      <w:lvlText w:val="5."/>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5%1.%2.%3."/>
      <w:lvlJc w:val="left"/>
      <w:pPr>
        <w:ind w:left="1680" w:hanging="720"/>
      </w:pPr>
      <w:rPr>
        <w:rFonts w:hint="default"/>
      </w:rPr>
    </w:lvl>
    <w:lvl w:ilvl="3">
      <w:start w:val="1"/>
      <w:numFmt w:val="decimal"/>
      <w:lvlText w:val="5%1.1.%3.%4."/>
      <w:lvlJc w:val="left"/>
      <w:pPr>
        <w:ind w:left="2160" w:hanging="720"/>
      </w:pPr>
      <w:rPr>
        <w:rFonts w:hint="default"/>
      </w:rPr>
    </w:lvl>
    <w:lvl w:ilvl="4">
      <w:start w:val="1"/>
      <w:numFmt w:val="decimal"/>
      <w:lvlText w:val="5.1.%3.%4.%5."/>
      <w:lvlJc w:val="left"/>
      <w:pPr>
        <w:ind w:left="3000" w:hanging="1080"/>
      </w:pPr>
      <w:rPr>
        <w:rFonts w:ascii="Times New Roman" w:hAnsi="Times New Roman" w:hint="default"/>
        <w:b w:val="0"/>
        <w:i w:val="0"/>
        <w:sz w:val="24"/>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44" w15:restartNumberingAfterBreak="0">
    <w:nsid w:val="12C0084F"/>
    <w:multiLevelType w:val="multilevel"/>
    <w:tmpl w:val="E402D840"/>
    <w:lvl w:ilvl="0">
      <w:start w:val="1"/>
      <w:numFmt w:val="decimal"/>
      <w:lvlText w:val="%1."/>
      <w:lvlJc w:val="left"/>
      <w:pPr>
        <w:ind w:left="1200" w:hanging="360"/>
      </w:pPr>
      <w:rPr>
        <w:rFonts w:hint="default"/>
      </w:rPr>
    </w:lvl>
    <w:lvl w:ilvl="1">
      <w:start w:val="1"/>
      <w:numFmt w:val="decimal"/>
      <w:isLgl/>
      <w:lvlText w:val="%1.%2."/>
      <w:lvlJc w:val="left"/>
      <w:pPr>
        <w:ind w:left="156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640" w:hanging="720"/>
      </w:pPr>
      <w:rPr>
        <w:rFonts w:hint="default"/>
      </w:rPr>
    </w:lvl>
    <w:lvl w:ilvl="4">
      <w:start w:val="1"/>
      <w:numFmt w:val="decimal"/>
      <w:isLgl/>
      <w:lvlText w:val="%1.%2.%3.%4.%5."/>
      <w:lvlJc w:val="left"/>
      <w:pPr>
        <w:ind w:left="3360" w:hanging="1080"/>
      </w:pPr>
      <w:rPr>
        <w:rFonts w:hint="default"/>
      </w:rPr>
    </w:lvl>
    <w:lvl w:ilvl="5">
      <w:start w:val="1"/>
      <w:numFmt w:val="decimal"/>
      <w:isLgl/>
      <w:lvlText w:val="%1.%2.%3.%4.%5.%6."/>
      <w:lvlJc w:val="left"/>
      <w:pPr>
        <w:ind w:left="3720" w:hanging="1080"/>
      </w:pPr>
      <w:rPr>
        <w:rFonts w:hint="default"/>
      </w:rPr>
    </w:lvl>
    <w:lvl w:ilvl="6">
      <w:start w:val="1"/>
      <w:numFmt w:val="decimal"/>
      <w:isLgl/>
      <w:lvlText w:val="%1.%2.%3.%4.%5.%6.%7."/>
      <w:lvlJc w:val="left"/>
      <w:pPr>
        <w:ind w:left="444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520" w:hanging="1800"/>
      </w:pPr>
      <w:rPr>
        <w:rFonts w:hint="default"/>
      </w:rPr>
    </w:lvl>
  </w:abstractNum>
  <w:abstractNum w:abstractNumId="45" w15:restartNumberingAfterBreak="0">
    <w:nsid w:val="13D911CF"/>
    <w:multiLevelType w:val="multilevel"/>
    <w:tmpl w:val="846C9A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46" w15:restartNumberingAfterBreak="0">
    <w:nsid w:val="146808CB"/>
    <w:multiLevelType w:val="multilevel"/>
    <w:tmpl w:val="9B0ED194"/>
    <w:styleLink w:val="NumbListFigures"/>
    <w:lvl w:ilvl="0">
      <w:start w:val="1"/>
      <w:numFmt w:val="decimal"/>
      <w:pStyle w:val="FigureTitle"/>
      <w:lvlText w:val="Figure %1."/>
      <w:lvlJc w:val="left"/>
      <w:pPr>
        <w:tabs>
          <w:tab w:val="num" w:pos="1644"/>
        </w:tabs>
        <w:ind w:left="1644" w:hanging="1077"/>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7" w15:restartNumberingAfterBreak="0">
    <w:nsid w:val="14DE35F3"/>
    <w:multiLevelType w:val="multilevel"/>
    <w:tmpl w:val="926820C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b/>
      </w:rPr>
    </w:lvl>
    <w:lvl w:ilvl="2">
      <w:start w:val="1"/>
      <w:numFmt w:val="decimal"/>
      <w:lvlText w:val="%1.%2.%3."/>
      <w:lvlJc w:val="left"/>
      <w:pPr>
        <w:tabs>
          <w:tab w:val="num" w:pos="1920"/>
        </w:tabs>
        <w:ind w:left="1920" w:hanging="720"/>
      </w:pPr>
      <w:rPr>
        <w:rFonts w:ascii="Times New Roman" w:hAnsi="Times New Roman" w:cs="Times New Roman" w:hint="default"/>
        <w:sz w:val="24"/>
        <w:szCs w:val="24"/>
      </w:rPr>
    </w:lvl>
    <w:lvl w:ilvl="3">
      <w:start w:val="1"/>
      <w:numFmt w:val="decimal"/>
      <w:lvlText w:val="%1.%2.%3.%4."/>
      <w:lvlJc w:val="left"/>
      <w:pPr>
        <w:tabs>
          <w:tab w:val="num" w:pos="1920"/>
        </w:tabs>
        <w:ind w:left="1920" w:hanging="720"/>
      </w:pPr>
      <w:rPr>
        <w:rFonts w:ascii="Times New Roman" w:hAnsi="Times New Roman"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15C42E1D"/>
    <w:multiLevelType w:val="multilevel"/>
    <w:tmpl w:val="ACB4014A"/>
    <w:lvl w:ilvl="0">
      <w:start w:val="2"/>
      <w:numFmt w:val="decimal"/>
      <w:lvlText w:val="%1"/>
      <w:lvlJc w:val="left"/>
      <w:pPr>
        <w:ind w:left="480" w:hanging="480"/>
      </w:pPr>
      <w:rPr>
        <w:rFonts w:hint="default"/>
        <w:b w:val="0"/>
      </w:rPr>
    </w:lvl>
    <w:lvl w:ilvl="1">
      <w:start w:val="1"/>
      <w:numFmt w:val="decimal"/>
      <w:lvlText w:val="%1.%2"/>
      <w:lvlJc w:val="left"/>
      <w:pPr>
        <w:ind w:left="1080" w:hanging="480"/>
      </w:pPr>
      <w:rPr>
        <w:rFonts w:hint="default"/>
        <w:b w:val="0"/>
      </w:rPr>
    </w:lvl>
    <w:lvl w:ilvl="2">
      <w:start w:val="2"/>
      <w:numFmt w:val="decimal"/>
      <w:lvlText w:val="%1.%2.%3"/>
      <w:lvlJc w:val="left"/>
      <w:pPr>
        <w:ind w:left="1920" w:hanging="720"/>
      </w:pPr>
      <w:rPr>
        <w:rFonts w:hint="default"/>
        <w:b w:val="0"/>
      </w:rPr>
    </w:lvl>
    <w:lvl w:ilvl="3">
      <w:start w:val="1"/>
      <w:numFmt w:val="decimal"/>
      <w:lvlText w:val="%1.%2.%3.%4"/>
      <w:lvlJc w:val="left"/>
      <w:pPr>
        <w:ind w:left="2520" w:hanging="720"/>
      </w:pPr>
      <w:rPr>
        <w:rFonts w:hint="default"/>
        <w:b w:val="0"/>
      </w:rPr>
    </w:lvl>
    <w:lvl w:ilvl="4">
      <w:start w:val="1"/>
      <w:numFmt w:val="decimal"/>
      <w:lvlText w:val="%1.%2.%3.%4.%5"/>
      <w:lvlJc w:val="left"/>
      <w:pPr>
        <w:ind w:left="3480" w:hanging="1080"/>
      </w:pPr>
      <w:rPr>
        <w:rFonts w:hint="default"/>
        <w:b w:val="0"/>
      </w:rPr>
    </w:lvl>
    <w:lvl w:ilvl="5">
      <w:start w:val="1"/>
      <w:numFmt w:val="decimal"/>
      <w:lvlText w:val="%1.%2.%3.%4.%5.%6"/>
      <w:lvlJc w:val="left"/>
      <w:pPr>
        <w:ind w:left="4080" w:hanging="1080"/>
      </w:pPr>
      <w:rPr>
        <w:rFonts w:hint="default"/>
        <w:b w:val="0"/>
      </w:rPr>
    </w:lvl>
    <w:lvl w:ilvl="6">
      <w:start w:val="1"/>
      <w:numFmt w:val="decimal"/>
      <w:lvlText w:val="%1.%2.%3.%4.%5.%6.%7"/>
      <w:lvlJc w:val="left"/>
      <w:pPr>
        <w:ind w:left="5040" w:hanging="1440"/>
      </w:pPr>
      <w:rPr>
        <w:rFonts w:hint="default"/>
        <w:b w:val="0"/>
      </w:rPr>
    </w:lvl>
    <w:lvl w:ilvl="7">
      <w:start w:val="1"/>
      <w:numFmt w:val="decimal"/>
      <w:lvlText w:val="%1.%2.%3.%4.%5.%6.%7.%8"/>
      <w:lvlJc w:val="left"/>
      <w:pPr>
        <w:ind w:left="5640" w:hanging="1440"/>
      </w:pPr>
      <w:rPr>
        <w:rFonts w:hint="default"/>
        <w:b w:val="0"/>
      </w:rPr>
    </w:lvl>
    <w:lvl w:ilvl="8">
      <w:start w:val="1"/>
      <w:numFmt w:val="decimal"/>
      <w:lvlText w:val="%1.%2.%3.%4.%5.%6.%7.%8.%9"/>
      <w:lvlJc w:val="left"/>
      <w:pPr>
        <w:ind w:left="6600" w:hanging="1800"/>
      </w:pPr>
      <w:rPr>
        <w:rFonts w:hint="default"/>
        <w:b w:val="0"/>
      </w:rPr>
    </w:lvl>
  </w:abstractNum>
  <w:abstractNum w:abstractNumId="49" w15:restartNumberingAfterBreak="0">
    <w:nsid w:val="172B73A4"/>
    <w:multiLevelType w:val="hybridMultilevel"/>
    <w:tmpl w:val="59127C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15:restartNumberingAfterBreak="0">
    <w:nsid w:val="174D1A7A"/>
    <w:multiLevelType w:val="multilevel"/>
    <w:tmpl w:val="F4FAE1AE"/>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b/>
      </w:rPr>
    </w:lvl>
    <w:lvl w:ilvl="2">
      <w:start w:val="1"/>
      <w:numFmt w:val="decimal"/>
      <w:lvlText w:val="%1.%2.%3."/>
      <w:lvlJc w:val="left"/>
      <w:pPr>
        <w:tabs>
          <w:tab w:val="num" w:pos="1920"/>
        </w:tabs>
        <w:ind w:left="1920" w:hanging="720"/>
      </w:pPr>
      <w:rPr>
        <w:rFonts w:ascii="Times New Roman" w:hAnsi="Times New Roman" w:cs="Times New Roman" w:hint="default"/>
        <w:sz w:val="24"/>
        <w:szCs w:val="24"/>
      </w:rPr>
    </w:lvl>
    <w:lvl w:ilvl="3">
      <w:start w:val="1"/>
      <w:numFmt w:val="decimal"/>
      <w:lvlText w:val="%1.%2.%3.%4."/>
      <w:lvlJc w:val="left"/>
      <w:pPr>
        <w:tabs>
          <w:tab w:val="num" w:pos="1920"/>
        </w:tabs>
        <w:ind w:left="1920" w:hanging="720"/>
      </w:pPr>
      <w:rPr>
        <w:rFonts w:ascii="Times New Roman" w:hAnsi="Times New Roman"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183010F3"/>
    <w:multiLevelType w:val="singleLevel"/>
    <w:tmpl w:val="A5343BA6"/>
    <w:styleLink w:val="Style1"/>
    <w:lvl w:ilvl="0">
      <w:start w:val="1"/>
      <w:numFmt w:val="decimal"/>
      <w:lvlText w:val="%1."/>
      <w:lvlJc w:val="left"/>
      <w:pPr>
        <w:tabs>
          <w:tab w:val="num" w:pos="360"/>
        </w:tabs>
        <w:ind w:left="360" w:hanging="360"/>
      </w:pPr>
    </w:lvl>
  </w:abstractNum>
  <w:abstractNum w:abstractNumId="52" w15:restartNumberingAfterBreak="0">
    <w:nsid w:val="18AD68A1"/>
    <w:multiLevelType w:val="multilevel"/>
    <w:tmpl w:val="F4FAE1AE"/>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b/>
      </w:rPr>
    </w:lvl>
    <w:lvl w:ilvl="2">
      <w:start w:val="1"/>
      <w:numFmt w:val="decimal"/>
      <w:lvlText w:val="%1.%2.%3."/>
      <w:lvlJc w:val="left"/>
      <w:pPr>
        <w:tabs>
          <w:tab w:val="num" w:pos="1920"/>
        </w:tabs>
        <w:ind w:left="1920" w:hanging="720"/>
      </w:pPr>
      <w:rPr>
        <w:rFonts w:ascii="Times New Roman" w:hAnsi="Times New Roman" w:cs="Times New Roman" w:hint="default"/>
        <w:sz w:val="24"/>
        <w:szCs w:val="24"/>
      </w:rPr>
    </w:lvl>
    <w:lvl w:ilvl="3">
      <w:start w:val="1"/>
      <w:numFmt w:val="decimal"/>
      <w:lvlText w:val="%1.%2.%3.%4."/>
      <w:lvlJc w:val="left"/>
      <w:pPr>
        <w:tabs>
          <w:tab w:val="num" w:pos="1920"/>
        </w:tabs>
        <w:ind w:left="1920" w:hanging="720"/>
      </w:pPr>
      <w:rPr>
        <w:rFonts w:ascii="Times New Roman" w:hAnsi="Times New Roman"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18CC726F"/>
    <w:multiLevelType w:val="hybridMultilevel"/>
    <w:tmpl w:val="97843C50"/>
    <w:lvl w:ilvl="0" w:tplc="4DFAEA40">
      <w:numFmt w:val="bullet"/>
      <w:lvlText w:val="-"/>
      <w:lvlJc w:val="left"/>
      <w:pPr>
        <w:ind w:left="360" w:hanging="360"/>
      </w:pPr>
      <w:rPr>
        <w:rFonts w:ascii="Times New Roman" w:eastAsia="Times New Roman" w:hAnsi="Times New Roman" w:cs="Times New Roman"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4" w15:restartNumberingAfterBreak="0">
    <w:nsid w:val="18DE232C"/>
    <w:multiLevelType w:val="hybridMultilevel"/>
    <w:tmpl w:val="F54E5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90B72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19865AE1"/>
    <w:multiLevelType w:val="multilevel"/>
    <w:tmpl w:val="816EC836"/>
    <w:lvl w:ilvl="0">
      <w:start w:val="1"/>
      <w:numFmt w:val="decimal"/>
      <w:lvlText w:val="%1."/>
      <w:lvlJc w:val="left"/>
      <w:pPr>
        <w:tabs>
          <w:tab w:val="num" w:pos="680"/>
        </w:tabs>
        <w:ind w:left="680" w:hanging="340"/>
      </w:pPr>
      <w:rPr>
        <w:rFonts w:hint="default"/>
        <w:color w:val="auto"/>
      </w:rPr>
    </w:lvl>
    <w:lvl w:ilvl="1">
      <w:start w:val="1"/>
      <w:numFmt w:val="lowerLetter"/>
      <w:lvlText w:val="%2)"/>
      <w:lvlJc w:val="left"/>
      <w:pPr>
        <w:tabs>
          <w:tab w:val="num" w:pos="1021"/>
        </w:tabs>
        <w:ind w:left="1021" w:hanging="341"/>
      </w:pPr>
      <w:rPr>
        <w:rFonts w:hint="default"/>
      </w:rPr>
    </w:lvl>
    <w:lvl w:ilvl="2">
      <w:start w:val="1"/>
      <w:numFmt w:val="lowerRoman"/>
      <w:lvlText w:val="%3."/>
      <w:lvlJc w:val="left"/>
      <w:pPr>
        <w:tabs>
          <w:tab w:val="num" w:pos="1361"/>
        </w:tabs>
        <w:ind w:left="1361" w:hanging="340"/>
      </w:pPr>
      <w:rPr>
        <w:rFonts w:hint="default"/>
      </w:rPr>
    </w:lvl>
    <w:lvl w:ilvl="3">
      <w:start w:val="1"/>
      <w:numFmt w:val="none"/>
      <w:lvlText w:val=""/>
      <w:lvlJc w:val="left"/>
      <w:pPr>
        <w:tabs>
          <w:tab w:val="num" w:pos="1361"/>
        </w:tabs>
        <w:ind w:left="1361" w:firstLine="0"/>
      </w:pPr>
      <w:rPr>
        <w:rFonts w:hint="default"/>
      </w:rPr>
    </w:lvl>
    <w:lvl w:ilvl="4">
      <w:start w:val="1"/>
      <w:numFmt w:val="none"/>
      <w:lvlText w:val=""/>
      <w:lvlJc w:val="left"/>
      <w:pPr>
        <w:tabs>
          <w:tab w:val="num" w:pos="1361"/>
        </w:tabs>
        <w:ind w:left="1361" w:firstLine="0"/>
      </w:pPr>
      <w:rPr>
        <w:rFonts w:hint="default"/>
      </w:rPr>
    </w:lvl>
    <w:lvl w:ilvl="5">
      <w:start w:val="1"/>
      <w:numFmt w:val="none"/>
      <w:lvlText w:val=""/>
      <w:lvlJc w:val="left"/>
      <w:pPr>
        <w:tabs>
          <w:tab w:val="num" w:pos="1361"/>
        </w:tabs>
        <w:ind w:left="1361" w:firstLine="0"/>
      </w:pPr>
      <w:rPr>
        <w:rFonts w:hint="default"/>
      </w:rPr>
    </w:lvl>
    <w:lvl w:ilvl="6">
      <w:start w:val="1"/>
      <w:numFmt w:val="none"/>
      <w:lvlText w:val=""/>
      <w:lvlJc w:val="left"/>
      <w:pPr>
        <w:tabs>
          <w:tab w:val="num" w:pos="1361"/>
        </w:tabs>
        <w:ind w:left="1361" w:firstLine="0"/>
      </w:pPr>
      <w:rPr>
        <w:rFonts w:hint="default"/>
      </w:rPr>
    </w:lvl>
    <w:lvl w:ilvl="7">
      <w:start w:val="1"/>
      <w:numFmt w:val="none"/>
      <w:lvlText w:val=""/>
      <w:lvlJc w:val="left"/>
      <w:pPr>
        <w:tabs>
          <w:tab w:val="num" w:pos="1361"/>
        </w:tabs>
        <w:ind w:left="1361" w:firstLine="0"/>
      </w:pPr>
      <w:rPr>
        <w:rFonts w:hint="default"/>
      </w:rPr>
    </w:lvl>
    <w:lvl w:ilvl="8">
      <w:start w:val="1"/>
      <w:numFmt w:val="none"/>
      <w:lvlText w:val=""/>
      <w:lvlJc w:val="left"/>
      <w:pPr>
        <w:tabs>
          <w:tab w:val="num" w:pos="1361"/>
        </w:tabs>
        <w:ind w:left="1361" w:firstLine="0"/>
      </w:pPr>
      <w:rPr>
        <w:rFonts w:hint="default"/>
      </w:rPr>
    </w:lvl>
  </w:abstractNum>
  <w:abstractNum w:abstractNumId="57" w15:restartNumberingAfterBreak="0">
    <w:nsid w:val="19B159AB"/>
    <w:multiLevelType w:val="multilevel"/>
    <w:tmpl w:val="764CCCC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b/>
      </w:rPr>
    </w:lvl>
    <w:lvl w:ilvl="2">
      <w:start w:val="1"/>
      <w:numFmt w:val="decimal"/>
      <w:lvlText w:val="%1.%2.%3."/>
      <w:lvlJc w:val="left"/>
      <w:pPr>
        <w:tabs>
          <w:tab w:val="num" w:pos="1920"/>
        </w:tabs>
        <w:ind w:left="1920" w:hanging="720"/>
      </w:pPr>
      <w:rPr>
        <w:rFonts w:ascii="Times New Roman" w:hAnsi="Times New Roman" w:cs="Times New Roman" w:hint="default"/>
        <w:sz w:val="24"/>
        <w:szCs w:val="24"/>
      </w:rPr>
    </w:lvl>
    <w:lvl w:ilvl="3">
      <w:start w:val="1"/>
      <w:numFmt w:val="decimal"/>
      <w:lvlText w:val="%1.%2.%3.%4."/>
      <w:lvlJc w:val="left"/>
      <w:pPr>
        <w:tabs>
          <w:tab w:val="num" w:pos="1920"/>
        </w:tabs>
        <w:ind w:left="1920" w:hanging="720"/>
      </w:pPr>
      <w:rPr>
        <w:rFonts w:ascii="Times New Roman" w:hAnsi="Times New Roman"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15:restartNumberingAfterBreak="0">
    <w:nsid w:val="1AD80DFB"/>
    <w:multiLevelType w:val="multilevel"/>
    <w:tmpl w:val="0809001D"/>
    <w:styleLink w:val="NumbListFigu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1B6C3EB6"/>
    <w:multiLevelType w:val="multilevel"/>
    <w:tmpl w:val="926820C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b/>
      </w:rPr>
    </w:lvl>
    <w:lvl w:ilvl="2">
      <w:start w:val="1"/>
      <w:numFmt w:val="decimal"/>
      <w:lvlText w:val="%1.%2.%3."/>
      <w:lvlJc w:val="left"/>
      <w:pPr>
        <w:tabs>
          <w:tab w:val="num" w:pos="1920"/>
        </w:tabs>
        <w:ind w:left="1920" w:hanging="720"/>
      </w:pPr>
      <w:rPr>
        <w:rFonts w:ascii="Times New Roman" w:hAnsi="Times New Roman" w:cs="Times New Roman" w:hint="default"/>
        <w:sz w:val="24"/>
        <w:szCs w:val="24"/>
      </w:rPr>
    </w:lvl>
    <w:lvl w:ilvl="3">
      <w:start w:val="1"/>
      <w:numFmt w:val="decimal"/>
      <w:lvlText w:val="%1.%2.%3.%4."/>
      <w:lvlJc w:val="left"/>
      <w:pPr>
        <w:tabs>
          <w:tab w:val="num" w:pos="1920"/>
        </w:tabs>
        <w:ind w:left="1920" w:hanging="720"/>
      </w:pPr>
      <w:rPr>
        <w:rFonts w:ascii="Times New Roman" w:hAnsi="Times New Roman"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15:restartNumberingAfterBreak="0">
    <w:nsid w:val="1C07739B"/>
    <w:multiLevelType w:val="multilevel"/>
    <w:tmpl w:val="56C419E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1" w15:restartNumberingAfterBreak="0">
    <w:nsid w:val="1C09484D"/>
    <w:multiLevelType w:val="hybridMultilevel"/>
    <w:tmpl w:val="F01E44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15:restartNumberingAfterBreak="0">
    <w:nsid w:val="1C6A3A11"/>
    <w:multiLevelType w:val="multilevel"/>
    <w:tmpl w:val="71D0A84A"/>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1D1D19BF"/>
    <w:multiLevelType w:val="multilevel"/>
    <w:tmpl w:val="26A84794"/>
    <w:lvl w:ilvl="0">
      <w:start w:val="2"/>
      <w:numFmt w:val="decimal"/>
      <w:lvlText w:val="%1."/>
      <w:lvlJc w:val="left"/>
      <w:pPr>
        <w:ind w:left="585" w:hanging="585"/>
      </w:pPr>
      <w:rPr>
        <w:rFonts w:ascii="Verdana" w:hAnsi="Verdana" w:cstheme="minorBidi" w:hint="default"/>
        <w:sz w:val="20"/>
      </w:rPr>
    </w:lvl>
    <w:lvl w:ilvl="1">
      <w:start w:val="1"/>
      <w:numFmt w:val="decimal"/>
      <w:lvlText w:val="%1.%2."/>
      <w:lvlJc w:val="left"/>
      <w:pPr>
        <w:ind w:left="1185" w:hanging="585"/>
      </w:pPr>
      <w:rPr>
        <w:rFonts w:ascii="Verdana" w:hAnsi="Verdana" w:cstheme="minorBidi" w:hint="default"/>
        <w:sz w:val="20"/>
      </w:rPr>
    </w:lvl>
    <w:lvl w:ilvl="2">
      <w:start w:val="3"/>
      <w:numFmt w:val="decimal"/>
      <w:lvlText w:val="%1.%2.%3."/>
      <w:lvlJc w:val="left"/>
      <w:pPr>
        <w:ind w:left="1920" w:hanging="720"/>
      </w:pPr>
      <w:rPr>
        <w:rFonts w:ascii="Verdana" w:hAnsi="Verdana" w:cstheme="minorBidi" w:hint="default"/>
        <w:sz w:val="20"/>
      </w:rPr>
    </w:lvl>
    <w:lvl w:ilvl="3">
      <w:start w:val="1"/>
      <w:numFmt w:val="decimal"/>
      <w:lvlText w:val="%1.%2.%3.%4."/>
      <w:lvlJc w:val="left"/>
      <w:pPr>
        <w:ind w:left="2520" w:hanging="720"/>
      </w:pPr>
      <w:rPr>
        <w:rFonts w:ascii="Verdana" w:hAnsi="Verdana" w:cstheme="minorBidi" w:hint="default"/>
        <w:sz w:val="20"/>
      </w:rPr>
    </w:lvl>
    <w:lvl w:ilvl="4">
      <w:start w:val="1"/>
      <w:numFmt w:val="decimal"/>
      <w:lvlText w:val="%1.%2.%3.%4.%5."/>
      <w:lvlJc w:val="left"/>
      <w:pPr>
        <w:ind w:left="3480" w:hanging="1080"/>
      </w:pPr>
      <w:rPr>
        <w:rFonts w:ascii="Verdana" w:hAnsi="Verdana" w:cstheme="minorBidi" w:hint="default"/>
        <w:sz w:val="20"/>
      </w:rPr>
    </w:lvl>
    <w:lvl w:ilvl="5">
      <w:start w:val="1"/>
      <w:numFmt w:val="decimal"/>
      <w:lvlText w:val="%1.%2.%3.%4.%5.%6."/>
      <w:lvlJc w:val="left"/>
      <w:pPr>
        <w:ind w:left="4080" w:hanging="1080"/>
      </w:pPr>
      <w:rPr>
        <w:rFonts w:ascii="Verdana" w:hAnsi="Verdana" w:cstheme="minorBidi" w:hint="default"/>
        <w:sz w:val="20"/>
      </w:rPr>
    </w:lvl>
    <w:lvl w:ilvl="6">
      <w:start w:val="1"/>
      <w:numFmt w:val="decimal"/>
      <w:lvlText w:val="%1.%2.%3.%4.%5.%6.%7."/>
      <w:lvlJc w:val="left"/>
      <w:pPr>
        <w:ind w:left="5040" w:hanging="1440"/>
      </w:pPr>
      <w:rPr>
        <w:rFonts w:ascii="Verdana" w:hAnsi="Verdana" w:cstheme="minorBidi" w:hint="default"/>
        <w:sz w:val="20"/>
      </w:rPr>
    </w:lvl>
    <w:lvl w:ilvl="7">
      <w:start w:val="1"/>
      <w:numFmt w:val="decimal"/>
      <w:lvlText w:val="%1.%2.%3.%4.%5.%6.%7.%8."/>
      <w:lvlJc w:val="left"/>
      <w:pPr>
        <w:ind w:left="5640" w:hanging="1440"/>
      </w:pPr>
      <w:rPr>
        <w:rFonts w:ascii="Verdana" w:hAnsi="Verdana" w:cstheme="minorBidi" w:hint="default"/>
        <w:sz w:val="20"/>
      </w:rPr>
    </w:lvl>
    <w:lvl w:ilvl="8">
      <w:start w:val="1"/>
      <w:numFmt w:val="decimal"/>
      <w:lvlText w:val="%1.%2.%3.%4.%5.%6.%7.%8.%9."/>
      <w:lvlJc w:val="left"/>
      <w:pPr>
        <w:ind w:left="6600" w:hanging="1800"/>
      </w:pPr>
      <w:rPr>
        <w:rFonts w:ascii="Verdana" w:hAnsi="Verdana" w:cstheme="minorBidi" w:hint="default"/>
        <w:sz w:val="20"/>
      </w:rPr>
    </w:lvl>
  </w:abstractNum>
  <w:abstractNum w:abstractNumId="64" w15:restartNumberingAfterBreak="0">
    <w:nsid w:val="1DE3542C"/>
    <w:multiLevelType w:val="multilevel"/>
    <w:tmpl w:val="846C9A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65" w15:restartNumberingAfterBreak="0">
    <w:nsid w:val="1E0E2AB3"/>
    <w:multiLevelType w:val="multilevel"/>
    <w:tmpl w:val="A5342A4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680" w:hanging="720"/>
      </w:pPr>
      <w:rPr>
        <w:rFonts w:ascii="Times New Roman" w:hAnsi="Times New Roman" w:cs="Times New Roman" w:hint="default"/>
        <w:sz w:val="24"/>
      </w:rPr>
    </w:lvl>
    <w:lvl w:ilvl="3">
      <w:start w:val="1"/>
      <w:numFmt w:val="none"/>
      <w:lvlText w:val="6.2.1.1."/>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66" w15:restartNumberingAfterBreak="0">
    <w:nsid w:val="1E7117AF"/>
    <w:multiLevelType w:val="multilevel"/>
    <w:tmpl w:val="DE26E144"/>
    <w:styleLink w:val="NumbLstTable"/>
    <w:lvl w:ilvl="0">
      <w:start w:val="1"/>
      <w:numFmt w:val="decimal"/>
      <w:lvlText w:val="%1."/>
      <w:lvlJc w:val="left"/>
      <w:pPr>
        <w:tabs>
          <w:tab w:val="num" w:pos="454"/>
        </w:tabs>
        <w:ind w:left="454" w:hanging="341"/>
      </w:pPr>
      <w:rPr>
        <w:rFonts w:hint="default"/>
      </w:rPr>
    </w:lvl>
    <w:lvl w:ilvl="1">
      <w:start w:val="1"/>
      <w:numFmt w:val="bullet"/>
      <w:lvlText w:val=""/>
      <w:lvlJc w:val="left"/>
      <w:pPr>
        <w:tabs>
          <w:tab w:val="num" w:pos="454"/>
        </w:tabs>
        <w:ind w:left="454" w:hanging="341"/>
      </w:pPr>
      <w:rPr>
        <w:rFonts w:ascii="Wingdings" w:hAnsi="Wingdings" w:hint="default"/>
        <w:color w:val="002395"/>
      </w:rPr>
    </w:lvl>
    <w:lvl w:ilvl="2">
      <w:start w:val="1"/>
      <w:numFmt w:val="lowerLetter"/>
      <w:lvlText w:val="%3)"/>
      <w:lvlJc w:val="left"/>
      <w:pPr>
        <w:tabs>
          <w:tab w:val="num" w:pos="794"/>
        </w:tabs>
        <w:ind w:left="794" w:hanging="340"/>
      </w:pPr>
      <w:rPr>
        <w:rFonts w:hint="default"/>
      </w:rPr>
    </w:lvl>
    <w:lvl w:ilvl="3">
      <w:start w:val="1"/>
      <w:numFmt w:val="bullet"/>
      <w:lvlText w:val="–"/>
      <w:lvlJc w:val="left"/>
      <w:pPr>
        <w:tabs>
          <w:tab w:val="num" w:pos="794"/>
        </w:tabs>
        <w:ind w:left="794" w:hanging="340"/>
      </w:pPr>
      <w:rPr>
        <w:rFonts w:ascii="Arial" w:hAnsi="Arial" w:hint="default"/>
        <w:color w:val="0067AC"/>
      </w:rPr>
    </w:lvl>
    <w:lvl w:ilvl="4">
      <w:start w:val="1"/>
      <w:numFmt w:val="lowerRoman"/>
      <w:lvlText w:val="%5."/>
      <w:lvlJc w:val="left"/>
      <w:pPr>
        <w:tabs>
          <w:tab w:val="num" w:pos="1134"/>
        </w:tabs>
        <w:ind w:left="1134" w:hanging="340"/>
      </w:pPr>
      <w:rPr>
        <w:rFonts w:hint="default"/>
      </w:rPr>
    </w:lvl>
    <w:lvl w:ilvl="5">
      <w:start w:val="1"/>
      <w:numFmt w:val="bullet"/>
      <w:lvlText w:val="○"/>
      <w:lvlJc w:val="left"/>
      <w:pPr>
        <w:tabs>
          <w:tab w:val="num" w:pos="1134"/>
        </w:tabs>
        <w:ind w:left="1134" w:hanging="340"/>
      </w:pPr>
      <w:rPr>
        <w:rFonts w:ascii="Arial" w:hAnsi="Arial" w:hint="default"/>
        <w:color w:val="0067AC"/>
      </w:rPr>
    </w:lvl>
    <w:lvl w:ilvl="6">
      <w:start w:val="1"/>
      <w:numFmt w:val="none"/>
      <w:lvlText w:val=""/>
      <w:lvlJc w:val="left"/>
      <w:pPr>
        <w:tabs>
          <w:tab w:val="num" w:pos="1134"/>
        </w:tabs>
        <w:ind w:left="1134" w:firstLine="0"/>
      </w:pPr>
      <w:rPr>
        <w:rFonts w:hint="default"/>
      </w:rPr>
    </w:lvl>
    <w:lvl w:ilvl="7">
      <w:start w:val="1"/>
      <w:numFmt w:val="none"/>
      <w:lvlText w:val=""/>
      <w:lvlJc w:val="left"/>
      <w:pPr>
        <w:tabs>
          <w:tab w:val="num" w:pos="1134"/>
        </w:tabs>
        <w:ind w:left="1134" w:firstLine="0"/>
      </w:pPr>
      <w:rPr>
        <w:rFonts w:hint="default"/>
      </w:rPr>
    </w:lvl>
    <w:lvl w:ilvl="8">
      <w:start w:val="1"/>
      <w:numFmt w:val="none"/>
      <w:lvlText w:val=""/>
      <w:lvlJc w:val="left"/>
      <w:pPr>
        <w:tabs>
          <w:tab w:val="num" w:pos="1134"/>
        </w:tabs>
        <w:ind w:left="1134" w:firstLine="0"/>
      </w:pPr>
      <w:rPr>
        <w:rFonts w:hint="default"/>
      </w:rPr>
    </w:lvl>
  </w:abstractNum>
  <w:abstractNum w:abstractNumId="67" w15:restartNumberingAfterBreak="0">
    <w:nsid w:val="1ED167F7"/>
    <w:multiLevelType w:val="multilevel"/>
    <w:tmpl w:val="9E34BB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15:restartNumberingAfterBreak="0">
    <w:nsid w:val="1F734306"/>
    <w:multiLevelType w:val="multilevel"/>
    <w:tmpl w:val="5B40FCB2"/>
    <w:lvl w:ilvl="0">
      <w:start w:val="1"/>
      <w:numFmt w:val="decimal"/>
      <w:lvlText w:val="%1."/>
      <w:lvlJc w:val="left"/>
      <w:pPr>
        <w:tabs>
          <w:tab w:val="num" w:pos="480"/>
        </w:tabs>
        <w:ind w:left="480" w:hanging="480"/>
      </w:pPr>
      <w:rPr>
        <w:rFonts w:hint="default"/>
      </w:rPr>
    </w:lvl>
    <w:lvl w:ilvl="1">
      <w:start w:val="1"/>
      <w:numFmt w:val="decimal"/>
      <w:lvlText w:val="3.%2."/>
      <w:lvlJc w:val="left"/>
      <w:pPr>
        <w:tabs>
          <w:tab w:val="num" w:pos="1713"/>
        </w:tabs>
        <w:ind w:left="1713" w:hanging="720"/>
      </w:pPr>
      <w:rPr>
        <w:rFonts w:hint="default"/>
        <w:b/>
      </w:rPr>
    </w:lvl>
    <w:lvl w:ilvl="2">
      <w:start w:val="1"/>
      <w:numFmt w:val="decimal"/>
      <w:lvlText w:val="2.%2.%3."/>
      <w:lvlJc w:val="left"/>
      <w:pPr>
        <w:tabs>
          <w:tab w:val="num" w:pos="1920"/>
        </w:tabs>
        <w:ind w:left="1920" w:hanging="720"/>
      </w:pPr>
      <w:rPr>
        <w:rFonts w:ascii="Times New Roman" w:hAnsi="Times New Roman" w:cs="Times New Roman" w:hint="default"/>
        <w:b w:val="0"/>
        <w:sz w:val="24"/>
        <w:szCs w:val="24"/>
      </w:rPr>
    </w:lvl>
    <w:lvl w:ilvl="3">
      <w:start w:val="1"/>
      <w:numFmt w:val="decimal"/>
      <w:lvlText w:val="%1.%2.%3.%4."/>
      <w:lvlJc w:val="left"/>
      <w:pPr>
        <w:tabs>
          <w:tab w:val="num" w:pos="2138"/>
        </w:tabs>
        <w:ind w:left="2138" w:hanging="720"/>
      </w:pPr>
      <w:rPr>
        <w:rFonts w:ascii="Times New Roman" w:hAnsi="Times New Roman"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15:restartNumberingAfterBreak="0">
    <w:nsid w:val="213056DA"/>
    <w:multiLevelType w:val="multilevel"/>
    <w:tmpl w:val="C7D022EA"/>
    <w:styleLink w:val="NumbLstBoxes"/>
    <w:lvl w:ilvl="0">
      <w:start w:val="1"/>
      <w:numFmt w:val="decimal"/>
      <w:pStyle w:val="CaseStudy"/>
      <w:suff w:val="space"/>
      <w:lvlText w:val="Case Study %1"/>
      <w:lvlJc w:val="left"/>
      <w:pPr>
        <w:ind w:left="57" w:firstLine="0"/>
      </w:pPr>
      <w:rPr>
        <w:rFonts w:hint="default"/>
      </w:rPr>
    </w:lvl>
    <w:lvl w:ilvl="1">
      <w:start w:val="1"/>
      <w:numFmt w:val="decimal"/>
      <w:lvlRestart w:val="0"/>
      <w:pStyle w:val="Evidence"/>
      <w:suff w:val="space"/>
      <w:lvlText w:val="Evidence %2"/>
      <w:lvlJc w:val="left"/>
      <w:pPr>
        <w:ind w:left="57" w:firstLine="0"/>
      </w:pPr>
      <w:rPr>
        <w:rFonts w:hint="default"/>
      </w:rPr>
    </w:lvl>
    <w:lvl w:ilvl="2">
      <w:start w:val="1"/>
      <w:numFmt w:val="decimal"/>
      <w:lvlRestart w:val="0"/>
      <w:pStyle w:val="Conclusion"/>
      <w:suff w:val="space"/>
      <w:lvlText w:val="Conclusion %3"/>
      <w:lvlJc w:val="left"/>
      <w:pPr>
        <w:ind w:left="57" w:firstLine="0"/>
      </w:pPr>
      <w:rPr>
        <w:rFonts w:hint="default"/>
      </w:rPr>
    </w:lvl>
    <w:lvl w:ilvl="3">
      <w:start w:val="1"/>
      <w:numFmt w:val="decimal"/>
      <w:lvlRestart w:val="0"/>
      <w:pStyle w:val="Recommendation"/>
      <w:suff w:val="space"/>
      <w:lvlText w:val="Recommendation %4"/>
      <w:lvlJc w:val="left"/>
      <w:pPr>
        <w:ind w:left="57" w:firstLine="0"/>
      </w:pPr>
      <w:rPr>
        <w:rFonts w:hint="default"/>
        <w:b/>
        <w:i w:val="0"/>
        <w:color w:val="4F81BD" w:themeColor="accent1"/>
        <w:sz w:val="22"/>
      </w:rPr>
    </w:lvl>
    <w:lvl w:ilvl="4">
      <w:start w:val="1"/>
      <w:numFmt w:val="decimal"/>
      <w:lvlRestart w:val="0"/>
      <w:pStyle w:val="BoxNumb"/>
      <w:suff w:val="space"/>
      <w:lvlText w:val="Box %5"/>
      <w:lvlJc w:val="left"/>
      <w:pPr>
        <w:ind w:left="57" w:firstLine="0"/>
      </w:pPr>
      <w:rPr>
        <w:rFonts w:hint="default"/>
        <w:color w:val="4F81BD" w:themeColor="accent1"/>
      </w:rPr>
    </w:lvl>
    <w:lvl w:ilvl="5">
      <w:start w:val="1"/>
      <w:numFmt w:val="none"/>
      <w:lvlRestart w:val="3"/>
      <w:lvlText w:val=""/>
      <w:lvlJc w:val="left"/>
      <w:pPr>
        <w:tabs>
          <w:tab w:val="num" w:pos="851"/>
        </w:tabs>
        <w:ind w:left="57" w:firstLine="0"/>
      </w:pPr>
      <w:rPr>
        <w:rFonts w:ascii="Georgia" w:hAnsi="Georgia" w:hint="default"/>
        <w:color w:val="336633"/>
      </w:rPr>
    </w:lvl>
    <w:lvl w:ilvl="6">
      <w:start w:val="1"/>
      <w:numFmt w:val="none"/>
      <w:lvlRestart w:val="5"/>
      <w:suff w:val="nothing"/>
      <w:lvlText w:val=""/>
      <w:lvlJc w:val="left"/>
      <w:pPr>
        <w:ind w:left="57" w:firstLine="0"/>
      </w:pPr>
      <w:rPr>
        <w:rFonts w:hint="default"/>
      </w:rPr>
    </w:lvl>
    <w:lvl w:ilvl="7">
      <w:start w:val="1"/>
      <w:numFmt w:val="none"/>
      <w:lvlRestart w:val="0"/>
      <w:suff w:val="nothing"/>
      <w:lvlText w:val=""/>
      <w:lvlJc w:val="left"/>
      <w:pPr>
        <w:ind w:left="57" w:firstLine="0"/>
      </w:pPr>
      <w:rPr>
        <w:rFonts w:hint="default"/>
        <w:color w:val="auto"/>
      </w:rPr>
    </w:lvl>
    <w:lvl w:ilvl="8">
      <w:start w:val="1"/>
      <w:numFmt w:val="none"/>
      <w:suff w:val="nothing"/>
      <w:lvlText w:val=""/>
      <w:lvlJc w:val="left"/>
      <w:pPr>
        <w:ind w:left="57" w:firstLine="0"/>
      </w:pPr>
      <w:rPr>
        <w:rFonts w:ascii="Georgia" w:hAnsi="Georgia" w:hint="default"/>
        <w:color w:val="1F497D" w:themeColor="text2"/>
      </w:rPr>
    </w:lvl>
  </w:abstractNum>
  <w:abstractNum w:abstractNumId="70" w15:restartNumberingAfterBreak="0">
    <w:nsid w:val="213F1A53"/>
    <w:multiLevelType w:val="multilevel"/>
    <w:tmpl w:val="A5342A4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680" w:hanging="720"/>
      </w:pPr>
      <w:rPr>
        <w:rFonts w:ascii="Times New Roman" w:hAnsi="Times New Roman" w:cs="Times New Roman" w:hint="default"/>
        <w:sz w:val="24"/>
      </w:rPr>
    </w:lvl>
    <w:lvl w:ilvl="3">
      <w:start w:val="1"/>
      <w:numFmt w:val="none"/>
      <w:lvlText w:val="6.2.1.1."/>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71" w15:restartNumberingAfterBreak="0">
    <w:nsid w:val="223E50BF"/>
    <w:multiLevelType w:val="hybridMultilevel"/>
    <w:tmpl w:val="FC644660"/>
    <w:lvl w:ilvl="0" w:tplc="AB02D9EE">
      <w:start w:val="1"/>
      <w:numFmt w:val="lowerLetter"/>
      <w:lvlText w:val="%1)"/>
      <w:lvlJc w:val="left"/>
      <w:pPr>
        <w:ind w:left="473" w:hanging="360"/>
      </w:pPr>
    </w:lvl>
    <w:lvl w:ilvl="1" w:tplc="04090019">
      <w:start w:val="1"/>
      <w:numFmt w:val="lowerLetter"/>
      <w:lvlText w:val="%2."/>
      <w:lvlJc w:val="left"/>
      <w:pPr>
        <w:ind w:left="1193" w:hanging="360"/>
      </w:pPr>
    </w:lvl>
    <w:lvl w:ilvl="2" w:tplc="0409001B">
      <w:start w:val="1"/>
      <w:numFmt w:val="lowerRoman"/>
      <w:lvlText w:val="%3."/>
      <w:lvlJc w:val="right"/>
      <w:pPr>
        <w:ind w:left="1913" w:hanging="180"/>
      </w:pPr>
    </w:lvl>
    <w:lvl w:ilvl="3" w:tplc="0409000F">
      <w:start w:val="1"/>
      <w:numFmt w:val="decimal"/>
      <w:lvlText w:val="%4."/>
      <w:lvlJc w:val="left"/>
      <w:pPr>
        <w:ind w:left="2633" w:hanging="360"/>
      </w:pPr>
    </w:lvl>
    <w:lvl w:ilvl="4" w:tplc="04090019">
      <w:start w:val="1"/>
      <w:numFmt w:val="lowerLetter"/>
      <w:lvlText w:val="%5."/>
      <w:lvlJc w:val="left"/>
      <w:pPr>
        <w:ind w:left="3353" w:hanging="360"/>
      </w:pPr>
    </w:lvl>
    <w:lvl w:ilvl="5" w:tplc="0409001B">
      <w:start w:val="1"/>
      <w:numFmt w:val="lowerRoman"/>
      <w:lvlText w:val="%6."/>
      <w:lvlJc w:val="right"/>
      <w:pPr>
        <w:ind w:left="4073" w:hanging="180"/>
      </w:pPr>
    </w:lvl>
    <w:lvl w:ilvl="6" w:tplc="0409000F">
      <w:start w:val="1"/>
      <w:numFmt w:val="decimal"/>
      <w:lvlText w:val="%7."/>
      <w:lvlJc w:val="left"/>
      <w:pPr>
        <w:ind w:left="4793" w:hanging="360"/>
      </w:pPr>
    </w:lvl>
    <w:lvl w:ilvl="7" w:tplc="04090019">
      <w:start w:val="1"/>
      <w:numFmt w:val="lowerLetter"/>
      <w:lvlText w:val="%8."/>
      <w:lvlJc w:val="left"/>
      <w:pPr>
        <w:ind w:left="5513" w:hanging="360"/>
      </w:pPr>
    </w:lvl>
    <w:lvl w:ilvl="8" w:tplc="0409001B">
      <w:start w:val="1"/>
      <w:numFmt w:val="lowerRoman"/>
      <w:lvlText w:val="%9."/>
      <w:lvlJc w:val="right"/>
      <w:pPr>
        <w:ind w:left="6233" w:hanging="180"/>
      </w:pPr>
    </w:lvl>
  </w:abstractNum>
  <w:abstractNum w:abstractNumId="72" w15:restartNumberingAfterBreak="0">
    <w:nsid w:val="2277710D"/>
    <w:multiLevelType w:val="multilevel"/>
    <w:tmpl w:val="56C419E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73" w15:restartNumberingAfterBreak="0">
    <w:nsid w:val="22A007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233C77CD"/>
    <w:multiLevelType w:val="multilevel"/>
    <w:tmpl w:val="EFA2AC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237B4BFB"/>
    <w:multiLevelType w:val="multilevel"/>
    <w:tmpl w:val="F4FAE1AE"/>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b/>
      </w:rPr>
    </w:lvl>
    <w:lvl w:ilvl="2">
      <w:start w:val="1"/>
      <w:numFmt w:val="decimal"/>
      <w:lvlText w:val="%1.%2.%3."/>
      <w:lvlJc w:val="left"/>
      <w:pPr>
        <w:tabs>
          <w:tab w:val="num" w:pos="1920"/>
        </w:tabs>
        <w:ind w:left="1920" w:hanging="720"/>
      </w:pPr>
      <w:rPr>
        <w:rFonts w:ascii="Times New Roman" w:hAnsi="Times New Roman" w:cs="Times New Roman" w:hint="default"/>
        <w:sz w:val="24"/>
        <w:szCs w:val="24"/>
      </w:rPr>
    </w:lvl>
    <w:lvl w:ilvl="3">
      <w:start w:val="1"/>
      <w:numFmt w:val="decimal"/>
      <w:lvlText w:val="%1.%2.%3.%4."/>
      <w:lvlJc w:val="left"/>
      <w:pPr>
        <w:tabs>
          <w:tab w:val="num" w:pos="1920"/>
        </w:tabs>
        <w:ind w:left="1920" w:hanging="720"/>
      </w:pPr>
      <w:rPr>
        <w:rFonts w:ascii="Times New Roman" w:hAnsi="Times New Roman"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6" w15:restartNumberingAfterBreak="0">
    <w:nsid w:val="23861600"/>
    <w:multiLevelType w:val="hybridMultilevel"/>
    <w:tmpl w:val="6D50FCFC"/>
    <w:lvl w:ilvl="0" w:tplc="08090001">
      <w:start w:val="1"/>
      <w:numFmt w:val="bullet"/>
      <w:lvlText w:val=""/>
      <w:lvlJc w:val="left"/>
      <w:pPr>
        <w:ind w:left="833" w:hanging="360"/>
      </w:pPr>
      <w:rPr>
        <w:rFonts w:ascii="Symbol" w:hAnsi="Symbol" w:hint="default"/>
      </w:rPr>
    </w:lvl>
    <w:lvl w:ilvl="1" w:tplc="08090003">
      <w:start w:val="1"/>
      <w:numFmt w:val="bullet"/>
      <w:lvlText w:val="o"/>
      <w:lvlJc w:val="left"/>
      <w:pPr>
        <w:ind w:left="1553" w:hanging="360"/>
      </w:pPr>
      <w:rPr>
        <w:rFonts w:ascii="Courier New" w:hAnsi="Courier New" w:cs="Courier New" w:hint="default"/>
      </w:rPr>
    </w:lvl>
    <w:lvl w:ilvl="2" w:tplc="08090005">
      <w:start w:val="1"/>
      <w:numFmt w:val="bullet"/>
      <w:lvlText w:val=""/>
      <w:lvlJc w:val="left"/>
      <w:pPr>
        <w:ind w:left="2273" w:hanging="360"/>
      </w:pPr>
      <w:rPr>
        <w:rFonts w:ascii="Wingdings" w:hAnsi="Wingdings" w:hint="default"/>
      </w:rPr>
    </w:lvl>
    <w:lvl w:ilvl="3" w:tplc="08090001">
      <w:start w:val="1"/>
      <w:numFmt w:val="bullet"/>
      <w:lvlText w:val=""/>
      <w:lvlJc w:val="left"/>
      <w:pPr>
        <w:ind w:left="2993" w:hanging="360"/>
      </w:pPr>
      <w:rPr>
        <w:rFonts w:ascii="Symbol" w:hAnsi="Symbol" w:hint="default"/>
      </w:rPr>
    </w:lvl>
    <w:lvl w:ilvl="4" w:tplc="08090003">
      <w:start w:val="1"/>
      <w:numFmt w:val="bullet"/>
      <w:lvlText w:val="o"/>
      <w:lvlJc w:val="left"/>
      <w:pPr>
        <w:ind w:left="3713" w:hanging="360"/>
      </w:pPr>
      <w:rPr>
        <w:rFonts w:ascii="Courier New" w:hAnsi="Courier New" w:cs="Courier New" w:hint="default"/>
      </w:rPr>
    </w:lvl>
    <w:lvl w:ilvl="5" w:tplc="08090005">
      <w:start w:val="1"/>
      <w:numFmt w:val="bullet"/>
      <w:lvlText w:val=""/>
      <w:lvlJc w:val="left"/>
      <w:pPr>
        <w:ind w:left="4433" w:hanging="360"/>
      </w:pPr>
      <w:rPr>
        <w:rFonts w:ascii="Wingdings" w:hAnsi="Wingdings" w:hint="default"/>
      </w:rPr>
    </w:lvl>
    <w:lvl w:ilvl="6" w:tplc="08090001">
      <w:start w:val="1"/>
      <w:numFmt w:val="bullet"/>
      <w:lvlText w:val=""/>
      <w:lvlJc w:val="left"/>
      <w:pPr>
        <w:ind w:left="5153" w:hanging="360"/>
      </w:pPr>
      <w:rPr>
        <w:rFonts w:ascii="Symbol" w:hAnsi="Symbol" w:hint="default"/>
      </w:rPr>
    </w:lvl>
    <w:lvl w:ilvl="7" w:tplc="08090003">
      <w:start w:val="1"/>
      <w:numFmt w:val="bullet"/>
      <w:lvlText w:val="o"/>
      <w:lvlJc w:val="left"/>
      <w:pPr>
        <w:ind w:left="5873" w:hanging="360"/>
      </w:pPr>
      <w:rPr>
        <w:rFonts w:ascii="Courier New" w:hAnsi="Courier New" w:cs="Courier New" w:hint="default"/>
      </w:rPr>
    </w:lvl>
    <w:lvl w:ilvl="8" w:tplc="08090005">
      <w:start w:val="1"/>
      <w:numFmt w:val="bullet"/>
      <w:lvlText w:val=""/>
      <w:lvlJc w:val="left"/>
      <w:pPr>
        <w:ind w:left="6593" w:hanging="360"/>
      </w:pPr>
      <w:rPr>
        <w:rFonts w:ascii="Wingdings" w:hAnsi="Wingdings" w:hint="default"/>
      </w:rPr>
    </w:lvl>
  </w:abstractNum>
  <w:abstractNum w:abstractNumId="77" w15:restartNumberingAfterBreak="0">
    <w:nsid w:val="24B44DE8"/>
    <w:multiLevelType w:val="hybridMultilevel"/>
    <w:tmpl w:val="4C20F02E"/>
    <w:lvl w:ilvl="0" w:tplc="FBA6CDC4">
      <w:start w:val="1"/>
      <w:numFmt w:val="lowerLetter"/>
      <w:lvlText w:val="%1)"/>
      <w:lvlJc w:val="left"/>
      <w:pPr>
        <w:ind w:left="473" w:hanging="360"/>
      </w:pPr>
    </w:lvl>
    <w:lvl w:ilvl="1" w:tplc="04090019">
      <w:start w:val="1"/>
      <w:numFmt w:val="lowerLetter"/>
      <w:lvlText w:val="%2."/>
      <w:lvlJc w:val="left"/>
      <w:pPr>
        <w:ind w:left="1193" w:hanging="360"/>
      </w:pPr>
    </w:lvl>
    <w:lvl w:ilvl="2" w:tplc="0409001B">
      <w:start w:val="1"/>
      <w:numFmt w:val="lowerRoman"/>
      <w:lvlText w:val="%3."/>
      <w:lvlJc w:val="right"/>
      <w:pPr>
        <w:ind w:left="1913" w:hanging="180"/>
      </w:pPr>
    </w:lvl>
    <w:lvl w:ilvl="3" w:tplc="0409000F">
      <w:start w:val="1"/>
      <w:numFmt w:val="decimal"/>
      <w:lvlText w:val="%4."/>
      <w:lvlJc w:val="left"/>
      <w:pPr>
        <w:ind w:left="2633" w:hanging="360"/>
      </w:pPr>
    </w:lvl>
    <w:lvl w:ilvl="4" w:tplc="04090019">
      <w:start w:val="1"/>
      <w:numFmt w:val="lowerLetter"/>
      <w:lvlText w:val="%5."/>
      <w:lvlJc w:val="left"/>
      <w:pPr>
        <w:ind w:left="3353" w:hanging="360"/>
      </w:pPr>
    </w:lvl>
    <w:lvl w:ilvl="5" w:tplc="0409001B">
      <w:start w:val="1"/>
      <w:numFmt w:val="lowerRoman"/>
      <w:lvlText w:val="%6."/>
      <w:lvlJc w:val="right"/>
      <w:pPr>
        <w:ind w:left="4073" w:hanging="180"/>
      </w:pPr>
    </w:lvl>
    <w:lvl w:ilvl="6" w:tplc="0409000F">
      <w:start w:val="1"/>
      <w:numFmt w:val="decimal"/>
      <w:lvlText w:val="%7."/>
      <w:lvlJc w:val="left"/>
      <w:pPr>
        <w:ind w:left="4793" w:hanging="360"/>
      </w:pPr>
    </w:lvl>
    <w:lvl w:ilvl="7" w:tplc="04090019">
      <w:start w:val="1"/>
      <w:numFmt w:val="lowerLetter"/>
      <w:lvlText w:val="%8."/>
      <w:lvlJc w:val="left"/>
      <w:pPr>
        <w:ind w:left="5513" w:hanging="360"/>
      </w:pPr>
    </w:lvl>
    <w:lvl w:ilvl="8" w:tplc="0409001B">
      <w:start w:val="1"/>
      <w:numFmt w:val="lowerRoman"/>
      <w:lvlText w:val="%9."/>
      <w:lvlJc w:val="right"/>
      <w:pPr>
        <w:ind w:left="6233" w:hanging="180"/>
      </w:pPr>
    </w:lvl>
  </w:abstractNum>
  <w:abstractNum w:abstractNumId="78" w15:restartNumberingAfterBreak="0">
    <w:nsid w:val="253A6D2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25851A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258D5134"/>
    <w:multiLevelType w:val="hybridMultilevel"/>
    <w:tmpl w:val="D9507B4E"/>
    <w:lvl w:ilvl="0" w:tplc="C3680C0A">
      <w:numFmt w:val="bullet"/>
      <w:lvlText w:val="-"/>
      <w:lvlJc w:val="left"/>
      <w:pPr>
        <w:ind w:left="833" w:hanging="360"/>
      </w:pPr>
      <w:rPr>
        <w:rFonts w:ascii="Garamond" w:eastAsiaTheme="minorHAnsi" w:hAnsi="Garamond" w:cs="Times New Roman" w:hint="default"/>
      </w:rPr>
    </w:lvl>
    <w:lvl w:ilvl="1" w:tplc="08090003">
      <w:start w:val="1"/>
      <w:numFmt w:val="bullet"/>
      <w:lvlText w:val="o"/>
      <w:lvlJc w:val="left"/>
      <w:pPr>
        <w:ind w:left="1553" w:hanging="360"/>
      </w:pPr>
      <w:rPr>
        <w:rFonts w:ascii="Courier New" w:hAnsi="Courier New" w:cs="Courier New" w:hint="default"/>
      </w:rPr>
    </w:lvl>
    <w:lvl w:ilvl="2" w:tplc="08090005">
      <w:start w:val="1"/>
      <w:numFmt w:val="bullet"/>
      <w:lvlText w:val=""/>
      <w:lvlJc w:val="left"/>
      <w:pPr>
        <w:ind w:left="2273" w:hanging="360"/>
      </w:pPr>
      <w:rPr>
        <w:rFonts w:ascii="Wingdings" w:hAnsi="Wingdings" w:hint="default"/>
      </w:rPr>
    </w:lvl>
    <w:lvl w:ilvl="3" w:tplc="08090001">
      <w:start w:val="1"/>
      <w:numFmt w:val="bullet"/>
      <w:lvlText w:val=""/>
      <w:lvlJc w:val="left"/>
      <w:pPr>
        <w:ind w:left="2993" w:hanging="360"/>
      </w:pPr>
      <w:rPr>
        <w:rFonts w:ascii="Symbol" w:hAnsi="Symbol" w:hint="default"/>
      </w:rPr>
    </w:lvl>
    <w:lvl w:ilvl="4" w:tplc="08090003">
      <w:start w:val="1"/>
      <w:numFmt w:val="bullet"/>
      <w:lvlText w:val="o"/>
      <w:lvlJc w:val="left"/>
      <w:pPr>
        <w:ind w:left="3713" w:hanging="360"/>
      </w:pPr>
      <w:rPr>
        <w:rFonts w:ascii="Courier New" w:hAnsi="Courier New" w:cs="Courier New" w:hint="default"/>
      </w:rPr>
    </w:lvl>
    <w:lvl w:ilvl="5" w:tplc="08090005">
      <w:start w:val="1"/>
      <w:numFmt w:val="bullet"/>
      <w:lvlText w:val=""/>
      <w:lvlJc w:val="left"/>
      <w:pPr>
        <w:ind w:left="4433" w:hanging="360"/>
      </w:pPr>
      <w:rPr>
        <w:rFonts w:ascii="Wingdings" w:hAnsi="Wingdings" w:hint="default"/>
      </w:rPr>
    </w:lvl>
    <w:lvl w:ilvl="6" w:tplc="08090001">
      <w:start w:val="1"/>
      <w:numFmt w:val="bullet"/>
      <w:lvlText w:val=""/>
      <w:lvlJc w:val="left"/>
      <w:pPr>
        <w:ind w:left="5153" w:hanging="360"/>
      </w:pPr>
      <w:rPr>
        <w:rFonts w:ascii="Symbol" w:hAnsi="Symbol" w:hint="default"/>
      </w:rPr>
    </w:lvl>
    <w:lvl w:ilvl="7" w:tplc="08090003">
      <w:start w:val="1"/>
      <w:numFmt w:val="bullet"/>
      <w:lvlText w:val="o"/>
      <w:lvlJc w:val="left"/>
      <w:pPr>
        <w:ind w:left="5873" w:hanging="360"/>
      </w:pPr>
      <w:rPr>
        <w:rFonts w:ascii="Courier New" w:hAnsi="Courier New" w:cs="Courier New" w:hint="default"/>
      </w:rPr>
    </w:lvl>
    <w:lvl w:ilvl="8" w:tplc="08090005">
      <w:start w:val="1"/>
      <w:numFmt w:val="bullet"/>
      <w:lvlText w:val=""/>
      <w:lvlJc w:val="left"/>
      <w:pPr>
        <w:ind w:left="6593" w:hanging="360"/>
      </w:pPr>
      <w:rPr>
        <w:rFonts w:ascii="Wingdings" w:hAnsi="Wingdings" w:hint="default"/>
      </w:rPr>
    </w:lvl>
  </w:abstractNum>
  <w:abstractNum w:abstractNumId="81" w15:restartNumberingAfterBreak="0">
    <w:nsid w:val="262A55A7"/>
    <w:multiLevelType w:val="hybridMultilevel"/>
    <w:tmpl w:val="1CF07766"/>
    <w:lvl w:ilvl="0" w:tplc="614C21AC">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2" w15:restartNumberingAfterBreak="0">
    <w:nsid w:val="263319B1"/>
    <w:multiLevelType w:val="hybridMultilevel"/>
    <w:tmpl w:val="38CAEA8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3" w15:restartNumberingAfterBreak="0">
    <w:nsid w:val="269F6796"/>
    <w:multiLevelType w:val="multilevel"/>
    <w:tmpl w:val="56C419E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84" w15:restartNumberingAfterBreak="0">
    <w:nsid w:val="26A661E6"/>
    <w:multiLevelType w:val="hybridMultilevel"/>
    <w:tmpl w:val="F8487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7A10C7B"/>
    <w:multiLevelType w:val="multilevel"/>
    <w:tmpl w:val="EFA2AC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27B32AF4"/>
    <w:multiLevelType w:val="hybridMultilevel"/>
    <w:tmpl w:val="38404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7DB395E"/>
    <w:multiLevelType w:val="multilevel"/>
    <w:tmpl w:val="BC90812C"/>
    <w:lvl w:ilvl="0">
      <w:start w:val="6"/>
      <w:numFmt w:val="none"/>
      <w:lvlText w:val="5."/>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5%1.%2.%3."/>
      <w:lvlJc w:val="left"/>
      <w:pPr>
        <w:ind w:left="1680" w:hanging="720"/>
      </w:pPr>
      <w:rPr>
        <w:rFonts w:hint="default"/>
      </w:rPr>
    </w:lvl>
    <w:lvl w:ilvl="3">
      <w:start w:val="1"/>
      <w:numFmt w:val="decimal"/>
      <w:lvlText w:val="5%1.1.%3.%4."/>
      <w:lvlJc w:val="left"/>
      <w:pPr>
        <w:ind w:left="2160" w:hanging="720"/>
      </w:pPr>
      <w:rPr>
        <w:rFonts w:hint="default"/>
      </w:rPr>
    </w:lvl>
    <w:lvl w:ilvl="4">
      <w:start w:val="1"/>
      <w:numFmt w:val="decimal"/>
      <w:lvlText w:val="5.1.%3.%4.%5."/>
      <w:lvlJc w:val="left"/>
      <w:pPr>
        <w:ind w:left="3000" w:hanging="1080"/>
      </w:pPr>
      <w:rPr>
        <w:rFonts w:ascii="Times New Roman" w:hAnsi="Times New Roman" w:hint="default"/>
        <w:b w:val="0"/>
        <w:i w:val="0"/>
        <w:sz w:val="24"/>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88" w15:restartNumberingAfterBreak="0">
    <w:nsid w:val="28185966"/>
    <w:multiLevelType w:val="hybridMultilevel"/>
    <w:tmpl w:val="19983C84"/>
    <w:lvl w:ilvl="0" w:tplc="1E6C904C">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9" w15:restartNumberingAfterBreak="0">
    <w:nsid w:val="283C4DC6"/>
    <w:multiLevelType w:val="hybridMultilevel"/>
    <w:tmpl w:val="B492D1F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0" w15:restartNumberingAfterBreak="0">
    <w:nsid w:val="28A27D5A"/>
    <w:multiLevelType w:val="multilevel"/>
    <w:tmpl w:val="926820C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b/>
      </w:rPr>
    </w:lvl>
    <w:lvl w:ilvl="2">
      <w:start w:val="1"/>
      <w:numFmt w:val="decimal"/>
      <w:lvlText w:val="%1.%2.%3."/>
      <w:lvlJc w:val="left"/>
      <w:pPr>
        <w:tabs>
          <w:tab w:val="num" w:pos="1920"/>
        </w:tabs>
        <w:ind w:left="1920" w:hanging="720"/>
      </w:pPr>
      <w:rPr>
        <w:rFonts w:ascii="Times New Roman" w:hAnsi="Times New Roman" w:cs="Times New Roman" w:hint="default"/>
        <w:sz w:val="24"/>
        <w:szCs w:val="24"/>
      </w:rPr>
    </w:lvl>
    <w:lvl w:ilvl="3">
      <w:start w:val="1"/>
      <w:numFmt w:val="decimal"/>
      <w:lvlText w:val="%1.%2.%3.%4."/>
      <w:lvlJc w:val="left"/>
      <w:pPr>
        <w:tabs>
          <w:tab w:val="num" w:pos="1920"/>
        </w:tabs>
        <w:ind w:left="1920" w:hanging="720"/>
      </w:pPr>
      <w:rPr>
        <w:rFonts w:ascii="Times New Roman" w:hAnsi="Times New Roman"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1" w15:restartNumberingAfterBreak="0">
    <w:nsid w:val="28D8205C"/>
    <w:multiLevelType w:val="hybridMultilevel"/>
    <w:tmpl w:val="D1C869D2"/>
    <w:lvl w:ilvl="0" w:tplc="2722B394">
      <w:numFmt w:val="bullet"/>
      <w:lvlText w:val="–"/>
      <w:lvlJc w:val="left"/>
      <w:pPr>
        <w:ind w:left="420" w:hanging="360"/>
      </w:pPr>
      <w:rPr>
        <w:rFonts w:ascii="Times New Roman" w:eastAsia="Times New Roman" w:hAnsi="Times New Roman" w:cs="Times New Roman" w:hint="default"/>
      </w:rPr>
    </w:lvl>
    <w:lvl w:ilvl="1" w:tplc="080C0003" w:tentative="1">
      <w:start w:val="1"/>
      <w:numFmt w:val="bullet"/>
      <w:lvlText w:val="o"/>
      <w:lvlJc w:val="left"/>
      <w:pPr>
        <w:ind w:left="1140" w:hanging="360"/>
      </w:pPr>
      <w:rPr>
        <w:rFonts w:ascii="Courier New" w:hAnsi="Courier New" w:cs="Courier New" w:hint="default"/>
      </w:rPr>
    </w:lvl>
    <w:lvl w:ilvl="2" w:tplc="080C0005" w:tentative="1">
      <w:start w:val="1"/>
      <w:numFmt w:val="bullet"/>
      <w:lvlText w:val=""/>
      <w:lvlJc w:val="left"/>
      <w:pPr>
        <w:ind w:left="1860" w:hanging="360"/>
      </w:pPr>
      <w:rPr>
        <w:rFonts w:ascii="Wingdings" w:hAnsi="Wingdings" w:hint="default"/>
      </w:rPr>
    </w:lvl>
    <w:lvl w:ilvl="3" w:tplc="080C0001" w:tentative="1">
      <w:start w:val="1"/>
      <w:numFmt w:val="bullet"/>
      <w:lvlText w:val=""/>
      <w:lvlJc w:val="left"/>
      <w:pPr>
        <w:ind w:left="2580" w:hanging="360"/>
      </w:pPr>
      <w:rPr>
        <w:rFonts w:ascii="Symbol" w:hAnsi="Symbol" w:hint="default"/>
      </w:rPr>
    </w:lvl>
    <w:lvl w:ilvl="4" w:tplc="080C0003" w:tentative="1">
      <w:start w:val="1"/>
      <w:numFmt w:val="bullet"/>
      <w:lvlText w:val="o"/>
      <w:lvlJc w:val="left"/>
      <w:pPr>
        <w:ind w:left="3300" w:hanging="360"/>
      </w:pPr>
      <w:rPr>
        <w:rFonts w:ascii="Courier New" w:hAnsi="Courier New" w:cs="Courier New" w:hint="default"/>
      </w:rPr>
    </w:lvl>
    <w:lvl w:ilvl="5" w:tplc="080C0005" w:tentative="1">
      <w:start w:val="1"/>
      <w:numFmt w:val="bullet"/>
      <w:lvlText w:val=""/>
      <w:lvlJc w:val="left"/>
      <w:pPr>
        <w:ind w:left="4020" w:hanging="360"/>
      </w:pPr>
      <w:rPr>
        <w:rFonts w:ascii="Wingdings" w:hAnsi="Wingdings" w:hint="default"/>
      </w:rPr>
    </w:lvl>
    <w:lvl w:ilvl="6" w:tplc="080C0001" w:tentative="1">
      <w:start w:val="1"/>
      <w:numFmt w:val="bullet"/>
      <w:lvlText w:val=""/>
      <w:lvlJc w:val="left"/>
      <w:pPr>
        <w:ind w:left="4740" w:hanging="360"/>
      </w:pPr>
      <w:rPr>
        <w:rFonts w:ascii="Symbol" w:hAnsi="Symbol" w:hint="default"/>
      </w:rPr>
    </w:lvl>
    <w:lvl w:ilvl="7" w:tplc="080C0003" w:tentative="1">
      <w:start w:val="1"/>
      <w:numFmt w:val="bullet"/>
      <w:lvlText w:val="o"/>
      <w:lvlJc w:val="left"/>
      <w:pPr>
        <w:ind w:left="5460" w:hanging="360"/>
      </w:pPr>
      <w:rPr>
        <w:rFonts w:ascii="Courier New" w:hAnsi="Courier New" w:cs="Courier New" w:hint="default"/>
      </w:rPr>
    </w:lvl>
    <w:lvl w:ilvl="8" w:tplc="080C0005" w:tentative="1">
      <w:start w:val="1"/>
      <w:numFmt w:val="bullet"/>
      <w:lvlText w:val=""/>
      <w:lvlJc w:val="left"/>
      <w:pPr>
        <w:ind w:left="6180" w:hanging="360"/>
      </w:pPr>
      <w:rPr>
        <w:rFonts w:ascii="Wingdings" w:hAnsi="Wingdings" w:hint="default"/>
      </w:rPr>
    </w:lvl>
  </w:abstractNum>
  <w:abstractNum w:abstractNumId="92" w15:restartNumberingAfterBreak="0">
    <w:nsid w:val="28E51D0C"/>
    <w:multiLevelType w:val="hybridMultilevel"/>
    <w:tmpl w:val="3E906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99A2D22"/>
    <w:multiLevelType w:val="multilevel"/>
    <w:tmpl w:val="926820C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b/>
      </w:rPr>
    </w:lvl>
    <w:lvl w:ilvl="2">
      <w:start w:val="1"/>
      <w:numFmt w:val="decimal"/>
      <w:lvlText w:val="%1.%2.%3."/>
      <w:lvlJc w:val="left"/>
      <w:pPr>
        <w:tabs>
          <w:tab w:val="num" w:pos="1920"/>
        </w:tabs>
        <w:ind w:left="1920" w:hanging="720"/>
      </w:pPr>
      <w:rPr>
        <w:rFonts w:ascii="Times New Roman" w:hAnsi="Times New Roman" w:cs="Times New Roman" w:hint="default"/>
        <w:sz w:val="24"/>
        <w:szCs w:val="24"/>
      </w:rPr>
    </w:lvl>
    <w:lvl w:ilvl="3">
      <w:start w:val="1"/>
      <w:numFmt w:val="decimal"/>
      <w:lvlText w:val="%1.%2.%3.%4."/>
      <w:lvlJc w:val="left"/>
      <w:pPr>
        <w:tabs>
          <w:tab w:val="num" w:pos="1920"/>
        </w:tabs>
        <w:ind w:left="1920" w:hanging="720"/>
      </w:pPr>
      <w:rPr>
        <w:rFonts w:ascii="Times New Roman" w:hAnsi="Times New Roman"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4" w15:restartNumberingAfterBreak="0">
    <w:nsid w:val="2A1F250F"/>
    <w:multiLevelType w:val="multilevel"/>
    <w:tmpl w:val="447A51D4"/>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b/>
      </w:rPr>
    </w:lvl>
    <w:lvl w:ilvl="2">
      <w:start w:val="1"/>
      <w:numFmt w:val="decimal"/>
      <w:lvlText w:val="%1.%2.%3."/>
      <w:lvlJc w:val="left"/>
      <w:pPr>
        <w:tabs>
          <w:tab w:val="num" w:pos="1920"/>
        </w:tabs>
        <w:ind w:left="1920" w:hanging="720"/>
      </w:pPr>
      <w:rPr>
        <w:rFonts w:ascii="Times New Roman" w:hAnsi="Times New Roman" w:cs="Times New Roman" w:hint="default"/>
        <w:sz w:val="24"/>
        <w:szCs w:val="24"/>
      </w:rPr>
    </w:lvl>
    <w:lvl w:ilvl="3">
      <w:start w:val="1"/>
      <w:numFmt w:val="decimal"/>
      <w:lvlText w:val="%1.%2.%3.%4."/>
      <w:lvlJc w:val="left"/>
      <w:pPr>
        <w:tabs>
          <w:tab w:val="num" w:pos="1920"/>
        </w:tabs>
        <w:ind w:left="1920" w:hanging="720"/>
      </w:pPr>
      <w:rPr>
        <w:rFonts w:ascii="Times New Roman" w:hAnsi="Times New Roman"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5" w15:restartNumberingAfterBreak="0">
    <w:nsid w:val="2AC174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2BD00AE1"/>
    <w:multiLevelType w:val="hybridMultilevel"/>
    <w:tmpl w:val="2A7C22D0"/>
    <w:lvl w:ilvl="0" w:tplc="4DFAEA40">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2C137E66"/>
    <w:multiLevelType w:val="hybridMultilevel"/>
    <w:tmpl w:val="AED48E9A"/>
    <w:lvl w:ilvl="0" w:tplc="4DFAEA40">
      <w:numFmt w:val="bullet"/>
      <w:lvlText w:val="-"/>
      <w:lvlJc w:val="left"/>
      <w:pPr>
        <w:ind w:left="360" w:hanging="360"/>
      </w:pPr>
      <w:rPr>
        <w:rFonts w:ascii="Times New Roman" w:eastAsia="Times New Roman" w:hAnsi="Times New Roman" w:cs="Times New Roman"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98" w15:restartNumberingAfterBreak="0">
    <w:nsid w:val="2C6010AF"/>
    <w:multiLevelType w:val="multilevel"/>
    <w:tmpl w:val="5F5816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9" w15:restartNumberingAfterBreak="0">
    <w:nsid w:val="2C9C0808"/>
    <w:multiLevelType w:val="multilevel"/>
    <w:tmpl w:val="846C9AA0"/>
    <w:numStyleLink w:val="newlist5"/>
  </w:abstractNum>
  <w:abstractNum w:abstractNumId="100" w15:restartNumberingAfterBreak="0">
    <w:nsid w:val="2CBC747F"/>
    <w:multiLevelType w:val="hybridMultilevel"/>
    <w:tmpl w:val="04BE5AE6"/>
    <w:lvl w:ilvl="0" w:tplc="4DFAEA40">
      <w:numFmt w:val="bullet"/>
      <w:lvlText w:val="-"/>
      <w:lvlJc w:val="left"/>
      <w:pPr>
        <w:ind w:left="360" w:hanging="360"/>
      </w:pPr>
      <w:rPr>
        <w:rFonts w:ascii="Times New Roman" w:eastAsia="Times New Roman" w:hAnsi="Times New Roman"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1" w15:restartNumberingAfterBreak="0">
    <w:nsid w:val="2E6804A5"/>
    <w:multiLevelType w:val="hybridMultilevel"/>
    <w:tmpl w:val="B928D7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2" w15:restartNumberingAfterBreak="0">
    <w:nsid w:val="2E6E7037"/>
    <w:multiLevelType w:val="multilevel"/>
    <w:tmpl w:val="08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2E9000A2"/>
    <w:multiLevelType w:val="hybridMultilevel"/>
    <w:tmpl w:val="16367350"/>
    <w:lvl w:ilvl="0" w:tplc="278A545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2F5C2150"/>
    <w:multiLevelType w:val="multilevel"/>
    <w:tmpl w:val="BE602216"/>
    <w:lvl w:ilvl="0">
      <w:start w:val="1"/>
      <w:numFmt w:val="decimal"/>
      <w:lvlText w:val="%1."/>
      <w:lvlJc w:val="left"/>
      <w:pPr>
        <w:ind w:left="360" w:hanging="360"/>
      </w:pPr>
    </w:lvl>
    <w:lvl w:ilvl="1">
      <w:start w:val="1"/>
      <w:numFmt w:val="decimal"/>
      <w:lvlText w:val="%1.%2."/>
      <w:lvlJc w:val="left"/>
      <w:pPr>
        <w:ind w:left="792" w:hanging="432"/>
      </w:pPr>
      <w:rPr>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2FDD7EEA"/>
    <w:multiLevelType w:val="multilevel"/>
    <w:tmpl w:val="ACB4014A"/>
    <w:lvl w:ilvl="0">
      <w:start w:val="2"/>
      <w:numFmt w:val="decimal"/>
      <w:lvlText w:val="%1"/>
      <w:lvlJc w:val="left"/>
      <w:pPr>
        <w:ind w:left="480" w:hanging="480"/>
      </w:pPr>
      <w:rPr>
        <w:rFonts w:hint="default"/>
        <w:b w:val="0"/>
      </w:rPr>
    </w:lvl>
    <w:lvl w:ilvl="1">
      <w:start w:val="1"/>
      <w:numFmt w:val="decimal"/>
      <w:lvlText w:val="%1.%2"/>
      <w:lvlJc w:val="left"/>
      <w:pPr>
        <w:ind w:left="1080" w:hanging="480"/>
      </w:pPr>
      <w:rPr>
        <w:rFonts w:hint="default"/>
        <w:b w:val="0"/>
      </w:rPr>
    </w:lvl>
    <w:lvl w:ilvl="2">
      <w:start w:val="2"/>
      <w:numFmt w:val="decimal"/>
      <w:lvlText w:val="%1.%2.%3"/>
      <w:lvlJc w:val="left"/>
      <w:pPr>
        <w:ind w:left="1920" w:hanging="720"/>
      </w:pPr>
      <w:rPr>
        <w:rFonts w:hint="default"/>
        <w:b w:val="0"/>
      </w:rPr>
    </w:lvl>
    <w:lvl w:ilvl="3">
      <w:start w:val="1"/>
      <w:numFmt w:val="decimal"/>
      <w:lvlText w:val="%1.%2.%3.%4"/>
      <w:lvlJc w:val="left"/>
      <w:pPr>
        <w:ind w:left="2520" w:hanging="720"/>
      </w:pPr>
      <w:rPr>
        <w:rFonts w:hint="default"/>
        <w:b w:val="0"/>
      </w:rPr>
    </w:lvl>
    <w:lvl w:ilvl="4">
      <w:start w:val="1"/>
      <w:numFmt w:val="decimal"/>
      <w:lvlText w:val="%1.%2.%3.%4.%5"/>
      <w:lvlJc w:val="left"/>
      <w:pPr>
        <w:ind w:left="3480" w:hanging="1080"/>
      </w:pPr>
      <w:rPr>
        <w:rFonts w:hint="default"/>
        <w:b w:val="0"/>
      </w:rPr>
    </w:lvl>
    <w:lvl w:ilvl="5">
      <w:start w:val="1"/>
      <w:numFmt w:val="decimal"/>
      <w:lvlText w:val="%1.%2.%3.%4.%5.%6"/>
      <w:lvlJc w:val="left"/>
      <w:pPr>
        <w:ind w:left="4080" w:hanging="1080"/>
      </w:pPr>
      <w:rPr>
        <w:rFonts w:hint="default"/>
        <w:b w:val="0"/>
      </w:rPr>
    </w:lvl>
    <w:lvl w:ilvl="6">
      <w:start w:val="1"/>
      <w:numFmt w:val="decimal"/>
      <w:lvlText w:val="%1.%2.%3.%4.%5.%6.%7"/>
      <w:lvlJc w:val="left"/>
      <w:pPr>
        <w:ind w:left="5040" w:hanging="1440"/>
      </w:pPr>
      <w:rPr>
        <w:rFonts w:hint="default"/>
        <w:b w:val="0"/>
      </w:rPr>
    </w:lvl>
    <w:lvl w:ilvl="7">
      <w:start w:val="1"/>
      <w:numFmt w:val="decimal"/>
      <w:lvlText w:val="%1.%2.%3.%4.%5.%6.%7.%8"/>
      <w:lvlJc w:val="left"/>
      <w:pPr>
        <w:ind w:left="5640" w:hanging="1440"/>
      </w:pPr>
      <w:rPr>
        <w:rFonts w:hint="default"/>
        <w:b w:val="0"/>
      </w:rPr>
    </w:lvl>
    <w:lvl w:ilvl="8">
      <w:start w:val="1"/>
      <w:numFmt w:val="decimal"/>
      <w:lvlText w:val="%1.%2.%3.%4.%5.%6.%7.%8.%9"/>
      <w:lvlJc w:val="left"/>
      <w:pPr>
        <w:ind w:left="6600" w:hanging="1800"/>
      </w:pPr>
      <w:rPr>
        <w:rFonts w:hint="default"/>
        <w:b w:val="0"/>
      </w:rPr>
    </w:lvl>
  </w:abstractNum>
  <w:abstractNum w:abstractNumId="106" w15:restartNumberingAfterBreak="0">
    <w:nsid w:val="301C59F9"/>
    <w:multiLevelType w:val="multilevel"/>
    <w:tmpl w:val="447A51D4"/>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b/>
      </w:rPr>
    </w:lvl>
    <w:lvl w:ilvl="2">
      <w:start w:val="1"/>
      <w:numFmt w:val="decimal"/>
      <w:lvlText w:val="%1.%2.%3."/>
      <w:lvlJc w:val="left"/>
      <w:pPr>
        <w:tabs>
          <w:tab w:val="num" w:pos="1920"/>
        </w:tabs>
        <w:ind w:left="1920" w:hanging="720"/>
      </w:pPr>
      <w:rPr>
        <w:rFonts w:ascii="Times New Roman" w:hAnsi="Times New Roman" w:cs="Times New Roman" w:hint="default"/>
        <w:sz w:val="24"/>
        <w:szCs w:val="24"/>
      </w:rPr>
    </w:lvl>
    <w:lvl w:ilvl="3">
      <w:start w:val="1"/>
      <w:numFmt w:val="decimal"/>
      <w:lvlText w:val="%1.%2.%3.%4."/>
      <w:lvlJc w:val="left"/>
      <w:pPr>
        <w:tabs>
          <w:tab w:val="num" w:pos="1920"/>
        </w:tabs>
        <w:ind w:left="1920" w:hanging="720"/>
      </w:pPr>
      <w:rPr>
        <w:rFonts w:ascii="Times New Roman" w:hAnsi="Times New Roman"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7" w15:restartNumberingAfterBreak="0">
    <w:nsid w:val="31182100"/>
    <w:multiLevelType w:val="multilevel"/>
    <w:tmpl w:val="D910F088"/>
    <w:lvl w:ilvl="0">
      <w:start w:val="2"/>
      <w:numFmt w:val="decimal"/>
      <w:lvlText w:val="%1."/>
      <w:lvlJc w:val="left"/>
      <w:pPr>
        <w:ind w:left="1080" w:hanging="360"/>
      </w:pPr>
      <w:rPr>
        <w:rFonts w:hint="default"/>
      </w:rPr>
    </w:lvl>
    <w:lvl w:ilvl="1">
      <w:start w:val="2"/>
      <w:numFmt w:val="decimal"/>
      <w:lvlText w:val="%1.%2."/>
      <w:lvlJc w:val="left"/>
      <w:pPr>
        <w:ind w:left="156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20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520" w:hanging="1440"/>
      </w:pPr>
      <w:rPr>
        <w:rFonts w:hint="default"/>
      </w:rPr>
    </w:lvl>
    <w:lvl w:ilvl="8">
      <w:start w:val="1"/>
      <w:numFmt w:val="decimal"/>
      <w:lvlText w:val="%1.%2.%3.%4.%5.%6.%7.%8.%9."/>
      <w:lvlJc w:val="left"/>
      <w:pPr>
        <w:ind w:left="6360" w:hanging="1800"/>
      </w:pPr>
      <w:rPr>
        <w:rFonts w:hint="default"/>
      </w:rPr>
    </w:lvl>
  </w:abstractNum>
  <w:abstractNum w:abstractNumId="108" w15:restartNumberingAfterBreak="0">
    <w:nsid w:val="31357CC0"/>
    <w:multiLevelType w:val="multilevel"/>
    <w:tmpl w:val="4DC4E0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9" w15:restartNumberingAfterBreak="0">
    <w:nsid w:val="313F04BF"/>
    <w:multiLevelType w:val="multilevel"/>
    <w:tmpl w:val="BC90812C"/>
    <w:lvl w:ilvl="0">
      <w:start w:val="6"/>
      <w:numFmt w:val="none"/>
      <w:lvlText w:val="5."/>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5%1.%2.%3."/>
      <w:lvlJc w:val="left"/>
      <w:pPr>
        <w:ind w:left="1680" w:hanging="720"/>
      </w:pPr>
      <w:rPr>
        <w:rFonts w:hint="default"/>
      </w:rPr>
    </w:lvl>
    <w:lvl w:ilvl="3">
      <w:start w:val="1"/>
      <w:numFmt w:val="decimal"/>
      <w:lvlText w:val="5%1.1.%3.%4."/>
      <w:lvlJc w:val="left"/>
      <w:pPr>
        <w:ind w:left="2160" w:hanging="720"/>
      </w:pPr>
      <w:rPr>
        <w:rFonts w:hint="default"/>
      </w:rPr>
    </w:lvl>
    <w:lvl w:ilvl="4">
      <w:start w:val="1"/>
      <w:numFmt w:val="decimal"/>
      <w:lvlText w:val="5.1.%3.%4.%5."/>
      <w:lvlJc w:val="left"/>
      <w:pPr>
        <w:ind w:left="3000" w:hanging="1080"/>
      </w:pPr>
      <w:rPr>
        <w:rFonts w:ascii="Times New Roman" w:hAnsi="Times New Roman" w:hint="default"/>
        <w:b w:val="0"/>
        <w:i w:val="0"/>
        <w:sz w:val="24"/>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10" w15:restartNumberingAfterBreak="0">
    <w:nsid w:val="32AE75FC"/>
    <w:multiLevelType w:val="multilevel"/>
    <w:tmpl w:val="7B0E4F4C"/>
    <w:lvl w:ilvl="0">
      <w:start w:val="6"/>
      <w:numFmt w:val="none"/>
      <w:lvlText w:val="5."/>
      <w:lvlJc w:val="left"/>
      <w:pPr>
        <w:ind w:left="360" w:hanging="360"/>
      </w:pPr>
      <w:rPr>
        <w:rFonts w:hint="default"/>
      </w:rPr>
    </w:lvl>
    <w:lvl w:ilvl="1">
      <w:start w:val="2"/>
      <w:numFmt w:val="decimal"/>
      <w:lvlText w:val="5.%2."/>
      <w:lvlJc w:val="left"/>
      <w:pPr>
        <w:ind w:left="36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11" w15:restartNumberingAfterBreak="0">
    <w:nsid w:val="33707BE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2" w15:restartNumberingAfterBreak="0">
    <w:nsid w:val="337C4F08"/>
    <w:multiLevelType w:val="multilevel"/>
    <w:tmpl w:val="688C2EF2"/>
    <w:lvl w:ilvl="0">
      <w:start w:val="1"/>
      <w:numFmt w:val="decimal"/>
      <w:isLgl/>
      <w:lvlText w:val="%1"/>
      <w:lvlJc w:val="left"/>
      <w:pPr>
        <w:tabs>
          <w:tab w:val="num" w:pos="680"/>
        </w:tabs>
        <w:ind w:left="680" w:hanging="680"/>
      </w:pPr>
    </w:lvl>
    <w:lvl w:ilvl="1">
      <w:start w:val="1"/>
      <w:numFmt w:val="decimal"/>
      <w:lvlText w:val="%1.%2"/>
      <w:lvlJc w:val="left"/>
      <w:pPr>
        <w:tabs>
          <w:tab w:val="num" w:pos="680"/>
        </w:tabs>
        <w:ind w:left="680" w:hanging="680"/>
      </w:pPr>
    </w:lvl>
    <w:lvl w:ilvl="2">
      <w:start w:val="1"/>
      <w:numFmt w:val="decimal"/>
      <w:lvlText w:val="%1.%2.%3"/>
      <w:lvlJc w:val="left"/>
      <w:pPr>
        <w:tabs>
          <w:tab w:val="num" w:pos="680"/>
        </w:tabs>
        <w:ind w:left="680" w:hanging="680"/>
      </w:pPr>
    </w:lvl>
    <w:lvl w:ilvl="3">
      <w:start w:val="1"/>
      <w:numFmt w:val="decimal"/>
      <w:lvlText w:val="%1.%2.%3.%4"/>
      <w:lvlJc w:val="left"/>
      <w:pPr>
        <w:tabs>
          <w:tab w:val="num" w:pos="851"/>
        </w:tabs>
        <w:ind w:left="851" w:hanging="851"/>
      </w:pPr>
      <w:rPr>
        <w:spacing w:val="-20"/>
      </w:rPr>
    </w:lvl>
    <w:lvl w:ilvl="4">
      <w:start w:val="1"/>
      <w:numFmt w:val="none"/>
      <w:lvlText w:val=""/>
      <w:lvlJc w:val="left"/>
      <w:pPr>
        <w:tabs>
          <w:tab w:val="num" w:pos="680"/>
        </w:tabs>
        <w:ind w:left="680" w:firstLine="0"/>
      </w:pPr>
    </w:lvl>
    <w:lvl w:ilvl="5">
      <w:start w:val="1"/>
      <w:numFmt w:val="none"/>
      <w:lvlText w:val=""/>
      <w:lvlJc w:val="left"/>
      <w:pPr>
        <w:tabs>
          <w:tab w:val="num" w:pos="680"/>
        </w:tabs>
        <w:ind w:left="680" w:firstLine="0"/>
      </w:pPr>
    </w:lvl>
    <w:lvl w:ilvl="6">
      <w:start w:val="1"/>
      <w:numFmt w:val="none"/>
      <w:lvlText w:val=""/>
      <w:lvlJc w:val="left"/>
      <w:pPr>
        <w:tabs>
          <w:tab w:val="num" w:pos="680"/>
        </w:tabs>
        <w:ind w:left="680" w:firstLine="0"/>
      </w:pPr>
    </w:lvl>
    <w:lvl w:ilvl="7">
      <w:start w:val="1"/>
      <w:numFmt w:val="none"/>
      <w:lvlText w:val=""/>
      <w:lvlJc w:val="left"/>
      <w:pPr>
        <w:tabs>
          <w:tab w:val="num" w:pos="680"/>
        </w:tabs>
        <w:ind w:left="680" w:firstLine="0"/>
      </w:pPr>
    </w:lvl>
    <w:lvl w:ilvl="8">
      <w:start w:val="1"/>
      <w:numFmt w:val="none"/>
      <w:lvlText w:val=""/>
      <w:lvlJc w:val="left"/>
      <w:pPr>
        <w:tabs>
          <w:tab w:val="num" w:pos="680"/>
        </w:tabs>
        <w:ind w:left="680" w:firstLine="0"/>
      </w:pPr>
    </w:lvl>
  </w:abstractNum>
  <w:abstractNum w:abstractNumId="113" w15:restartNumberingAfterBreak="0">
    <w:nsid w:val="345A0D87"/>
    <w:multiLevelType w:val="multilevel"/>
    <w:tmpl w:val="26A84794"/>
    <w:lvl w:ilvl="0">
      <w:start w:val="2"/>
      <w:numFmt w:val="decimal"/>
      <w:lvlText w:val="%1."/>
      <w:lvlJc w:val="left"/>
      <w:pPr>
        <w:ind w:left="2025" w:hanging="585"/>
      </w:pPr>
      <w:rPr>
        <w:rFonts w:ascii="Verdana" w:hAnsi="Verdana" w:cstheme="minorBidi" w:hint="default"/>
        <w:sz w:val="20"/>
      </w:rPr>
    </w:lvl>
    <w:lvl w:ilvl="1">
      <w:start w:val="1"/>
      <w:numFmt w:val="decimal"/>
      <w:lvlText w:val="%1.%2."/>
      <w:lvlJc w:val="left"/>
      <w:pPr>
        <w:ind w:left="2625" w:hanging="585"/>
      </w:pPr>
      <w:rPr>
        <w:rFonts w:ascii="Verdana" w:hAnsi="Verdana" w:cstheme="minorBidi" w:hint="default"/>
        <w:sz w:val="20"/>
      </w:rPr>
    </w:lvl>
    <w:lvl w:ilvl="2">
      <w:start w:val="3"/>
      <w:numFmt w:val="decimal"/>
      <w:lvlText w:val="%1.%2.%3."/>
      <w:lvlJc w:val="left"/>
      <w:pPr>
        <w:ind w:left="3360" w:hanging="720"/>
      </w:pPr>
      <w:rPr>
        <w:rFonts w:ascii="Verdana" w:hAnsi="Verdana" w:cstheme="minorBidi" w:hint="default"/>
        <w:sz w:val="20"/>
      </w:rPr>
    </w:lvl>
    <w:lvl w:ilvl="3">
      <w:start w:val="1"/>
      <w:numFmt w:val="decimal"/>
      <w:lvlText w:val="%1.%2.%3.%4."/>
      <w:lvlJc w:val="left"/>
      <w:pPr>
        <w:ind w:left="3960" w:hanging="720"/>
      </w:pPr>
      <w:rPr>
        <w:rFonts w:ascii="Verdana" w:hAnsi="Verdana" w:cstheme="minorBidi" w:hint="default"/>
        <w:sz w:val="20"/>
      </w:rPr>
    </w:lvl>
    <w:lvl w:ilvl="4">
      <w:start w:val="1"/>
      <w:numFmt w:val="decimal"/>
      <w:lvlText w:val="%1.%2.%3.%4.%5."/>
      <w:lvlJc w:val="left"/>
      <w:pPr>
        <w:ind w:left="4920" w:hanging="1080"/>
      </w:pPr>
      <w:rPr>
        <w:rFonts w:ascii="Verdana" w:hAnsi="Verdana" w:cstheme="minorBidi" w:hint="default"/>
        <w:sz w:val="20"/>
      </w:rPr>
    </w:lvl>
    <w:lvl w:ilvl="5">
      <w:start w:val="1"/>
      <w:numFmt w:val="decimal"/>
      <w:lvlText w:val="%1.%2.%3.%4.%5.%6."/>
      <w:lvlJc w:val="left"/>
      <w:pPr>
        <w:ind w:left="5520" w:hanging="1080"/>
      </w:pPr>
      <w:rPr>
        <w:rFonts w:ascii="Verdana" w:hAnsi="Verdana" w:cstheme="minorBidi" w:hint="default"/>
        <w:sz w:val="20"/>
      </w:rPr>
    </w:lvl>
    <w:lvl w:ilvl="6">
      <w:start w:val="1"/>
      <w:numFmt w:val="decimal"/>
      <w:lvlText w:val="%1.%2.%3.%4.%5.%6.%7."/>
      <w:lvlJc w:val="left"/>
      <w:pPr>
        <w:ind w:left="6480" w:hanging="1440"/>
      </w:pPr>
      <w:rPr>
        <w:rFonts w:ascii="Verdana" w:hAnsi="Verdana" w:cstheme="minorBidi" w:hint="default"/>
        <w:sz w:val="20"/>
      </w:rPr>
    </w:lvl>
    <w:lvl w:ilvl="7">
      <w:start w:val="1"/>
      <w:numFmt w:val="decimal"/>
      <w:lvlText w:val="%1.%2.%3.%4.%5.%6.%7.%8."/>
      <w:lvlJc w:val="left"/>
      <w:pPr>
        <w:ind w:left="7080" w:hanging="1440"/>
      </w:pPr>
      <w:rPr>
        <w:rFonts w:ascii="Verdana" w:hAnsi="Verdana" w:cstheme="minorBidi" w:hint="default"/>
        <w:sz w:val="20"/>
      </w:rPr>
    </w:lvl>
    <w:lvl w:ilvl="8">
      <w:start w:val="1"/>
      <w:numFmt w:val="decimal"/>
      <w:lvlText w:val="%1.%2.%3.%4.%5.%6.%7.%8.%9."/>
      <w:lvlJc w:val="left"/>
      <w:pPr>
        <w:ind w:left="8040" w:hanging="1800"/>
      </w:pPr>
      <w:rPr>
        <w:rFonts w:ascii="Verdana" w:hAnsi="Verdana" w:cstheme="minorBidi" w:hint="default"/>
        <w:sz w:val="20"/>
      </w:rPr>
    </w:lvl>
  </w:abstractNum>
  <w:abstractNum w:abstractNumId="114" w15:restartNumberingAfterBreak="0">
    <w:nsid w:val="34F72E25"/>
    <w:multiLevelType w:val="multilevel"/>
    <w:tmpl w:val="926820C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b/>
      </w:rPr>
    </w:lvl>
    <w:lvl w:ilvl="2">
      <w:start w:val="1"/>
      <w:numFmt w:val="decimal"/>
      <w:lvlText w:val="%1.%2.%3."/>
      <w:lvlJc w:val="left"/>
      <w:pPr>
        <w:tabs>
          <w:tab w:val="num" w:pos="1920"/>
        </w:tabs>
        <w:ind w:left="1920" w:hanging="720"/>
      </w:pPr>
      <w:rPr>
        <w:rFonts w:ascii="Times New Roman" w:hAnsi="Times New Roman" w:cs="Times New Roman" w:hint="default"/>
        <w:sz w:val="24"/>
        <w:szCs w:val="24"/>
      </w:rPr>
    </w:lvl>
    <w:lvl w:ilvl="3">
      <w:start w:val="1"/>
      <w:numFmt w:val="decimal"/>
      <w:lvlText w:val="%1.%2.%3.%4."/>
      <w:lvlJc w:val="left"/>
      <w:pPr>
        <w:tabs>
          <w:tab w:val="num" w:pos="1920"/>
        </w:tabs>
        <w:ind w:left="1920" w:hanging="720"/>
      </w:pPr>
      <w:rPr>
        <w:rFonts w:ascii="Times New Roman" w:hAnsi="Times New Roman"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5" w15:restartNumberingAfterBreak="0">
    <w:nsid w:val="35750691"/>
    <w:multiLevelType w:val="multilevel"/>
    <w:tmpl w:val="926820C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b/>
      </w:rPr>
    </w:lvl>
    <w:lvl w:ilvl="2">
      <w:start w:val="1"/>
      <w:numFmt w:val="decimal"/>
      <w:lvlText w:val="%1.%2.%3."/>
      <w:lvlJc w:val="left"/>
      <w:pPr>
        <w:tabs>
          <w:tab w:val="num" w:pos="1920"/>
        </w:tabs>
        <w:ind w:left="1920" w:hanging="720"/>
      </w:pPr>
      <w:rPr>
        <w:rFonts w:ascii="Times New Roman" w:hAnsi="Times New Roman" w:cs="Times New Roman" w:hint="default"/>
        <w:sz w:val="24"/>
        <w:szCs w:val="24"/>
      </w:rPr>
    </w:lvl>
    <w:lvl w:ilvl="3">
      <w:start w:val="1"/>
      <w:numFmt w:val="decimal"/>
      <w:lvlText w:val="%1.%2.%3.%4."/>
      <w:lvlJc w:val="left"/>
      <w:pPr>
        <w:tabs>
          <w:tab w:val="num" w:pos="1920"/>
        </w:tabs>
        <w:ind w:left="1920" w:hanging="720"/>
      </w:pPr>
      <w:rPr>
        <w:rFonts w:ascii="Times New Roman" w:hAnsi="Times New Roman"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6" w15:restartNumberingAfterBreak="0">
    <w:nsid w:val="366C0073"/>
    <w:multiLevelType w:val="multilevel"/>
    <w:tmpl w:val="816EC836"/>
    <w:styleLink w:val="NumbListNumb"/>
    <w:lvl w:ilvl="0">
      <w:start w:val="1"/>
      <w:numFmt w:val="decimal"/>
      <w:lvlText w:val="%1."/>
      <w:lvlJc w:val="left"/>
      <w:pPr>
        <w:tabs>
          <w:tab w:val="num" w:pos="680"/>
        </w:tabs>
        <w:ind w:left="680" w:hanging="340"/>
      </w:pPr>
      <w:rPr>
        <w:rFonts w:hint="default"/>
        <w:color w:val="auto"/>
      </w:rPr>
    </w:lvl>
    <w:lvl w:ilvl="1">
      <w:start w:val="1"/>
      <w:numFmt w:val="lowerLetter"/>
      <w:lvlText w:val="%2)"/>
      <w:lvlJc w:val="left"/>
      <w:pPr>
        <w:tabs>
          <w:tab w:val="num" w:pos="1021"/>
        </w:tabs>
        <w:ind w:left="1021" w:hanging="341"/>
      </w:pPr>
      <w:rPr>
        <w:rFonts w:hint="default"/>
      </w:rPr>
    </w:lvl>
    <w:lvl w:ilvl="2">
      <w:start w:val="1"/>
      <w:numFmt w:val="lowerRoman"/>
      <w:lvlText w:val="%3."/>
      <w:lvlJc w:val="left"/>
      <w:pPr>
        <w:tabs>
          <w:tab w:val="num" w:pos="1361"/>
        </w:tabs>
        <w:ind w:left="1361" w:hanging="340"/>
      </w:pPr>
      <w:rPr>
        <w:rFonts w:hint="default"/>
      </w:rPr>
    </w:lvl>
    <w:lvl w:ilvl="3">
      <w:start w:val="1"/>
      <w:numFmt w:val="none"/>
      <w:lvlText w:val=""/>
      <w:lvlJc w:val="left"/>
      <w:pPr>
        <w:tabs>
          <w:tab w:val="num" w:pos="1361"/>
        </w:tabs>
        <w:ind w:left="1361" w:firstLine="0"/>
      </w:pPr>
      <w:rPr>
        <w:rFonts w:hint="default"/>
      </w:rPr>
    </w:lvl>
    <w:lvl w:ilvl="4">
      <w:start w:val="1"/>
      <w:numFmt w:val="none"/>
      <w:lvlText w:val=""/>
      <w:lvlJc w:val="left"/>
      <w:pPr>
        <w:tabs>
          <w:tab w:val="num" w:pos="1361"/>
        </w:tabs>
        <w:ind w:left="1361" w:firstLine="0"/>
      </w:pPr>
      <w:rPr>
        <w:rFonts w:hint="default"/>
      </w:rPr>
    </w:lvl>
    <w:lvl w:ilvl="5">
      <w:start w:val="1"/>
      <w:numFmt w:val="none"/>
      <w:lvlText w:val=""/>
      <w:lvlJc w:val="left"/>
      <w:pPr>
        <w:tabs>
          <w:tab w:val="num" w:pos="1361"/>
        </w:tabs>
        <w:ind w:left="1361" w:firstLine="0"/>
      </w:pPr>
      <w:rPr>
        <w:rFonts w:hint="default"/>
      </w:rPr>
    </w:lvl>
    <w:lvl w:ilvl="6">
      <w:start w:val="1"/>
      <w:numFmt w:val="none"/>
      <w:lvlText w:val=""/>
      <w:lvlJc w:val="left"/>
      <w:pPr>
        <w:tabs>
          <w:tab w:val="num" w:pos="1361"/>
        </w:tabs>
        <w:ind w:left="1361" w:firstLine="0"/>
      </w:pPr>
      <w:rPr>
        <w:rFonts w:hint="default"/>
      </w:rPr>
    </w:lvl>
    <w:lvl w:ilvl="7">
      <w:start w:val="1"/>
      <w:numFmt w:val="none"/>
      <w:lvlText w:val=""/>
      <w:lvlJc w:val="left"/>
      <w:pPr>
        <w:tabs>
          <w:tab w:val="num" w:pos="1361"/>
        </w:tabs>
        <w:ind w:left="1361" w:firstLine="0"/>
      </w:pPr>
      <w:rPr>
        <w:rFonts w:hint="default"/>
      </w:rPr>
    </w:lvl>
    <w:lvl w:ilvl="8">
      <w:start w:val="1"/>
      <w:numFmt w:val="none"/>
      <w:lvlText w:val=""/>
      <w:lvlJc w:val="left"/>
      <w:pPr>
        <w:tabs>
          <w:tab w:val="num" w:pos="1361"/>
        </w:tabs>
        <w:ind w:left="1361" w:firstLine="0"/>
      </w:pPr>
      <w:rPr>
        <w:rFonts w:hint="default"/>
      </w:rPr>
    </w:lvl>
  </w:abstractNum>
  <w:abstractNum w:abstractNumId="117" w15:restartNumberingAfterBreak="0">
    <w:nsid w:val="368001A3"/>
    <w:multiLevelType w:val="hybridMultilevel"/>
    <w:tmpl w:val="CD721C84"/>
    <w:lvl w:ilvl="0" w:tplc="376EE63E">
      <w:start w:val="1"/>
      <w:numFmt w:val="decimal"/>
      <w:lvlText w:val="%1."/>
      <w:lvlJc w:val="left"/>
      <w:pPr>
        <w:ind w:left="12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6F7708C"/>
    <w:multiLevelType w:val="multilevel"/>
    <w:tmpl w:val="EFA2AC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38776C09"/>
    <w:multiLevelType w:val="hybridMultilevel"/>
    <w:tmpl w:val="D74AADB0"/>
    <w:lvl w:ilvl="0" w:tplc="08090001">
      <w:start w:val="1"/>
      <w:numFmt w:val="bullet"/>
      <w:lvlText w:val=""/>
      <w:lvlJc w:val="left"/>
      <w:pPr>
        <w:ind w:left="833" w:hanging="360"/>
      </w:pPr>
      <w:rPr>
        <w:rFonts w:ascii="Symbol" w:hAnsi="Symbol" w:hint="default"/>
      </w:rPr>
    </w:lvl>
    <w:lvl w:ilvl="1" w:tplc="08090003">
      <w:start w:val="1"/>
      <w:numFmt w:val="bullet"/>
      <w:lvlText w:val="o"/>
      <w:lvlJc w:val="left"/>
      <w:pPr>
        <w:ind w:left="1553" w:hanging="360"/>
      </w:pPr>
      <w:rPr>
        <w:rFonts w:ascii="Courier New" w:hAnsi="Courier New" w:cs="Courier New" w:hint="default"/>
      </w:rPr>
    </w:lvl>
    <w:lvl w:ilvl="2" w:tplc="08090005">
      <w:start w:val="1"/>
      <w:numFmt w:val="bullet"/>
      <w:lvlText w:val=""/>
      <w:lvlJc w:val="left"/>
      <w:pPr>
        <w:ind w:left="2273" w:hanging="360"/>
      </w:pPr>
      <w:rPr>
        <w:rFonts w:ascii="Wingdings" w:hAnsi="Wingdings" w:hint="default"/>
      </w:rPr>
    </w:lvl>
    <w:lvl w:ilvl="3" w:tplc="08090001">
      <w:start w:val="1"/>
      <w:numFmt w:val="bullet"/>
      <w:lvlText w:val=""/>
      <w:lvlJc w:val="left"/>
      <w:pPr>
        <w:ind w:left="2993" w:hanging="360"/>
      </w:pPr>
      <w:rPr>
        <w:rFonts w:ascii="Symbol" w:hAnsi="Symbol" w:hint="default"/>
      </w:rPr>
    </w:lvl>
    <w:lvl w:ilvl="4" w:tplc="08090003">
      <w:start w:val="1"/>
      <w:numFmt w:val="bullet"/>
      <w:lvlText w:val="o"/>
      <w:lvlJc w:val="left"/>
      <w:pPr>
        <w:ind w:left="3713" w:hanging="360"/>
      </w:pPr>
      <w:rPr>
        <w:rFonts w:ascii="Courier New" w:hAnsi="Courier New" w:cs="Courier New" w:hint="default"/>
      </w:rPr>
    </w:lvl>
    <w:lvl w:ilvl="5" w:tplc="08090005">
      <w:start w:val="1"/>
      <w:numFmt w:val="bullet"/>
      <w:lvlText w:val=""/>
      <w:lvlJc w:val="left"/>
      <w:pPr>
        <w:ind w:left="4433" w:hanging="360"/>
      </w:pPr>
      <w:rPr>
        <w:rFonts w:ascii="Wingdings" w:hAnsi="Wingdings" w:hint="default"/>
      </w:rPr>
    </w:lvl>
    <w:lvl w:ilvl="6" w:tplc="08090001">
      <w:start w:val="1"/>
      <w:numFmt w:val="bullet"/>
      <w:lvlText w:val=""/>
      <w:lvlJc w:val="left"/>
      <w:pPr>
        <w:ind w:left="5153" w:hanging="360"/>
      </w:pPr>
      <w:rPr>
        <w:rFonts w:ascii="Symbol" w:hAnsi="Symbol" w:hint="default"/>
      </w:rPr>
    </w:lvl>
    <w:lvl w:ilvl="7" w:tplc="08090003">
      <w:start w:val="1"/>
      <w:numFmt w:val="bullet"/>
      <w:lvlText w:val="o"/>
      <w:lvlJc w:val="left"/>
      <w:pPr>
        <w:ind w:left="5873" w:hanging="360"/>
      </w:pPr>
      <w:rPr>
        <w:rFonts w:ascii="Courier New" w:hAnsi="Courier New" w:cs="Courier New" w:hint="default"/>
      </w:rPr>
    </w:lvl>
    <w:lvl w:ilvl="8" w:tplc="08090005">
      <w:start w:val="1"/>
      <w:numFmt w:val="bullet"/>
      <w:lvlText w:val=""/>
      <w:lvlJc w:val="left"/>
      <w:pPr>
        <w:ind w:left="6593" w:hanging="360"/>
      </w:pPr>
      <w:rPr>
        <w:rFonts w:ascii="Wingdings" w:hAnsi="Wingdings" w:hint="default"/>
      </w:rPr>
    </w:lvl>
  </w:abstractNum>
  <w:abstractNum w:abstractNumId="120" w15:restartNumberingAfterBreak="0">
    <w:nsid w:val="3943708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39801475"/>
    <w:multiLevelType w:val="multilevel"/>
    <w:tmpl w:val="241819BA"/>
    <w:styleLink w:val="NumbLstBTBullet"/>
    <w:lvl w:ilvl="0">
      <w:start w:val="1"/>
      <w:numFmt w:val="bullet"/>
      <w:pStyle w:val="BTBullet1"/>
      <w:lvlText w:val="■"/>
      <w:lvlJc w:val="left"/>
      <w:pPr>
        <w:tabs>
          <w:tab w:val="num" w:pos="1191"/>
        </w:tabs>
        <w:ind w:left="1191" w:hanging="340"/>
      </w:pPr>
      <w:rPr>
        <w:rFonts w:ascii="Arial" w:hAnsi="Arial" w:hint="default"/>
        <w:color w:val="auto"/>
      </w:rPr>
    </w:lvl>
    <w:lvl w:ilvl="1">
      <w:start w:val="1"/>
      <w:numFmt w:val="bullet"/>
      <w:pStyle w:val="BTBullet2"/>
      <w:lvlText w:val="–"/>
      <w:lvlJc w:val="left"/>
      <w:pPr>
        <w:tabs>
          <w:tab w:val="num" w:pos="1531"/>
        </w:tabs>
        <w:ind w:left="1531" w:hanging="340"/>
      </w:pPr>
      <w:rPr>
        <w:rFonts w:ascii="Arial" w:hAnsi="Arial" w:hint="default"/>
        <w:color w:val="auto"/>
      </w:rPr>
    </w:lvl>
    <w:lvl w:ilvl="2">
      <w:start w:val="1"/>
      <w:numFmt w:val="bullet"/>
      <w:pStyle w:val="BTBullet3"/>
      <w:lvlText w:val="○"/>
      <w:lvlJc w:val="left"/>
      <w:pPr>
        <w:tabs>
          <w:tab w:val="num" w:pos="1871"/>
        </w:tabs>
        <w:ind w:left="1871" w:hanging="340"/>
      </w:pPr>
      <w:rPr>
        <w:rFonts w:ascii="Arial" w:hAnsi="Arial" w:hint="default"/>
        <w:color w:val="auto"/>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122" w15:restartNumberingAfterBreak="0">
    <w:nsid w:val="3A6B6BFD"/>
    <w:multiLevelType w:val="multilevel"/>
    <w:tmpl w:val="DA5A5AC0"/>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b/>
        <w:i w:val="0"/>
        <w:color w:val="auto"/>
        <w:sz w:val="20"/>
      </w:rPr>
    </w:lvl>
    <w:lvl w:ilvl="4">
      <w:start w:val="1"/>
      <w:numFmt w:val="none"/>
      <w:suff w:val="nothing"/>
      <w:lvlText w:val=""/>
      <w:lvlJc w:val="left"/>
      <w:pPr>
        <w:ind w:left="851" w:hanging="851"/>
      </w:pPr>
      <w:rPr>
        <w:rFonts w:ascii="Arial Bold" w:hAnsi="Arial Bold" w:hint="default"/>
        <w:b/>
        <w:i/>
        <w:color w:val="000000" w:themeColor="text1"/>
        <w:sz w:val="20"/>
      </w:rPr>
    </w:lvl>
    <w:lvl w:ilvl="5">
      <w:start w:val="1"/>
      <w:numFmt w:val="decimal"/>
      <w:lvlRestart w:val="1"/>
      <w:lvlText w:val="Figure %1.%6"/>
      <w:lvlJc w:val="left"/>
      <w:pPr>
        <w:tabs>
          <w:tab w:val="num" w:pos="1190"/>
        </w:tabs>
        <w:ind w:left="1190" w:hanging="1190"/>
      </w:pPr>
      <w:rPr>
        <w:rFonts w:ascii="Arial" w:hAnsi="Arial" w:hint="default"/>
        <w:color w:val="4F81BD" w:themeColor="accent1"/>
      </w:rPr>
    </w:lvl>
    <w:lvl w:ilvl="6">
      <w:start w:val="1"/>
      <w:numFmt w:val="decimal"/>
      <w:lvlRestart w:val="1"/>
      <w:lvlText w:val="Table %1.%7"/>
      <w:lvlJc w:val="left"/>
      <w:pPr>
        <w:tabs>
          <w:tab w:val="num" w:pos="851"/>
        </w:tabs>
        <w:ind w:left="1928" w:hanging="1077"/>
      </w:pPr>
      <w:rPr>
        <w:rFonts w:ascii="Arial" w:hAnsi="Arial" w:hint="default"/>
      </w:rPr>
    </w:lvl>
    <w:lvl w:ilvl="7">
      <w:start w:val="1"/>
      <w:numFmt w:val="decimal"/>
      <w:lvlRestart w:val="1"/>
      <w:lvlText w:val="Box %1.%8"/>
      <w:lvlJc w:val="left"/>
      <w:pPr>
        <w:ind w:left="1928" w:hanging="1077"/>
      </w:pPr>
      <w:rPr>
        <w:rFonts w:ascii="Arial" w:hAnsi="Arial" w:hint="default"/>
        <w:color w:val="4F81BD" w:themeColor="accent1"/>
      </w:rPr>
    </w:lvl>
    <w:lvl w:ilvl="8">
      <w:start w:val="1"/>
      <w:numFmt w:val="none"/>
      <w:lvlText w:val=""/>
      <w:lvlJc w:val="left"/>
      <w:pPr>
        <w:ind w:left="425" w:hanging="425"/>
      </w:pPr>
      <w:rPr>
        <w:rFonts w:ascii="Georgia" w:hAnsi="Georgia" w:hint="default"/>
        <w:color w:val="1F497D" w:themeColor="text2"/>
      </w:rPr>
    </w:lvl>
  </w:abstractNum>
  <w:abstractNum w:abstractNumId="123" w15:restartNumberingAfterBreak="0">
    <w:nsid w:val="3A8004A7"/>
    <w:multiLevelType w:val="hybridMultilevel"/>
    <w:tmpl w:val="622ED7F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4" w15:restartNumberingAfterBreak="0">
    <w:nsid w:val="3AC852A9"/>
    <w:multiLevelType w:val="multilevel"/>
    <w:tmpl w:val="926820C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b/>
      </w:rPr>
    </w:lvl>
    <w:lvl w:ilvl="2">
      <w:start w:val="1"/>
      <w:numFmt w:val="decimal"/>
      <w:lvlText w:val="%1.%2.%3."/>
      <w:lvlJc w:val="left"/>
      <w:pPr>
        <w:tabs>
          <w:tab w:val="num" w:pos="1920"/>
        </w:tabs>
        <w:ind w:left="1920" w:hanging="720"/>
      </w:pPr>
      <w:rPr>
        <w:rFonts w:ascii="Times New Roman" w:hAnsi="Times New Roman" w:cs="Times New Roman" w:hint="default"/>
        <w:sz w:val="24"/>
        <w:szCs w:val="24"/>
      </w:rPr>
    </w:lvl>
    <w:lvl w:ilvl="3">
      <w:start w:val="1"/>
      <w:numFmt w:val="decimal"/>
      <w:lvlText w:val="%1.%2.%3.%4."/>
      <w:lvlJc w:val="left"/>
      <w:pPr>
        <w:tabs>
          <w:tab w:val="num" w:pos="1920"/>
        </w:tabs>
        <w:ind w:left="1920" w:hanging="720"/>
      </w:pPr>
      <w:rPr>
        <w:rFonts w:ascii="Times New Roman" w:hAnsi="Times New Roman"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5" w15:restartNumberingAfterBreak="0">
    <w:nsid w:val="3B166B28"/>
    <w:multiLevelType w:val="multilevel"/>
    <w:tmpl w:val="F4FAE1AE"/>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b/>
      </w:rPr>
    </w:lvl>
    <w:lvl w:ilvl="2">
      <w:start w:val="1"/>
      <w:numFmt w:val="decimal"/>
      <w:lvlText w:val="%1.%2.%3."/>
      <w:lvlJc w:val="left"/>
      <w:pPr>
        <w:tabs>
          <w:tab w:val="num" w:pos="1920"/>
        </w:tabs>
        <w:ind w:left="1920" w:hanging="720"/>
      </w:pPr>
      <w:rPr>
        <w:rFonts w:ascii="Times New Roman" w:hAnsi="Times New Roman" w:cs="Times New Roman" w:hint="default"/>
        <w:sz w:val="24"/>
        <w:szCs w:val="24"/>
      </w:rPr>
    </w:lvl>
    <w:lvl w:ilvl="3">
      <w:start w:val="1"/>
      <w:numFmt w:val="decimal"/>
      <w:lvlText w:val="%1.%2.%3.%4."/>
      <w:lvlJc w:val="left"/>
      <w:pPr>
        <w:tabs>
          <w:tab w:val="num" w:pos="1920"/>
        </w:tabs>
        <w:ind w:left="1920" w:hanging="720"/>
      </w:pPr>
      <w:rPr>
        <w:rFonts w:ascii="Times New Roman" w:hAnsi="Times New Roman"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6" w15:restartNumberingAfterBreak="0">
    <w:nsid w:val="3BFE3DD6"/>
    <w:multiLevelType w:val="multilevel"/>
    <w:tmpl w:val="9C864656"/>
    <w:lvl w:ilvl="0">
      <w:start w:val="3"/>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hint="default"/>
      </w:rPr>
    </w:lvl>
    <w:lvl w:ilvl="2">
      <w:start w:val="1"/>
      <w:numFmt w:val="decimal"/>
      <w:lvlText w:val="%1.%2.%3."/>
      <w:lvlJc w:val="left"/>
      <w:pPr>
        <w:ind w:left="1680" w:hanging="720"/>
      </w:pPr>
      <w:rPr>
        <w:rFonts w:ascii="Times New Roman" w:hAnsi="Times New Roman" w:cs="Times New Roman" w:hint="default"/>
        <w:b/>
        <w:i w:val="0"/>
        <w:sz w:val="24"/>
        <w:szCs w:val="24"/>
        <w:u w:val="none"/>
      </w:rPr>
    </w:lvl>
    <w:lvl w:ilvl="3">
      <w:start w:val="1"/>
      <w:numFmt w:val="decimal"/>
      <w:lvlText w:val="%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27" w15:restartNumberingAfterBreak="0">
    <w:nsid w:val="3C1E0A2D"/>
    <w:multiLevelType w:val="multilevel"/>
    <w:tmpl w:val="B13CFD6E"/>
    <w:lvl w:ilvl="0">
      <w:start w:val="3"/>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hint="default"/>
      </w:rPr>
    </w:lvl>
    <w:lvl w:ilvl="2">
      <w:start w:val="1"/>
      <w:numFmt w:val="decimal"/>
      <w:lvlText w:val="%1.%2.%3."/>
      <w:lvlJc w:val="left"/>
      <w:pPr>
        <w:ind w:left="1680" w:hanging="720"/>
      </w:pPr>
      <w:rPr>
        <w:rFonts w:hint="default"/>
      </w:rPr>
    </w:lvl>
    <w:lvl w:ilvl="3">
      <w:start w:val="1"/>
      <w:numFmt w:val="decimal"/>
      <w:lvlText w:val="%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28" w15:restartNumberingAfterBreak="0">
    <w:nsid w:val="3C9B40D5"/>
    <w:multiLevelType w:val="hybridMultilevel"/>
    <w:tmpl w:val="E2BE12E4"/>
    <w:lvl w:ilvl="0" w:tplc="04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9" w15:restartNumberingAfterBreak="0">
    <w:nsid w:val="3CAF529A"/>
    <w:multiLevelType w:val="hybridMultilevel"/>
    <w:tmpl w:val="6F0C7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CCA5AB8"/>
    <w:multiLevelType w:val="hybridMultilevel"/>
    <w:tmpl w:val="2CB46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CF00E18"/>
    <w:multiLevelType w:val="singleLevel"/>
    <w:tmpl w:val="4E1A982C"/>
    <w:lvl w:ilvl="0">
      <w:start w:val="1"/>
      <w:numFmt w:val="bullet"/>
      <w:pStyle w:val="Bullet2Space"/>
      <w:lvlText w:val=""/>
      <w:lvlJc w:val="left"/>
      <w:pPr>
        <w:tabs>
          <w:tab w:val="num" w:pos="283"/>
        </w:tabs>
        <w:ind w:left="283" w:hanging="283"/>
      </w:pPr>
      <w:rPr>
        <w:rFonts w:ascii="Symbol" w:hAnsi="Symbol"/>
      </w:rPr>
    </w:lvl>
  </w:abstractNum>
  <w:abstractNum w:abstractNumId="132" w15:restartNumberingAfterBreak="0">
    <w:nsid w:val="3D4E1FDC"/>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3DBA4218"/>
    <w:multiLevelType w:val="hybridMultilevel"/>
    <w:tmpl w:val="213EBB24"/>
    <w:lvl w:ilvl="0" w:tplc="18025542">
      <w:start w:val="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4" w15:restartNumberingAfterBreak="0">
    <w:nsid w:val="3DDC5A79"/>
    <w:multiLevelType w:val="multilevel"/>
    <w:tmpl w:val="26A84794"/>
    <w:lvl w:ilvl="0">
      <w:start w:val="2"/>
      <w:numFmt w:val="decimal"/>
      <w:lvlText w:val="%1."/>
      <w:lvlJc w:val="left"/>
      <w:pPr>
        <w:ind w:left="585" w:hanging="585"/>
      </w:pPr>
      <w:rPr>
        <w:rFonts w:ascii="Verdana" w:hAnsi="Verdana" w:cstheme="minorBidi" w:hint="default"/>
        <w:sz w:val="20"/>
      </w:rPr>
    </w:lvl>
    <w:lvl w:ilvl="1">
      <w:start w:val="1"/>
      <w:numFmt w:val="decimal"/>
      <w:lvlText w:val="%1.%2."/>
      <w:lvlJc w:val="left"/>
      <w:pPr>
        <w:ind w:left="1185" w:hanging="585"/>
      </w:pPr>
      <w:rPr>
        <w:rFonts w:ascii="Verdana" w:hAnsi="Verdana" w:cstheme="minorBidi" w:hint="default"/>
        <w:sz w:val="20"/>
      </w:rPr>
    </w:lvl>
    <w:lvl w:ilvl="2">
      <w:start w:val="3"/>
      <w:numFmt w:val="decimal"/>
      <w:lvlText w:val="%1.%2.%3."/>
      <w:lvlJc w:val="left"/>
      <w:pPr>
        <w:ind w:left="1920" w:hanging="720"/>
      </w:pPr>
      <w:rPr>
        <w:rFonts w:ascii="Verdana" w:hAnsi="Verdana" w:cstheme="minorBidi" w:hint="default"/>
        <w:sz w:val="20"/>
      </w:rPr>
    </w:lvl>
    <w:lvl w:ilvl="3">
      <w:start w:val="1"/>
      <w:numFmt w:val="decimal"/>
      <w:lvlText w:val="%1.%2.%3.%4."/>
      <w:lvlJc w:val="left"/>
      <w:pPr>
        <w:ind w:left="2520" w:hanging="720"/>
      </w:pPr>
      <w:rPr>
        <w:rFonts w:ascii="Verdana" w:hAnsi="Verdana" w:cstheme="minorBidi" w:hint="default"/>
        <w:sz w:val="20"/>
      </w:rPr>
    </w:lvl>
    <w:lvl w:ilvl="4">
      <w:start w:val="1"/>
      <w:numFmt w:val="decimal"/>
      <w:lvlText w:val="%1.%2.%3.%4.%5."/>
      <w:lvlJc w:val="left"/>
      <w:pPr>
        <w:ind w:left="3480" w:hanging="1080"/>
      </w:pPr>
      <w:rPr>
        <w:rFonts w:ascii="Verdana" w:hAnsi="Verdana" w:cstheme="minorBidi" w:hint="default"/>
        <w:sz w:val="20"/>
      </w:rPr>
    </w:lvl>
    <w:lvl w:ilvl="5">
      <w:start w:val="1"/>
      <w:numFmt w:val="decimal"/>
      <w:lvlText w:val="%1.%2.%3.%4.%5.%6."/>
      <w:lvlJc w:val="left"/>
      <w:pPr>
        <w:ind w:left="4080" w:hanging="1080"/>
      </w:pPr>
      <w:rPr>
        <w:rFonts w:ascii="Verdana" w:hAnsi="Verdana" w:cstheme="minorBidi" w:hint="default"/>
        <w:sz w:val="20"/>
      </w:rPr>
    </w:lvl>
    <w:lvl w:ilvl="6">
      <w:start w:val="1"/>
      <w:numFmt w:val="decimal"/>
      <w:lvlText w:val="%1.%2.%3.%4.%5.%6.%7."/>
      <w:lvlJc w:val="left"/>
      <w:pPr>
        <w:ind w:left="5040" w:hanging="1440"/>
      </w:pPr>
      <w:rPr>
        <w:rFonts w:ascii="Verdana" w:hAnsi="Verdana" w:cstheme="minorBidi" w:hint="default"/>
        <w:sz w:val="20"/>
      </w:rPr>
    </w:lvl>
    <w:lvl w:ilvl="7">
      <w:start w:val="1"/>
      <w:numFmt w:val="decimal"/>
      <w:lvlText w:val="%1.%2.%3.%4.%5.%6.%7.%8."/>
      <w:lvlJc w:val="left"/>
      <w:pPr>
        <w:ind w:left="5640" w:hanging="1440"/>
      </w:pPr>
      <w:rPr>
        <w:rFonts w:ascii="Verdana" w:hAnsi="Verdana" w:cstheme="minorBidi" w:hint="default"/>
        <w:sz w:val="20"/>
      </w:rPr>
    </w:lvl>
    <w:lvl w:ilvl="8">
      <w:start w:val="1"/>
      <w:numFmt w:val="decimal"/>
      <w:lvlText w:val="%1.%2.%3.%4.%5.%6.%7.%8.%9."/>
      <w:lvlJc w:val="left"/>
      <w:pPr>
        <w:ind w:left="6600" w:hanging="1800"/>
      </w:pPr>
      <w:rPr>
        <w:rFonts w:ascii="Verdana" w:hAnsi="Verdana" w:cstheme="minorBidi" w:hint="default"/>
        <w:sz w:val="20"/>
      </w:rPr>
    </w:lvl>
  </w:abstractNum>
  <w:abstractNum w:abstractNumId="135" w15:restartNumberingAfterBreak="0">
    <w:nsid w:val="3DF9381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15:restartNumberingAfterBreak="0">
    <w:nsid w:val="3E045B6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3E144406"/>
    <w:multiLevelType w:val="multilevel"/>
    <w:tmpl w:val="A238BC44"/>
    <w:styleLink w:val="NumbLstBullet"/>
    <w:lvl w:ilvl="0">
      <w:start w:val="1"/>
      <w:numFmt w:val="bullet"/>
      <w:lvlText w:val="■"/>
      <w:lvlJc w:val="left"/>
      <w:pPr>
        <w:tabs>
          <w:tab w:val="num" w:pos="340"/>
        </w:tabs>
        <w:ind w:left="340" w:hanging="340"/>
      </w:pPr>
      <w:rPr>
        <w:rFonts w:ascii="Arial" w:hAnsi="Arial" w:hint="default"/>
        <w:color w:val="auto"/>
        <w:sz w:val="18"/>
      </w:rPr>
    </w:lvl>
    <w:lvl w:ilvl="1">
      <w:start w:val="1"/>
      <w:numFmt w:val="bullet"/>
      <w:lvlText w:val="–"/>
      <w:lvlJc w:val="left"/>
      <w:pPr>
        <w:tabs>
          <w:tab w:val="num" w:pos="680"/>
        </w:tabs>
        <w:ind w:left="680" w:hanging="340"/>
      </w:pPr>
      <w:rPr>
        <w:rFonts w:ascii="Arial" w:hAnsi="Arial" w:hint="default"/>
        <w:color w:val="auto"/>
      </w:rPr>
    </w:lvl>
    <w:lvl w:ilvl="2">
      <w:start w:val="1"/>
      <w:numFmt w:val="bullet"/>
      <w:lvlText w:val="○"/>
      <w:lvlJc w:val="left"/>
      <w:pPr>
        <w:tabs>
          <w:tab w:val="num" w:pos="1021"/>
        </w:tabs>
        <w:ind w:left="1021" w:hanging="341"/>
      </w:pPr>
      <w:rPr>
        <w:rFonts w:ascii="Arial" w:hAnsi="Arial" w:hint="default"/>
        <w:color w:val="auto"/>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138" w15:restartNumberingAfterBreak="0">
    <w:nsid w:val="401D61BD"/>
    <w:multiLevelType w:val="multilevel"/>
    <w:tmpl w:val="F4FAE1AE"/>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b/>
      </w:rPr>
    </w:lvl>
    <w:lvl w:ilvl="2">
      <w:start w:val="1"/>
      <w:numFmt w:val="decimal"/>
      <w:lvlText w:val="%1.%2.%3."/>
      <w:lvlJc w:val="left"/>
      <w:pPr>
        <w:tabs>
          <w:tab w:val="num" w:pos="1920"/>
        </w:tabs>
        <w:ind w:left="1920" w:hanging="720"/>
      </w:pPr>
      <w:rPr>
        <w:rFonts w:ascii="Times New Roman" w:hAnsi="Times New Roman" w:cs="Times New Roman" w:hint="default"/>
        <w:sz w:val="24"/>
        <w:szCs w:val="24"/>
      </w:rPr>
    </w:lvl>
    <w:lvl w:ilvl="3">
      <w:start w:val="1"/>
      <w:numFmt w:val="decimal"/>
      <w:lvlText w:val="%1.%2.%3.%4."/>
      <w:lvlJc w:val="left"/>
      <w:pPr>
        <w:tabs>
          <w:tab w:val="num" w:pos="1920"/>
        </w:tabs>
        <w:ind w:left="1920" w:hanging="720"/>
      </w:pPr>
      <w:rPr>
        <w:rFonts w:ascii="Times New Roman" w:hAnsi="Times New Roman"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9" w15:restartNumberingAfterBreak="0">
    <w:nsid w:val="402C0C2C"/>
    <w:multiLevelType w:val="multilevel"/>
    <w:tmpl w:val="D3FE6580"/>
    <w:lvl w:ilvl="0">
      <w:start w:val="3"/>
      <w:numFmt w:val="decimal"/>
      <w:lvlText w:val="%1."/>
      <w:lvlJc w:val="left"/>
      <w:pPr>
        <w:ind w:left="360" w:hanging="360"/>
      </w:pPr>
      <w:rPr>
        <w:rFonts w:ascii="Times New Roman" w:hAnsi="Times New Roman" w:cs="Times New Roman" w:hint="default"/>
        <w:b/>
        <w:i w:val="0"/>
      </w:rPr>
    </w:lvl>
    <w:lvl w:ilvl="1">
      <w:start w:val="1"/>
      <w:numFmt w:val="decimal"/>
      <w:lvlText w:val="%1.%2."/>
      <w:lvlJc w:val="left"/>
      <w:pPr>
        <w:ind w:left="360" w:hanging="360"/>
      </w:pPr>
      <w:rPr>
        <w:rFonts w:hint="default"/>
      </w:rPr>
    </w:lvl>
    <w:lvl w:ilvl="2">
      <w:start w:val="1"/>
      <w:numFmt w:val="decimal"/>
      <w:lvlText w:val="%1.%2.%3."/>
      <w:lvlJc w:val="left"/>
      <w:pPr>
        <w:ind w:left="1680" w:hanging="720"/>
      </w:pPr>
      <w:rPr>
        <w:rFonts w:ascii="Times New Roman" w:hAnsi="Times New Roman" w:cs="Times New Roman" w:hint="default"/>
        <w:b/>
        <w:i w:val="0"/>
        <w:sz w:val="24"/>
        <w:szCs w:val="24"/>
        <w:u w:val="none"/>
      </w:rPr>
    </w:lvl>
    <w:lvl w:ilvl="3">
      <w:start w:val="1"/>
      <w:numFmt w:val="decimal"/>
      <w:lvlText w:val="%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40" w15:restartNumberingAfterBreak="0">
    <w:nsid w:val="408D2334"/>
    <w:multiLevelType w:val="hybridMultilevel"/>
    <w:tmpl w:val="6E7ADD10"/>
    <w:lvl w:ilvl="0" w:tplc="4DFAEA40">
      <w:numFmt w:val="bullet"/>
      <w:lvlText w:val="-"/>
      <w:lvlJc w:val="left"/>
      <w:pPr>
        <w:ind w:left="720" w:hanging="360"/>
      </w:pPr>
      <w:rPr>
        <w:rFonts w:ascii="Times New Roman" w:eastAsia="Times New Roman" w:hAnsi="Times New Roman" w:cs="Times New Roman" w:hint="default"/>
      </w:rPr>
    </w:lvl>
    <w:lvl w:ilvl="1" w:tplc="4A9C9CBE">
      <w:numFmt w:val="bullet"/>
      <w:lvlText w:val="•"/>
      <w:lvlJc w:val="left"/>
      <w:pPr>
        <w:ind w:left="1800" w:hanging="720"/>
      </w:pPr>
      <w:rPr>
        <w:rFonts w:ascii="Times New Roman" w:eastAsiaTheme="minorHAnsi" w:hAnsi="Times New Roman" w:cs="Times New Roman"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1" w15:restartNumberingAfterBreak="0">
    <w:nsid w:val="40AD6B41"/>
    <w:multiLevelType w:val="hybridMultilevel"/>
    <w:tmpl w:val="42CAC234"/>
    <w:lvl w:ilvl="0" w:tplc="2DA67F56">
      <w:start w:val="1"/>
      <w:numFmt w:val="bullet"/>
      <w:lvlText w:val=""/>
      <w:lvlJc w:val="left"/>
      <w:pPr>
        <w:ind w:left="360" w:hanging="360"/>
      </w:pPr>
      <w:rPr>
        <w:rFonts w:ascii="Wingdings" w:hAnsi="Wingdings"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2" w15:restartNumberingAfterBreak="0">
    <w:nsid w:val="40E128C6"/>
    <w:multiLevelType w:val="hybridMultilevel"/>
    <w:tmpl w:val="DC28721C"/>
    <w:lvl w:ilvl="0" w:tplc="4DFAEA40">
      <w:numFmt w:val="bullet"/>
      <w:lvlText w:val="-"/>
      <w:lvlJc w:val="left"/>
      <w:pPr>
        <w:ind w:left="360" w:hanging="360"/>
      </w:pPr>
      <w:rPr>
        <w:rFonts w:ascii="Times New Roman" w:eastAsia="Times New Roman" w:hAnsi="Times New Roman" w:cs="Times New Roman"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3" w15:restartNumberingAfterBreak="0">
    <w:nsid w:val="411802AE"/>
    <w:multiLevelType w:val="multilevel"/>
    <w:tmpl w:val="59628A24"/>
    <w:styleLink w:val="NumblistTablesFigures"/>
    <w:lvl w:ilvl="0">
      <w:start w:val="1"/>
      <w:numFmt w:val="decimal"/>
      <w:lvlText w:val="Table %1."/>
      <w:lvlJc w:val="left"/>
      <w:pPr>
        <w:tabs>
          <w:tab w:val="num" w:pos="1077"/>
        </w:tabs>
        <w:ind w:left="1077" w:hanging="1077"/>
      </w:pPr>
      <w:rPr>
        <w:rFonts w:hint="default"/>
      </w:rPr>
    </w:lvl>
    <w:lvl w:ilvl="1">
      <w:start w:val="1"/>
      <w:numFmt w:val="decimal"/>
      <w:lvlRestart w:val="0"/>
      <w:lvlText w:val="Figure %2."/>
      <w:lvlJc w:val="left"/>
      <w:pPr>
        <w:tabs>
          <w:tab w:val="num" w:pos="1077"/>
        </w:tabs>
        <w:ind w:left="1077" w:hanging="1077"/>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4" w15:restartNumberingAfterBreak="0">
    <w:nsid w:val="41466D3C"/>
    <w:multiLevelType w:val="multilevel"/>
    <w:tmpl w:val="BE602216"/>
    <w:lvl w:ilvl="0">
      <w:start w:val="1"/>
      <w:numFmt w:val="decimal"/>
      <w:lvlText w:val="%1."/>
      <w:lvlJc w:val="left"/>
      <w:pPr>
        <w:ind w:left="360" w:hanging="360"/>
      </w:pPr>
    </w:lvl>
    <w:lvl w:ilvl="1">
      <w:start w:val="1"/>
      <w:numFmt w:val="decimal"/>
      <w:lvlText w:val="%1.%2."/>
      <w:lvlJc w:val="left"/>
      <w:pPr>
        <w:ind w:left="792" w:hanging="432"/>
      </w:pPr>
      <w:rPr>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41701B2E"/>
    <w:multiLevelType w:val="multilevel"/>
    <w:tmpl w:val="71D0A84A"/>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41AF2373"/>
    <w:multiLevelType w:val="multilevel"/>
    <w:tmpl w:val="E3BEA5C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7" w15:restartNumberingAfterBreak="0">
    <w:nsid w:val="429D42A6"/>
    <w:multiLevelType w:val="multilevel"/>
    <w:tmpl w:val="BE602216"/>
    <w:lvl w:ilvl="0">
      <w:start w:val="1"/>
      <w:numFmt w:val="decimal"/>
      <w:lvlText w:val="%1."/>
      <w:lvlJc w:val="left"/>
      <w:pPr>
        <w:ind w:left="360" w:hanging="360"/>
      </w:pPr>
    </w:lvl>
    <w:lvl w:ilvl="1">
      <w:start w:val="1"/>
      <w:numFmt w:val="decimal"/>
      <w:lvlText w:val="%1.%2."/>
      <w:lvlJc w:val="left"/>
      <w:pPr>
        <w:ind w:left="792" w:hanging="432"/>
      </w:pPr>
      <w:rPr>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42E1708E"/>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42FE4297"/>
    <w:multiLevelType w:val="multilevel"/>
    <w:tmpl w:val="D24682C0"/>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b/>
      </w:rPr>
    </w:lvl>
    <w:lvl w:ilvl="2">
      <w:start w:val="1"/>
      <w:numFmt w:val="decimal"/>
      <w:lvlText w:val="%1.%2.%3."/>
      <w:lvlJc w:val="left"/>
      <w:pPr>
        <w:tabs>
          <w:tab w:val="num" w:pos="1920"/>
        </w:tabs>
        <w:ind w:left="1920" w:hanging="720"/>
      </w:pPr>
      <w:rPr>
        <w:rFonts w:ascii="Times New Roman" w:hAnsi="Times New Roman" w:cs="Times New Roman" w:hint="default"/>
        <w:sz w:val="24"/>
        <w:szCs w:val="24"/>
      </w:rPr>
    </w:lvl>
    <w:lvl w:ilvl="3">
      <w:start w:val="1"/>
      <w:numFmt w:val="decimal"/>
      <w:lvlText w:val="%1.%2.%3.%4."/>
      <w:lvlJc w:val="left"/>
      <w:pPr>
        <w:tabs>
          <w:tab w:val="num" w:pos="1920"/>
        </w:tabs>
        <w:ind w:left="1920" w:hanging="720"/>
      </w:pPr>
      <w:rPr>
        <w:rFonts w:ascii="Times New Roman" w:hAnsi="Times New Roman"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0" w15:restartNumberingAfterBreak="0">
    <w:nsid w:val="43414A78"/>
    <w:multiLevelType w:val="multilevel"/>
    <w:tmpl w:val="1EB8C6CC"/>
    <w:lvl w:ilvl="0">
      <w:start w:val="2"/>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151" w15:restartNumberingAfterBreak="0">
    <w:nsid w:val="445A7E37"/>
    <w:multiLevelType w:val="multilevel"/>
    <w:tmpl w:val="EFA2AC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2" w15:restartNumberingAfterBreak="0">
    <w:nsid w:val="45E821CB"/>
    <w:multiLevelType w:val="hybridMultilevel"/>
    <w:tmpl w:val="A7A29A36"/>
    <w:lvl w:ilvl="0" w:tplc="DD42CFF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3" w15:restartNumberingAfterBreak="0">
    <w:nsid w:val="461E1FB0"/>
    <w:multiLevelType w:val="hybridMultilevel"/>
    <w:tmpl w:val="55341490"/>
    <w:lvl w:ilvl="0" w:tplc="1734716A">
      <w:start w:val="1"/>
      <w:numFmt w:val="bullet"/>
      <w:lvlText w:val=""/>
      <w:lvlJc w:val="left"/>
      <w:pPr>
        <w:tabs>
          <w:tab w:val="num" w:pos="227"/>
        </w:tabs>
        <w:ind w:left="227" w:hanging="227"/>
      </w:pPr>
      <w:rPr>
        <w:rFonts w:ascii="Wingdings" w:hAnsi="Wingdings" w:hint="default"/>
        <w:color w:val="7B6F4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46527A8D"/>
    <w:multiLevelType w:val="hybridMultilevel"/>
    <w:tmpl w:val="894A512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5" w15:restartNumberingAfterBreak="0">
    <w:nsid w:val="4752564C"/>
    <w:multiLevelType w:val="multilevel"/>
    <w:tmpl w:val="9C864656"/>
    <w:lvl w:ilvl="0">
      <w:start w:val="3"/>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hint="default"/>
      </w:rPr>
    </w:lvl>
    <w:lvl w:ilvl="2">
      <w:start w:val="1"/>
      <w:numFmt w:val="decimal"/>
      <w:lvlText w:val="%1.%2.%3."/>
      <w:lvlJc w:val="left"/>
      <w:pPr>
        <w:ind w:left="1680" w:hanging="720"/>
      </w:pPr>
      <w:rPr>
        <w:rFonts w:ascii="Times New Roman" w:hAnsi="Times New Roman" w:cs="Times New Roman" w:hint="default"/>
        <w:b/>
        <w:i w:val="0"/>
        <w:sz w:val="24"/>
        <w:szCs w:val="24"/>
        <w:u w:val="none"/>
      </w:rPr>
    </w:lvl>
    <w:lvl w:ilvl="3">
      <w:start w:val="1"/>
      <w:numFmt w:val="decimal"/>
      <w:lvlText w:val="%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56" w15:restartNumberingAfterBreak="0">
    <w:nsid w:val="49A05484"/>
    <w:multiLevelType w:val="multilevel"/>
    <w:tmpl w:val="241819BA"/>
    <w:numStyleLink w:val="NumbLstBTBullet"/>
  </w:abstractNum>
  <w:abstractNum w:abstractNumId="157" w15:restartNumberingAfterBreak="0">
    <w:nsid w:val="49D65326"/>
    <w:multiLevelType w:val="hybridMultilevel"/>
    <w:tmpl w:val="63F29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4A097871"/>
    <w:multiLevelType w:val="multilevel"/>
    <w:tmpl w:val="B908E4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9" w15:restartNumberingAfterBreak="0">
    <w:nsid w:val="4A4F7D39"/>
    <w:multiLevelType w:val="hybridMultilevel"/>
    <w:tmpl w:val="9F7276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0" w15:restartNumberingAfterBreak="0">
    <w:nsid w:val="4A560475"/>
    <w:multiLevelType w:val="multilevel"/>
    <w:tmpl w:val="7B0E4F4C"/>
    <w:lvl w:ilvl="0">
      <w:start w:val="6"/>
      <w:numFmt w:val="none"/>
      <w:lvlText w:val="5."/>
      <w:lvlJc w:val="left"/>
      <w:pPr>
        <w:ind w:left="360" w:hanging="360"/>
      </w:pPr>
      <w:rPr>
        <w:rFonts w:hint="default"/>
      </w:rPr>
    </w:lvl>
    <w:lvl w:ilvl="1">
      <w:start w:val="2"/>
      <w:numFmt w:val="decimal"/>
      <w:lvlText w:val="5.%2."/>
      <w:lvlJc w:val="left"/>
      <w:pPr>
        <w:ind w:left="36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b w:val="0"/>
        <w:i w:val="0"/>
        <w:sz w:val="24"/>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61" w15:restartNumberingAfterBreak="0">
    <w:nsid w:val="4A751D99"/>
    <w:multiLevelType w:val="hybridMultilevel"/>
    <w:tmpl w:val="631E0884"/>
    <w:lvl w:ilvl="0" w:tplc="F724E3BC">
      <w:numFmt w:val="bullet"/>
      <w:lvlText w:val=""/>
      <w:lvlJc w:val="left"/>
      <w:pPr>
        <w:ind w:left="720" w:hanging="360"/>
      </w:pPr>
      <w:rPr>
        <w:rFonts w:ascii="Wingdings" w:eastAsiaTheme="minorHAnsi" w:hAnsi="Wingdings" w:cs="Times New Roman"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2" w15:restartNumberingAfterBreak="0">
    <w:nsid w:val="4AA558EE"/>
    <w:multiLevelType w:val="hybridMultilevel"/>
    <w:tmpl w:val="ED56ACA0"/>
    <w:lvl w:ilvl="0" w:tplc="C3680C0A">
      <w:numFmt w:val="bullet"/>
      <w:lvlText w:val="-"/>
      <w:lvlJc w:val="left"/>
      <w:pPr>
        <w:ind w:left="720" w:hanging="360"/>
      </w:pPr>
      <w:rPr>
        <w:rFonts w:ascii="Garamond" w:eastAsiaTheme="minorHAnsi" w:hAnsi="Garamond"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3" w15:restartNumberingAfterBreak="0">
    <w:nsid w:val="4B6A560A"/>
    <w:multiLevelType w:val="hybridMultilevel"/>
    <w:tmpl w:val="F86CEBDE"/>
    <w:lvl w:ilvl="0" w:tplc="ABAA36C8">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4" w15:restartNumberingAfterBreak="0">
    <w:nsid w:val="4B9C704C"/>
    <w:multiLevelType w:val="multilevel"/>
    <w:tmpl w:val="E25EBA2E"/>
    <w:lvl w:ilvl="0">
      <w:numFmt w:val="bullet"/>
      <w:lvlText w:val="-"/>
      <w:lvlJc w:val="left"/>
      <w:pPr>
        <w:tabs>
          <w:tab w:val="num" w:pos="340"/>
        </w:tabs>
        <w:ind w:left="340" w:hanging="340"/>
      </w:pPr>
      <w:rPr>
        <w:rFonts w:ascii="Times New Roman" w:eastAsia="Times New Roman" w:hAnsi="Times New Roman" w:cs="Times New Roman" w:hint="default"/>
        <w:color w:val="auto"/>
      </w:rPr>
    </w:lvl>
    <w:lvl w:ilvl="1">
      <w:start w:val="1"/>
      <w:numFmt w:val="bullet"/>
      <w:lvlText w:val="–"/>
      <w:lvlJc w:val="left"/>
      <w:pPr>
        <w:tabs>
          <w:tab w:val="num" w:pos="680"/>
        </w:tabs>
        <w:ind w:left="680" w:hanging="340"/>
      </w:pPr>
      <w:rPr>
        <w:rFonts w:ascii="Arial" w:hAnsi="Arial" w:hint="default"/>
        <w:color w:val="auto"/>
      </w:rPr>
    </w:lvl>
    <w:lvl w:ilvl="2">
      <w:start w:val="1"/>
      <w:numFmt w:val="bullet"/>
      <w:lvlText w:val="○"/>
      <w:lvlJc w:val="left"/>
      <w:pPr>
        <w:tabs>
          <w:tab w:val="num" w:pos="1020"/>
        </w:tabs>
        <w:ind w:left="1020" w:hanging="340"/>
      </w:pPr>
      <w:rPr>
        <w:rFonts w:ascii="Arial" w:hAnsi="Arial" w:hint="default"/>
        <w:color w:val="auto"/>
      </w:rPr>
    </w:lvl>
    <w:lvl w:ilvl="3">
      <w:start w:val="1"/>
      <w:numFmt w:val="none"/>
      <w:suff w:val="nothing"/>
      <w:lvlText w:val=""/>
      <w:lvlJc w:val="left"/>
      <w:pPr>
        <w:ind w:left="1020" w:firstLine="0"/>
      </w:pPr>
      <w:rPr>
        <w:rFonts w:hint="default"/>
      </w:rPr>
    </w:lvl>
    <w:lvl w:ilvl="4">
      <w:start w:val="1"/>
      <w:numFmt w:val="none"/>
      <w:suff w:val="nothing"/>
      <w:lvlText w:val=""/>
      <w:lvlJc w:val="left"/>
      <w:pPr>
        <w:ind w:left="1020" w:firstLine="0"/>
      </w:pPr>
      <w:rPr>
        <w:rFonts w:hint="default"/>
      </w:rPr>
    </w:lvl>
    <w:lvl w:ilvl="5">
      <w:start w:val="1"/>
      <w:numFmt w:val="none"/>
      <w:suff w:val="nothing"/>
      <w:lvlText w:val=""/>
      <w:lvlJc w:val="left"/>
      <w:pPr>
        <w:ind w:left="1020" w:firstLine="0"/>
      </w:pPr>
      <w:rPr>
        <w:rFonts w:hint="default"/>
      </w:rPr>
    </w:lvl>
    <w:lvl w:ilvl="6">
      <w:start w:val="1"/>
      <w:numFmt w:val="none"/>
      <w:suff w:val="nothing"/>
      <w:lvlText w:val=""/>
      <w:lvlJc w:val="left"/>
      <w:pPr>
        <w:ind w:left="1020" w:firstLine="0"/>
      </w:pPr>
      <w:rPr>
        <w:rFonts w:hint="default"/>
      </w:rPr>
    </w:lvl>
    <w:lvl w:ilvl="7">
      <w:start w:val="1"/>
      <w:numFmt w:val="none"/>
      <w:suff w:val="nothing"/>
      <w:lvlText w:val=""/>
      <w:lvlJc w:val="left"/>
      <w:pPr>
        <w:ind w:left="1020" w:firstLine="0"/>
      </w:pPr>
      <w:rPr>
        <w:rFonts w:hint="default"/>
      </w:rPr>
    </w:lvl>
    <w:lvl w:ilvl="8">
      <w:start w:val="1"/>
      <w:numFmt w:val="none"/>
      <w:lvlText w:val=""/>
      <w:lvlJc w:val="left"/>
      <w:pPr>
        <w:ind w:left="2389" w:hanging="360"/>
      </w:pPr>
      <w:rPr>
        <w:rFonts w:hint="default"/>
      </w:rPr>
    </w:lvl>
  </w:abstractNum>
  <w:abstractNum w:abstractNumId="165" w15:restartNumberingAfterBreak="0">
    <w:nsid w:val="4BBD6505"/>
    <w:multiLevelType w:val="hybridMultilevel"/>
    <w:tmpl w:val="9ED25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6" w15:restartNumberingAfterBreak="0">
    <w:nsid w:val="4C180C5B"/>
    <w:multiLevelType w:val="hybridMultilevel"/>
    <w:tmpl w:val="7E144926"/>
    <w:lvl w:ilvl="0" w:tplc="08090001">
      <w:start w:val="1"/>
      <w:numFmt w:val="bullet"/>
      <w:lvlText w:val=""/>
      <w:lvlJc w:val="left"/>
      <w:pPr>
        <w:ind w:left="833" w:hanging="360"/>
      </w:pPr>
      <w:rPr>
        <w:rFonts w:ascii="Symbol" w:hAnsi="Symbol" w:hint="default"/>
      </w:rPr>
    </w:lvl>
    <w:lvl w:ilvl="1" w:tplc="08090003">
      <w:start w:val="1"/>
      <w:numFmt w:val="bullet"/>
      <w:lvlText w:val="o"/>
      <w:lvlJc w:val="left"/>
      <w:pPr>
        <w:ind w:left="1553" w:hanging="360"/>
      </w:pPr>
      <w:rPr>
        <w:rFonts w:ascii="Courier New" w:hAnsi="Courier New" w:cs="Courier New" w:hint="default"/>
      </w:rPr>
    </w:lvl>
    <w:lvl w:ilvl="2" w:tplc="08090005">
      <w:start w:val="1"/>
      <w:numFmt w:val="bullet"/>
      <w:lvlText w:val=""/>
      <w:lvlJc w:val="left"/>
      <w:pPr>
        <w:ind w:left="2273" w:hanging="360"/>
      </w:pPr>
      <w:rPr>
        <w:rFonts w:ascii="Wingdings" w:hAnsi="Wingdings" w:hint="default"/>
      </w:rPr>
    </w:lvl>
    <w:lvl w:ilvl="3" w:tplc="08090001">
      <w:start w:val="1"/>
      <w:numFmt w:val="bullet"/>
      <w:lvlText w:val=""/>
      <w:lvlJc w:val="left"/>
      <w:pPr>
        <w:ind w:left="2993" w:hanging="360"/>
      </w:pPr>
      <w:rPr>
        <w:rFonts w:ascii="Symbol" w:hAnsi="Symbol" w:hint="default"/>
      </w:rPr>
    </w:lvl>
    <w:lvl w:ilvl="4" w:tplc="08090003">
      <w:start w:val="1"/>
      <w:numFmt w:val="bullet"/>
      <w:lvlText w:val="o"/>
      <w:lvlJc w:val="left"/>
      <w:pPr>
        <w:ind w:left="3713" w:hanging="360"/>
      </w:pPr>
      <w:rPr>
        <w:rFonts w:ascii="Courier New" w:hAnsi="Courier New" w:cs="Courier New" w:hint="default"/>
      </w:rPr>
    </w:lvl>
    <w:lvl w:ilvl="5" w:tplc="08090005">
      <w:start w:val="1"/>
      <w:numFmt w:val="bullet"/>
      <w:lvlText w:val=""/>
      <w:lvlJc w:val="left"/>
      <w:pPr>
        <w:ind w:left="4433" w:hanging="360"/>
      </w:pPr>
      <w:rPr>
        <w:rFonts w:ascii="Wingdings" w:hAnsi="Wingdings" w:hint="default"/>
      </w:rPr>
    </w:lvl>
    <w:lvl w:ilvl="6" w:tplc="08090001">
      <w:start w:val="1"/>
      <w:numFmt w:val="bullet"/>
      <w:lvlText w:val=""/>
      <w:lvlJc w:val="left"/>
      <w:pPr>
        <w:ind w:left="5153" w:hanging="360"/>
      </w:pPr>
      <w:rPr>
        <w:rFonts w:ascii="Symbol" w:hAnsi="Symbol" w:hint="default"/>
      </w:rPr>
    </w:lvl>
    <w:lvl w:ilvl="7" w:tplc="08090003">
      <w:start w:val="1"/>
      <w:numFmt w:val="bullet"/>
      <w:lvlText w:val="o"/>
      <w:lvlJc w:val="left"/>
      <w:pPr>
        <w:ind w:left="5873" w:hanging="360"/>
      </w:pPr>
      <w:rPr>
        <w:rFonts w:ascii="Courier New" w:hAnsi="Courier New" w:cs="Courier New" w:hint="default"/>
      </w:rPr>
    </w:lvl>
    <w:lvl w:ilvl="8" w:tplc="08090005">
      <w:start w:val="1"/>
      <w:numFmt w:val="bullet"/>
      <w:lvlText w:val=""/>
      <w:lvlJc w:val="left"/>
      <w:pPr>
        <w:ind w:left="6593" w:hanging="360"/>
      </w:pPr>
      <w:rPr>
        <w:rFonts w:ascii="Wingdings" w:hAnsi="Wingdings" w:hint="default"/>
      </w:rPr>
    </w:lvl>
  </w:abstractNum>
  <w:abstractNum w:abstractNumId="167" w15:restartNumberingAfterBreak="0">
    <w:nsid w:val="4D9473B3"/>
    <w:multiLevelType w:val="multilevel"/>
    <w:tmpl w:val="F4FAE1AE"/>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b/>
      </w:rPr>
    </w:lvl>
    <w:lvl w:ilvl="2">
      <w:start w:val="1"/>
      <w:numFmt w:val="decimal"/>
      <w:lvlText w:val="%1.%2.%3."/>
      <w:lvlJc w:val="left"/>
      <w:pPr>
        <w:tabs>
          <w:tab w:val="num" w:pos="1920"/>
        </w:tabs>
        <w:ind w:left="1920" w:hanging="720"/>
      </w:pPr>
      <w:rPr>
        <w:rFonts w:ascii="Times New Roman" w:hAnsi="Times New Roman" w:cs="Times New Roman" w:hint="default"/>
        <w:sz w:val="24"/>
        <w:szCs w:val="24"/>
      </w:rPr>
    </w:lvl>
    <w:lvl w:ilvl="3">
      <w:start w:val="1"/>
      <w:numFmt w:val="decimal"/>
      <w:lvlText w:val="%1.%2.%3.%4."/>
      <w:lvlJc w:val="left"/>
      <w:pPr>
        <w:tabs>
          <w:tab w:val="num" w:pos="1920"/>
        </w:tabs>
        <w:ind w:left="1920" w:hanging="720"/>
      </w:pPr>
      <w:rPr>
        <w:rFonts w:ascii="Times New Roman" w:hAnsi="Times New Roman"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8" w15:restartNumberingAfterBreak="0">
    <w:nsid w:val="4E2F1FFB"/>
    <w:multiLevelType w:val="multilevel"/>
    <w:tmpl w:val="F714788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69" w15:restartNumberingAfterBreak="0">
    <w:nsid w:val="4E5844A7"/>
    <w:multiLevelType w:val="multilevel"/>
    <w:tmpl w:val="447A51D4"/>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145"/>
        </w:tabs>
        <w:ind w:left="1145" w:hanging="720"/>
      </w:pPr>
      <w:rPr>
        <w:rFonts w:hint="default"/>
        <w:b/>
      </w:rPr>
    </w:lvl>
    <w:lvl w:ilvl="2">
      <w:start w:val="1"/>
      <w:numFmt w:val="decimal"/>
      <w:lvlText w:val="%1.%2.%3."/>
      <w:lvlJc w:val="left"/>
      <w:pPr>
        <w:tabs>
          <w:tab w:val="num" w:pos="1920"/>
        </w:tabs>
        <w:ind w:left="1920" w:hanging="720"/>
      </w:pPr>
      <w:rPr>
        <w:rFonts w:ascii="Times New Roman" w:hAnsi="Times New Roman" w:cs="Times New Roman" w:hint="default"/>
        <w:sz w:val="24"/>
        <w:szCs w:val="24"/>
      </w:rPr>
    </w:lvl>
    <w:lvl w:ilvl="3">
      <w:start w:val="1"/>
      <w:numFmt w:val="decimal"/>
      <w:lvlText w:val="%1.%2.%3.%4."/>
      <w:lvlJc w:val="left"/>
      <w:pPr>
        <w:tabs>
          <w:tab w:val="num" w:pos="1920"/>
        </w:tabs>
        <w:ind w:left="1920" w:hanging="720"/>
      </w:pPr>
      <w:rPr>
        <w:rFonts w:ascii="Times New Roman" w:hAnsi="Times New Roman"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0" w15:restartNumberingAfterBreak="0">
    <w:nsid w:val="4E6E17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4F2741EC"/>
    <w:multiLevelType w:val="multilevel"/>
    <w:tmpl w:val="A5342A4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680" w:hanging="720"/>
      </w:pPr>
      <w:rPr>
        <w:rFonts w:ascii="Times New Roman" w:hAnsi="Times New Roman" w:cs="Times New Roman" w:hint="default"/>
        <w:sz w:val="24"/>
      </w:rPr>
    </w:lvl>
    <w:lvl w:ilvl="3">
      <w:start w:val="1"/>
      <w:numFmt w:val="none"/>
      <w:lvlText w:val="6.2.1.1."/>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72" w15:restartNumberingAfterBreak="0">
    <w:nsid w:val="4FA24784"/>
    <w:multiLevelType w:val="hybridMultilevel"/>
    <w:tmpl w:val="C068EF60"/>
    <w:lvl w:ilvl="0" w:tplc="831E8AA8">
      <w:numFmt w:val="bullet"/>
      <w:lvlText w:val="•"/>
      <w:lvlJc w:val="left"/>
      <w:pPr>
        <w:ind w:left="1065" w:hanging="705"/>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3" w15:restartNumberingAfterBreak="0">
    <w:nsid w:val="502B478B"/>
    <w:multiLevelType w:val="hybridMultilevel"/>
    <w:tmpl w:val="BD5E6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0CA2D4F"/>
    <w:multiLevelType w:val="hybridMultilevel"/>
    <w:tmpl w:val="C16AA3C8"/>
    <w:lvl w:ilvl="0" w:tplc="188037D6">
      <w:start w:val="1"/>
      <w:numFmt w:val="bullet"/>
      <w:lvlText w:val=""/>
      <w:lvlJc w:val="left"/>
      <w:pPr>
        <w:ind w:left="360" w:hanging="360"/>
      </w:pPr>
      <w:rPr>
        <w:rFonts w:ascii="Symbol" w:hAnsi="Symbol" w:hint="default"/>
        <w:color w:val="00239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50E64548"/>
    <w:multiLevelType w:val="multilevel"/>
    <w:tmpl w:val="582E4F5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6" w15:restartNumberingAfterBreak="0">
    <w:nsid w:val="519178BB"/>
    <w:multiLevelType w:val="hybridMultilevel"/>
    <w:tmpl w:val="E6887A50"/>
    <w:lvl w:ilvl="0" w:tplc="0409000F">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77" w15:restartNumberingAfterBreak="0">
    <w:nsid w:val="51E0367C"/>
    <w:multiLevelType w:val="hybridMultilevel"/>
    <w:tmpl w:val="F3A6BAB6"/>
    <w:lvl w:ilvl="0" w:tplc="0409000F">
      <w:start w:val="1"/>
      <w:numFmt w:val="decimal"/>
      <w:lvlText w:val="%1."/>
      <w:lvlJc w:val="left"/>
      <w:pPr>
        <w:ind w:left="1680" w:hanging="360"/>
      </w:p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178" w15:restartNumberingAfterBreak="0">
    <w:nsid w:val="531F213B"/>
    <w:multiLevelType w:val="multilevel"/>
    <w:tmpl w:val="26A84794"/>
    <w:lvl w:ilvl="0">
      <w:start w:val="2"/>
      <w:numFmt w:val="decimal"/>
      <w:lvlText w:val="%1."/>
      <w:lvlJc w:val="left"/>
      <w:pPr>
        <w:ind w:left="585" w:hanging="585"/>
      </w:pPr>
      <w:rPr>
        <w:rFonts w:ascii="Verdana" w:hAnsi="Verdana" w:cstheme="minorBidi" w:hint="default"/>
        <w:sz w:val="20"/>
      </w:rPr>
    </w:lvl>
    <w:lvl w:ilvl="1">
      <w:start w:val="1"/>
      <w:numFmt w:val="decimal"/>
      <w:lvlText w:val="%1.%2."/>
      <w:lvlJc w:val="left"/>
      <w:pPr>
        <w:ind w:left="1185" w:hanging="585"/>
      </w:pPr>
      <w:rPr>
        <w:rFonts w:ascii="Verdana" w:hAnsi="Verdana" w:cstheme="minorBidi" w:hint="default"/>
        <w:sz w:val="20"/>
      </w:rPr>
    </w:lvl>
    <w:lvl w:ilvl="2">
      <w:start w:val="3"/>
      <w:numFmt w:val="decimal"/>
      <w:lvlText w:val="%1.%2.%3."/>
      <w:lvlJc w:val="left"/>
      <w:pPr>
        <w:ind w:left="1920" w:hanging="720"/>
      </w:pPr>
      <w:rPr>
        <w:rFonts w:ascii="Verdana" w:hAnsi="Verdana" w:cstheme="minorBidi" w:hint="default"/>
        <w:sz w:val="20"/>
      </w:rPr>
    </w:lvl>
    <w:lvl w:ilvl="3">
      <w:start w:val="1"/>
      <w:numFmt w:val="decimal"/>
      <w:lvlText w:val="%1.%2.%3.%4."/>
      <w:lvlJc w:val="left"/>
      <w:pPr>
        <w:ind w:left="2520" w:hanging="720"/>
      </w:pPr>
      <w:rPr>
        <w:rFonts w:ascii="Verdana" w:hAnsi="Verdana" w:cstheme="minorBidi" w:hint="default"/>
        <w:sz w:val="20"/>
      </w:rPr>
    </w:lvl>
    <w:lvl w:ilvl="4">
      <w:start w:val="1"/>
      <w:numFmt w:val="decimal"/>
      <w:lvlText w:val="%1.%2.%3.%4.%5."/>
      <w:lvlJc w:val="left"/>
      <w:pPr>
        <w:ind w:left="3480" w:hanging="1080"/>
      </w:pPr>
      <w:rPr>
        <w:rFonts w:ascii="Verdana" w:hAnsi="Verdana" w:cstheme="minorBidi" w:hint="default"/>
        <w:sz w:val="20"/>
      </w:rPr>
    </w:lvl>
    <w:lvl w:ilvl="5">
      <w:start w:val="1"/>
      <w:numFmt w:val="decimal"/>
      <w:lvlText w:val="%1.%2.%3.%4.%5.%6."/>
      <w:lvlJc w:val="left"/>
      <w:pPr>
        <w:ind w:left="4080" w:hanging="1080"/>
      </w:pPr>
      <w:rPr>
        <w:rFonts w:ascii="Verdana" w:hAnsi="Verdana" w:cstheme="minorBidi" w:hint="default"/>
        <w:sz w:val="20"/>
      </w:rPr>
    </w:lvl>
    <w:lvl w:ilvl="6">
      <w:start w:val="1"/>
      <w:numFmt w:val="decimal"/>
      <w:lvlText w:val="%1.%2.%3.%4.%5.%6.%7."/>
      <w:lvlJc w:val="left"/>
      <w:pPr>
        <w:ind w:left="5040" w:hanging="1440"/>
      </w:pPr>
      <w:rPr>
        <w:rFonts w:ascii="Verdana" w:hAnsi="Verdana" w:cstheme="minorBidi" w:hint="default"/>
        <w:sz w:val="20"/>
      </w:rPr>
    </w:lvl>
    <w:lvl w:ilvl="7">
      <w:start w:val="1"/>
      <w:numFmt w:val="decimal"/>
      <w:lvlText w:val="%1.%2.%3.%4.%5.%6.%7.%8."/>
      <w:lvlJc w:val="left"/>
      <w:pPr>
        <w:ind w:left="5640" w:hanging="1440"/>
      </w:pPr>
      <w:rPr>
        <w:rFonts w:ascii="Verdana" w:hAnsi="Verdana" w:cstheme="minorBidi" w:hint="default"/>
        <w:sz w:val="20"/>
      </w:rPr>
    </w:lvl>
    <w:lvl w:ilvl="8">
      <w:start w:val="1"/>
      <w:numFmt w:val="decimal"/>
      <w:lvlText w:val="%1.%2.%3.%4.%5.%6.%7.%8.%9."/>
      <w:lvlJc w:val="left"/>
      <w:pPr>
        <w:ind w:left="6600" w:hanging="1800"/>
      </w:pPr>
      <w:rPr>
        <w:rFonts w:ascii="Verdana" w:hAnsi="Verdana" w:cstheme="minorBidi" w:hint="default"/>
        <w:sz w:val="20"/>
      </w:rPr>
    </w:lvl>
  </w:abstractNum>
  <w:abstractNum w:abstractNumId="179" w15:restartNumberingAfterBreak="0">
    <w:nsid w:val="53553AF6"/>
    <w:multiLevelType w:val="multilevel"/>
    <w:tmpl w:val="64A45660"/>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0" w15:restartNumberingAfterBreak="0">
    <w:nsid w:val="543E18D1"/>
    <w:multiLevelType w:val="multilevel"/>
    <w:tmpl w:val="926820C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b/>
      </w:rPr>
    </w:lvl>
    <w:lvl w:ilvl="2">
      <w:start w:val="1"/>
      <w:numFmt w:val="decimal"/>
      <w:lvlText w:val="%1.%2.%3."/>
      <w:lvlJc w:val="left"/>
      <w:pPr>
        <w:tabs>
          <w:tab w:val="num" w:pos="1920"/>
        </w:tabs>
        <w:ind w:left="1920" w:hanging="720"/>
      </w:pPr>
      <w:rPr>
        <w:rFonts w:ascii="Times New Roman" w:hAnsi="Times New Roman" w:cs="Times New Roman" w:hint="default"/>
        <w:sz w:val="24"/>
        <w:szCs w:val="24"/>
      </w:rPr>
    </w:lvl>
    <w:lvl w:ilvl="3">
      <w:start w:val="1"/>
      <w:numFmt w:val="decimal"/>
      <w:lvlText w:val="%1.%2.%3.%4."/>
      <w:lvlJc w:val="left"/>
      <w:pPr>
        <w:tabs>
          <w:tab w:val="num" w:pos="1920"/>
        </w:tabs>
        <w:ind w:left="1920" w:hanging="720"/>
      </w:pPr>
      <w:rPr>
        <w:rFonts w:ascii="Times New Roman" w:hAnsi="Times New Roman"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1" w15:restartNumberingAfterBreak="0">
    <w:nsid w:val="553C2FEF"/>
    <w:multiLevelType w:val="multilevel"/>
    <w:tmpl w:val="F6A8312A"/>
    <w:lvl w:ilvl="0">
      <w:start w:val="3"/>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b w:val="0"/>
        <w:i w:val="0"/>
        <w:sz w:val="24"/>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82" w15:restartNumberingAfterBreak="0">
    <w:nsid w:val="55FA2174"/>
    <w:multiLevelType w:val="hybridMultilevel"/>
    <w:tmpl w:val="18EC6488"/>
    <w:lvl w:ilvl="0" w:tplc="080C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3" w15:restartNumberingAfterBreak="0">
    <w:nsid w:val="56251C33"/>
    <w:multiLevelType w:val="multilevel"/>
    <w:tmpl w:val="BC90812C"/>
    <w:lvl w:ilvl="0">
      <w:start w:val="6"/>
      <w:numFmt w:val="none"/>
      <w:lvlText w:val="5."/>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5%1.%2.%3."/>
      <w:lvlJc w:val="left"/>
      <w:pPr>
        <w:ind w:left="1680" w:hanging="720"/>
      </w:pPr>
      <w:rPr>
        <w:rFonts w:hint="default"/>
      </w:rPr>
    </w:lvl>
    <w:lvl w:ilvl="3">
      <w:start w:val="1"/>
      <w:numFmt w:val="decimal"/>
      <w:lvlText w:val="5%1.1.%3.%4."/>
      <w:lvlJc w:val="left"/>
      <w:pPr>
        <w:ind w:left="2160" w:hanging="720"/>
      </w:pPr>
      <w:rPr>
        <w:rFonts w:hint="default"/>
      </w:rPr>
    </w:lvl>
    <w:lvl w:ilvl="4">
      <w:start w:val="1"/>
      <w:numFmt w:val="decimal"/>
      <w:lvlText w:val="5.1.%3.%4.%5."/>
      <w:lvlJc w:val="left"/>
      <w:pPr>
        <w:ind w:left="3000" w:hanging="1080"/>
      </w:pPr>
      <w:rPr>
        <w:rFonts w:ascii="Times New Roman" w:hAnsi="Times New Roman" w:hint="default"/>
        <w:b w:val="0"/>
        <w:i w:val="0"/>
        <w:sz w:val="24"/>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84" w15:restartNumberingAfterBreak="0">
    <w:nsid w:val="56E14EE4"/>
    <w:multiLevelType w:val="multilevel"/>
    <w:tmpl w:val="805601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5" w15:restartNumberingAfterBreak="0">
    <w:nsid w:val="56E607DA"/>
    <w:multiLevelType w:val="multilevel"/>
    <w:tmpl w:val="BC36E8A0"/>
    <w:lvl w:ilvl="0">
      <w:start w:val="4"/>
      <w:numFmt w:val="decimal"/>
      <w:lvlText w:val="%1"/>
      <w:lvlJc w:val="left"/>
      <w:pPr>
        <w:ind w:left="360" w:hanging="360"/>
      </w:pPr>
      <w:rPr>
        <w:rFonts w:hint="default"/>
      </w:rPr>
    </w:lvl>
    <w:lvl w:ilvl="1">
      <w:start w:val="6"/>
      <w:numFmt w:val="decimal"/>
      <w:lvlText w:val="%1.%2"/>
      <w:lvlJc w:val="left"/>
      <w:pPr>
        <w:ind w:left="840" w:hanging="360"/>
      </w:pPr>
      <w:rPr>
        <w:rFonts w:hint="default"/>
        <w:b/>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86" w15:restartNumberingAfterBreak="0">
    <w:nsid w:val="578D063B"/>
    <w:multiLevelType w:val="hybridMultilevel"/>
    <w:tmpl w:val="3D44A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57DA1410"/>
    <w:multiLevelType w:val="multilevel"/>
    <w:tmpl w:val="C7162DB6"/>
    <w:lvl w:ilvl="0">
      <w:start w:val="1"/>
      <w:numFmt w:val="bullet"/>
      <w:lvlText w:val=""/>
      <w:lvlJc w:val="left"/>
      <w:pPr>
        <w:ind w:left="851" w:hanging="851"/>
      </w:pPr>
      <w:rPr>
        <w:rFonts w:ascii="Symbol" w:hAnsi="Symbol"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b/>
        <w:i w:val="0"/>
        <w:color w:val="auto"/>
        <w:sz w:val="20"/>
      </w:rPr>
    </w:lvl>
    <w:lvl w:ilvl="4">
      <w:start w:val="1"/>
      <w:numFmt w:val="none"/>
      <w:suff w:val="nothing"/>
      <w:lvlText w:val=""/>
      <w:lvlJc w:val="left"/>
      <w:pPr>
        <w:ind w:left="851" w:hanging="851"/>
      </w:pPr>
      <w:rPr>
        <w:rFonts w:ascii="Arial Bold" w:hAnsi="Arial Bold" w:hint="default"/>
        <w:b/>
        <w:i/>
        <w:color w:val="000000" w:themeColor="text1"/>
        <w:sz w:val="20"/>
      </w:rPr>
    </w:lvl>
    <w:lvl w:ilvl="5">
      <w:start w:val="1"/>
      <w:numFmt w:val="decimal"/>
      <w:lvlRestart w:val="1"/>
      <w:lvlText w:val="Figure %1.%6"/>
      <w:lvlJc w:val="left"/>
      <w:pPr>
        <w:tabs>
          <w:tab w:val="num" w:pos="2041"/>
        </w:tabs>
        <w:ind w:left="2041" w:hanging="1190"/>
      </w:pPr>
      <w:rPr>
        <w:rFonts w:ascii="Arial" w:hAnsi="Arial" w:hint="default"/>
        <w:color w:val="4F81BD" w:themeColor="accent1"/>
      </w:rPr>
    </w:lvl>
    <w:lvl w:ilvl="6">
      <w:start w:val="1"/>
      <w:numFmt w:val="decimal"/>
      <w:lvlRestart w:val="1"/>
      <w:lvlText w:val="Table %1.%7"/>
      <w:lvlJc w:val="left"/>
      <w:pPr>
        <w:tabs>
          <w:tab w:val="num" w:pos="851"/>
        </w:tabs>
        <w:ind w:left="1928" w:hanging="1077"/>
      </w:pPr>
      <w:rPr>
        <w:rFonts w:ascii="Arial" w:hAnsi="Arial" w:hint="default"/>
      </w:rPr>
    </w:lvl>
    <w:lvl w:ilvl="7">
      <w:start w:val="1"/>
      <w:numFmt w:val="decimal"/>
      <w:lvlRestart w:val="1"/>
      <w:lvlText w:val="Box %1.%8"/>
      <w:lvlJc w:val="left"/>
      <w:pPr>
        <w:ind w:left="1928" w:hanging="1077"/>
      </w:pPr>
      <w:rPr>
        <w:rFonts w:ascii="Arial" w:hAnsi="Arial" w:hint="default"/>
        <w:color w:val="4F81BD" w:themeColor="accent1"/>
      </w:rPr>
    </w:lvl>
    <w:lvl w:ilvl="8">
      <w:start w:val="1"/>
      <w:numFmt w:val="none"/>
      <w:lvlText w:val=""/>
      <w:lvlJc w:val="left"/>
      <w:pPr>
        <w:ind w:left="425" w:hanging="425"/>
      </w:pPr>
      <w:rPr>
        <w:rFonts w:ascii="Georgia" w:hAnsi="Georgia" w:hint="default"/>
        <w:color w:val="1F497D" w:themeColor="text2"/>
      </w:rPr>
    </w:lvl>
  </w:abstractNum>
  <w:abstractNum w:abstractNumId="188" w15:restartNumberingAfterBreak="0">
    <w:nsid w:val="58255A77"/>
    <w:multiLevelType w:val="hybridMultilevel"/>
    <w:tmpl w:val="2794D798"/>
    <w:lvl w:ilvl="0" w:tplc="4DFAEA40">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9" w15:restartNumberingAfterBreak="0">
    <w:nsid w:val="58393FF0"/>
    <w:multiLevelType w:val="hybridMultilevel"/>
    <w:tmpl w:val="12361204"/>
    <w:lvl w:ilvl="0" w:tplc="04090001">
      <w:start w:val="1"/>
      <w:numFmt w:val="bullet"/>
      <w:lvlText w:val=""/>
      <w:lvlJc w:val="left"/>
      <w:pPr>
        <w:ind w:left="833" w:hanging="360"/>
      </w:pPr>
      <w:rPr>
        <w:rFonts w:ascii="Symbol" w:hAnsi="Symbol" w:hint="default"/>
      </w:rPr>
    </w:lvl>
    <w:lvl w:ilvl="1" w:tplc="04090003">
      <w:start w:val="1"/>
      <w:numFmt w:val="bullet"/>
      <w:lvlText w:val="o"/>
      <w:lvlJc w:val="left"/>
      <w:pPr>
        <w:ind w:left="1553" w:hanging="360"/>
      </w:pPr>
      <w:rPr>
        <w:rFonts w:ascii="Courier New" w:hAnsi="Courier New" w:cs="Courier New" w:hint="default"/>
      </w:rPr>
    </w:lvl>
    <w:lvl w:ilvl="2" w:tplc="04090005">
      <w:start w:val="1"/>
      <w:numFmt w:val="bullet"/>
      <w:lvlText w:val=""/>
      <w:lvlJc w:val="left"/>
      <w:pPr>
        <w:ind w:left="2273" w:hanging="360"/>
      </w:pPr>
      <w:rPr>
        <w:rFonts w:ascii="Wingdings" w:hAnsi="Wingdings" w:hint="default"/>
      </w:rPr>
    </w:lvl>
    <w:lvl w:ilvl="3" w:tplc="04090001">
      <w:start w:val="1"/>
      <w:numFmt w:val="bullet"/>
      <w:lvlText w:val=""/>
      <w:lvlJc w:val="left"/>
      <w:pPr>
        <w:ind w:left="2993" w:hanging="360"/>
      </w:pPr>
      <w:rPr>
        <w:rFonts w:ascii="Symbol" w:hAnsi="Symbol" w:hint="default"/>
      </w:rPr>
    </w:lvl>
    <w:lvl w:ilvl="4" w:tplc="04090003">
      <w:start w:val="1"/>
      <w:numFmt w:val="bullet"/>
      <w:lvlText w:val="o"/>
      <w:lvlJc w:val="left"/>
      <w:pPr>
        <w:ind w:left="3713" w:hanging="360"/>
      </w:pPr>
      <w:rPr>
        <w:rFonts w:ascii="Courier New" w:hAnsi="Courier New" w:cs="Courier New" w:hint="default"/>
      </w:rPr>
    </w:lvl>
    <w:lvl w:ilvl="5" w:tplc="04090005">
      <w:start w:val="1"/>
      <w:numFmt w:val="bullet"/>
      <w:lvlText w:val=""/>
      <w:lvlJc w:val="left"/>
      <w:pPr>
        <w:ind w:left="4433" w:hanging="360"/>
      </w:pPr>
      <w:rPr>
        <w:rFonts w:ascii="Wingdings" w:hAnsi="Wingdings" w:hint="default"/>
      </w:rPr>
    </w:lvl>
    <w:lvl w:ilvl="6" w:tplc="04090001">
      <w:start w:val="1"/>
      <w:numFmt w:val="bullet"/>
      <w:lvlText w:val=""/>
      <w:lvlJc w:val="left"/>
      <w:pPr>
        <w:ind w:left="5153" w:hanging="360"/>
      </w:pPr>
      <w:rPr>
        <w:rFonts w:ascii="Symbol" w:hAnsi="Symbol" w:hint="default"/>
      </w:rPr>
    </w:lvl>
    <w:lvl w:ilvl="7" w:tplc="04090003">
      <w:start w:val="1"/>
      <w:numFmt w:val="bullet"/>
      <w:lvlText w:val="o"/>
      <w:lvlJc w:val="left"/>
      <w:pPr>
        <w:ind w:left="5873" w:hanging="360"/>
      </w:pPr>
      <w:rPr>
        <w:rFonts w:ascii="Courier New" w:hAnsi="Courier New" w:cs="Courier New" w:hint="default"/>
      </w:rPr>
    </w:lvl>
    <w:lvl w:ilvl="8" w:tplc="04090005">
      <w:start w:val="1"/>
      <w:numFmt w:val="bullet"/>
      <w:lvlText w:val=""/>
      <w:lvlJc w:val="left"/>
      <w:pPr>
        <w:ind w:left="6593" w:hanging="360"/>
      </w:pPr>
      <w:rPr>
        <w:rFonts w:ascii="Wingdings" w:hAnsi="Wingdings" w:hint="default"/>
      </w:rPr>
    </w:lvl>
  </w:abstractNum>
  <w:abstractNum w:abstractNumId="190" w15:restartNumberingAfterBreak="0">
    <w:nsid w:val="5A077C05"/>
    <w:multiLevelType w:val="multilevel"/>
    <w:tmpl w:val="BE602216"/>
    <w:lvl w:ilvl="0">
      <w:start w:val="1"/>
      <w:numFmt w:val="decimal"/>
      <w:lvlText w:val="%1."/>
      <w:lvlJc w:val="left"/>
      <w:pPr>
        <w:ind w:left="360" w:hanging="360"/>
      </w:pPr>
    </w:lvl>
    <w:lvl w:ilvl="1">
      <w:start w:val="1"/>
      <w:numFmt w:val="decimal"/>
      <w:lvlText w:val="%1.%2."/>
      <w:lvlJc w:val="left"/>
      <w:pPr>
        <w:ind w:left="792" w:hanging="432"/>
      </w:pPr>
      <w:rPr>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1" w15:restartNumberingAfterBreak="0">
    <w:nsid w:val="5B5E6564"/>
    <w:multiLevelType w:val="multilevel"/>
    <w:tmpl w:val="D22A3CC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92" w15:restartNumberingAfterBreak="0">
    <w:nsid w:val="5B911DF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3" w15:restartNumberingAfterBreak="0">
    <w:nsid w:val="5BCD20B9"/>
    <w:multiLevelType w:val="multilevel"/>
    <w:tmpl w:val="F4FAE1AE"/>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b/>
      </w:rPr>
    </w:lvl>
    <w:lvl w:ilvl="2">
      <w:start w:val="1"/>
      <w:numFmt w:val="decimal"/>
      <w:lvlText w:val="%1.%2.%3."/>
      <w:lvlJc w:val="left"/>
      <w:pPr>
        <w:tabs>
          <w:tab w:val="num" w:pos="1920"/>
        </w:tabs>
        <w:ind w:left="1920" w:hanging="720"/>
      </w:pPr>
      <w:rPr>
        <w:rFonts w:ascii="Times New Roman" w:hAnsi="Times New Roman" w:cs="Times New Roman" w:hint="default"/>
        <w:sz w:val="24"/>
        <w:szCs w:val="24"/>
      </w:rPr>
    </w:lvl>
    <w:lvl w:ilvl="3">
      <w:start w:val="1"/>
      <w:numFmt w:val="decimal"/>
      <w:lvlText w:val="%1.%2.%3.%4."/>
      <w:lvlJc w:val="left"/>
      <w:pPr>
        <w:tabs>
          <w:tab w:val="num" w:pos="1920"/>
        </w:tabs>
        <w:ind w:left="1920" w:hanging="720"/>
      </w:pPr>
      <w:rPr>
        <w:rFonts w:ascii="Times New Roman" w:hAnsi="Times New Roman"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4" w15:restartNumberingAfterBreak="0">
    <w:nsid w:val="5BF16FF4"/>
    <w:multiLevelType w:val="multilevel"/>
    <w:tmpl w:val="BE602216"/>
    <w:lvl w:ilvl="0">
      <w:start w:val="1"/>
      <w:numFmt w:val="decimal"/>
      <w:lvlText w:val="%1."/>
      <w:lvlJc w:val="left"/>
      <w:pPr>
        <w:ind w:left="360" w:hanging="360"/>
      </w:pPr>
    </w:lvl>
    <w:lvl w:ilvl="1">
      <w:start w:val="1"/>
      <w:numFmt w:val="decimal"/>
      <w:lvlText w:val="%1.%2."/>
      <w:lvlJc w:val="left"/>
      <w:pPr>
        <w:ind w:left="792" w:hanging="432"/>
      </w:pPr>
      <w:rPr>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5" w15:restartNumberingAfterBreak="0">
    <w:nsid w:val="5C462C41"/>
    <w:multiLevelType w:val="multilevel"/>
    <w:tmpl w:val="08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6" w15:restartNumberingAfterBreak="0">
    <w:nsid w:val="5C6C545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7" w15:restartNumberingAfterBreak="0">
    <w:nsid w:val="5D0604ED"/>
    <w:multiLevelType w:val="hybridMultilevel"/>
    <w:tmpl w:val="3D207132"/>
    <w:lvl w:ilvl="0" w:tplc="4DFAEA40">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8" w15:restartNumberingAfterBreak="0">
    <w:nsid w:val="5D234443"/>
    <w:multiLevelType w:val="hybridMultilevel"/>
    <w:tmpl w:val="14484E96"/>
    <w:lvl w:ilvl="0" w:tplc="4DFAEA40">
      <w:numFmt w:val="bullet"/>
      <w:lvlText w:val="-"/>
      <w:lvlJc w:val="left"/>
      <w:pPr>
        <w:ind w:left="360" w:hanging="360"/>
      </w:pPr>
      <w:rPr>
        <w:rFonts w:ascii="Times New Roman" w:eastAsia="Times New Roman" w:hAnsi="Times New Roman" w:cs="Times New Roman"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9" w15:restartNumberingAfterBreak="0">
    <w:nsid w:val="5D5E1A6C"/>
    <w:multiLevelType w:val="hybridMultilevel"/>
    <w:tmpl w:val="764E2E94"/>
    <w:lvl w:ilvl="0" w:tplc="48BCC54C">
      <w:start w:val="5"/>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0" w15:restartNumberingAfterBreak="0">
    <w:nsid w:val="5D6F39D9"/>
    <w:multiLevelType w:val="multilevel"/>
    <w:tmpl w:val="08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1" w15:restartNumberingAfterBreak="0">
    <w:nsid w:val="5D9B4776"/>
    <w:multiLevelType w:val="hybridMultilevel"/>
    <w:tmpl w:val="954C2BE8"/>
    <w:lvl w:ilvl="0" w:tplc="0809000F">
      <w:start w:val="1"/>
      <w:numFmt w:val="decimal"/>
      <w:lvlText w:val="%1."/>
      <w:lvlJc w:val="left"/>
      <w:pPr>
        <w:ind w:left="770" w:hanging="360"/>
      </w:pPr>
      <w:rPr>
        <w:rFonts w:cs="Times New Roman"/>
      </w:rPr>
    </w:lvl>
    <w:lvl w:ilvl="1" w:tplc="08090019">
      <w:start w:val="1"/>
      <w:numFmt w:val="lowerLetter"/>
      <w:lvlText w:val="%2."/>
      <w:lvlJc w:val="left"/>
      <w:pPr>
        <w:ind w:left="1490" w:hanging="360"/>
      </w:pPr>
      <w:rPr>
        <w:rFonts w:cs="Times New Roman"/>
      </w:rPr>
    </w:lvl>
    <w:lvl w:ilvl="2" w:tplc="0809001B">
      <w:start w:val="1"/>
      <w:numFmt w:val="lowerRoman"/>
      <w:lvlText w:val="%3."/>
      <w:lvlJc w:val="right"/>
      <w:pPr>
        <w:ind w:left="2210" w:hanging="180"/>
      </w:pPr>
      <w:rPr>
        <w:rFonts w:cs="Times New Roman"/>
      </w:rPr>
    </w:lvl>
    <w:lvl w:ilvl="3" w:tplc="0809000F">
      <w:start w:val="1"/>
      <w:numFmt w:val="decimal"/>
      <w:lvlText w:val="%4."/>
      <w:lvlJc w:val="left"/>
      <w:pPr>
        <w:ind w:left="2930" w:hanging="360"/>
      </w:pPr>
      <w:rPr>
        <w:rFonts w:cs="Times New Roman"/>
      </w:rPr>
    </w:lvl>
    <w:lvl w:ilvl="4" w:tplc="08090019">
      <w:start w:val="1"/>
      <w:numFmt w:val="lowerLetter"/>
      <w:lvlText w:val="%5."/>
      <w:lvlJc w:val="left"/>
      <w:pPr>
        <w:ind w:left="3650" w:hanging="360"/>
      </w:pPr>
      <w:rPr>
        <w:rFonts w:cs="Times New Roman"/>
      </w:rPr>
    </w:lvl>
    <w:lvl w:ilvl="5" w:tplc="0809001B">
      <w:start w:val="1"/>
      <w:numFmt w:val="lowerRoman"/>
      <w:lvlText w:val="%6."/>
      <w:lvlJc w:val="right"/>
      <w:pPr>
        <w:ind w:left="4370" w:hanging="180"/>
      </w:pPr>
      <w:rPr>
        <w:rFonts w:cs="Times New Roman"/>
      </w:rPr>
    </w:lvl>
    <w:lvl w:ilvl="6" w:tplc="0809000F">
      <w:start w:val="1"/>
      <w:numFmt w:val="decimal"/>
      <w:lvlText w:val="%7."/>
      <w:lvlJc w:val="left"/>
      <w:pPr>
        <w:ind w:left="5090" w:hanging="360"/>
      </w:pPr>
      <w:rPr>
        <w:rFonts w:cs="Times New Roman"/>
      </w:rPr>
    </w:lvl>
    <w:lvl w:ilvl="7" w:tplc="08090019">
      <w:start w:val="1"/>
      <w:numFmt w:val="lowerLetter"/>
      <w:lvlText w:val="%8."/>
      <w:lvlJc w:val="left"/>
      <w:pPr>
        <w:ind w:left="5810" w:hanging="360"/>
      </w:pPr>
      <w:rPr>
        <w:rFonts w:cs="Times New Roman"/>
      </w:rPr>
    </w:lvl>
    <w:lvl w:ilvl="8" w:tplc="0809001B">
      <w:start w:val="1"/>
      <w:numFmt w:val="lowerRoman"/>
      <w:lvlText w:val="%9."/>
      <w:lvlJc w:val="right"/>
      <w:pPr>
        <w:ind w:left="6530" w:hanging="180"/>
      </w:pPr>
      <w:rPr>
        <w:rFonts w:cs="Times New Roman"/>
      </w:rPr>
    </w:lvl>
  </w:abstractNum>
  <w:abstractNum w:abstractNumId="202" w15:restartNumberingAfterBreak="0">
    <w:nsid w:val="5DF30F4C"/>
    <w:multiLevelType w:val="multilevel"/>
    <w:tmpl w:val="167846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3" w15:restartNumberingAfterBreak="0">
    <w:nsid w:val="5E6B7441"/>
    <w:multiLevelType w:val="hybridMultilevel"/>
    <w:tmpl w:val="46967F88"/>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204"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05" w15:restartNumberingAfterBreak="0">
    <w:nsid w:val="609865C2"/>
    <w:multiLevelType w:val="hybridMultilevel"/>
    <w:tmpl w:val="FE5CB6C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6" w15:restartNumberingAfterBreak="0">
    <w:nsid w:val="61013BC3"/>
    <w:multiLevelType w:val="multilevel"/>
    <w:tmpl w:val="EFA2AC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7" w15:restartNumberingAfterBreak="0">
    <w:nsid w:val="61245A8B"/>
    <w:multiLevelType w:val="multilevel"/>
    <w:tmpl w:val="A9B87624"/>
    <w:lvl w:ilvl="0">
      <w:start w:val="1"/>
      <w:numFmt w:val="decimal"/>
      <w:lvlText w:val="%1."/>
      <w:lvlJc w:val="left"/>
      <w:pPr>
        <w:ind w:left="928" w:hanging="360"/>
      </w:pPr>
      <w:rPr>
        <w:rFonts w:hint="default"/>
      </w:rPr>
    </w:lvl>
    <w:lvl w:ilvl="1">
      <w:start w:val="1"/>
      <w:numFmt w:val="none"/>
      <w:lvlText w:val="3.1."/>
      <w:lvlJc w:val="left"/>
      <w:pPr>
        <w:ind w:left="1360" w:hanging="432"/>
      </w:pPr>
      <w:rPr>
        <w:rFonts w:ascii="Times New Roman" w:hAnsi="Times New Roman" w:hint="default"/>
        <w:sz w:val="24"/>
      </w:rPr>
    </w:lvl>
    <w:lvl w:ilvl="2">
      <w:start w:val="1"/>
      <w:numFmt w:val="decimal"/>
      <w:lvlText w:val="%1.%2.%3."/>
      <w:lvlJc w:val="left"/>
      <w:pPr>
        <w:ind w:left="1792" w:hanging="504"/>
      </w:pPr>
      <w:rPr>
        <w:rFonts w:hint="default"/>
      </w:rPr>
    </w:lvl>
    <w:lvl w:ilvl="3">
      <w:start w:val="1"/>
      <w:numFmt w:val="decimal"/>
      <w:lvlText w:val="%1.%2.%3.%4."/>
      <w:lvlJc w:val="left"/>
      <w:pPr>
        <w:ind w:left="2296" w:hanging="648"/>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208" w15:restartNumberingAfterBreak="0">
    <w:nsid w:val="61362826"/>
    <w:multiLevelType w:val="hybridMultilevel"/>
    <w:tmpl w:val="11EC0994"/>
    <w:lvl w:ilvl="0" w:tplc="872ADBF0">
      <w:numFmt w:val="bullet"/>
      <w:lvlText w:val="-"/>
      <w:lvlJc w:val="left"/>
      <w:pPr>
        <w:ind w:left="720" w:hanging="360"/>
      </w:pPr>
      <w:rPr>
        <w:rFonts w:ascii="Times New Roman" w:eastAsia="Times New Roman"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9" w15:restartNumberingAfterBreak="0">
    <w:nsid w:val="61442839"/>
    <w:multiLevelType w:val="hybridMultilevel"/>
    <w:tmpl w:val="BDE0B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19D21CB"/>
    <w:multiLevelType w:val="hybridMultilevel"/>
    <w:tmpl w:val="295ADD54"/>
    <w:lvl w:ilvl="0" w:tplc="B7E0BEBC">
      <w:start w:val="2"/>
      <w:numFmt w:val="decimal"/>
      <w:lvlText w:val="%1."/>
      <w:lvlJc w:val="left"/>
      <w:pPr>
        <w:ind w:left="12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3365894"/>
    <w:multiLevelType w:val="multilevel"/>
    <w:tmpl w:val="926820C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b/>
      </w:rPr>
    </w:lvl>
    <w:lvl w:ilvl="2">
      <w:start w:val="1"/>
      <w:numFmt w:val="decimal"/>
      <w:lvlText w:val="%1.%2.%3."/>
      <w:lvlJc w:val="left"/>
      <w:pPr>
        <w:tabs>
          <w:tab w:val="num" w:pos="1920"/>
        </w:tabs>
        <w:ind w:left="1920" w:hanging="720"/>
      </w:pPr>
      <w:rPr>
        <w:rFonts w:ascii="Times New Roman" w:hAnsi="Times New Roman" w:cs="Times New Roman" w:hint="default"/>
        <w:sz w:val="24"/>
        <w:szCs w:val="24"/>
      </w:rPr>
    </w:lvl>
    <w:lvl w:ilvl="3">
      <w:start w:val="1"/>
      <w:numFmt w:val="decimal"/>
      <w:lvlText w:val="%1.%2.%3.%4."/>
      <w:lvlJc w:val="left"/>
      <w:pPr>
        <w:tabs>
          <w:tab w:val="num" w:pos="1920"/>
        </w:tabs>
        <w:ind w:left="1920" w:hanging="720"/>
      </w:pPr>
      <w:rPr>
        <w:rFonts w:ascii="Times New Roman" w:hAnsi="Times New Roman"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2" w15:restartNumberingAfterBreak="0">
    <w:nsid w:val="63B320CD"/>
    <w:multiLevelType w:val="multilevel"/>
    <w:tmpl w:val="166CB4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3" w15:restartNumberingAfterBreak="0">
    <w:nsid w:val="650D7E80"/>
    <w:multiLevelType w:val="multilevel"/>
    <w:tmpl w:val="EFA2AC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4" w15:restartNumberingAfterBreak="0">
    <w:nsid w:val="65A525AA"/>
    <w:multiLevelType w:val="hybridMultilevel"/>
    <w:tmpl w:val="2EB09ECC"/>
    <w:lvl w:ilvl="0" w:tplc="1CA409B6">
      <w:numFmt w:val="bullet"/>
      <w:lvlText w:val="-"/>
      <w:lvlJc w:val="left"/>
      <w:pPr>
        <w:ind w:left="705" w:hanging="705"/>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15" w15:restartNumberingAfterBreak="0">
    <w:nsid w:val="66272E30"/>
    <w:multiLevelType w:val="multilevel"/>
    <w:tmpl w:val="921485D0"/>
    <w:lvl w:ilvl="0">
      <w:start w:val="4"/>
      <w:numFmt w:val="decimal"/>
      <w:lvlText w:val="%1."/>
      <w:lvlJc w:val="left"/>
      <w:pPr>
        <w:ind w:left="360" w:hanging="360"/>
      </w:pPr>
      <w:rPr>
        <w:rFonts w:hint="default"/>
      </w:rPr>
    </w:lvl>
    <w:lvl w:ilvl="1">
      <w:start w:val="2"/>
      <w:numFmt w:val="decimal"/>
      <w:lvlText w:val="%1.%2."/>
      <w:lvlJc w:val="left"/>
      <w:pPr>
        <w:ind w:left="840" w:hanging="360"/>
      </w:pPr>
      <w:rPr>
        <w:rFonts w:hint="default"/>
        <w:b/>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16" w15:restartNumberingAfterBreak="0">
    <w:nsid w:val="662E510E"/>
    <w:multiLevelType w:val="multilevel"/>
    <w:tmpl w:val="926820C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b/>
      </w:rPr>
    </w:lvl>
    <w:lvl w:ilvl="2">
      <w:start w:val="1"/>
      <w:numFmt w:val="decimal"/>
      <w:lvlText w:val="%1.%2.%3."/>
      <w:lvlJc w:val="left"/>
      <w:pPr>
        <w:tabs>
          <w:tab w:val="num" w:pos="1920"/>
        </w:tabs>
        <w:ind w:left="1920" w:hanging="720"/>
      </w:pPr>
      <w:rPr>
        <w:rFonts w:ascii="Times New Roman" w:hAnsi="Times New Roman" w:cs="Times New Roman" w:hint="default"/>
        <w:sz w:val="24"/>
        <w:szCs w:val="24"/>
      </w:rPr>
    </w:lvl>
    <w:lvl w:ilvl="3">
      <w:start w:val="1"/>
      <w:numFmt w:val="decimal"/>
      <w:lvlText w:val="%1.%2.%3.%4."/>
      <w:lvlJc w:val="left"/>
      <w:pPr>
        <w:tabs>
          <w:tab w:val="num" w:pos="1920"/>
        </w:tabs>
        <w:ind w:left="1920" w:hanging="720"/>
      </w:pPr>
      <w:rPr>
        <w:rFonts w:ascii="Times New Roman" w:hAnsi="Times New Roman"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7" w15:restartNumberingAfterBreak="0">
    <w:nsid w:val="66CE39DF"/>
    <w:multiLevelType w:val="multilevel"/>
    <w:tmpl w:val="08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8" w15:restartNumberingAfterBreak="0">
    <w:nsid w:val="670C110E"/>
    <w:multiLevelType w:val="multilevel"/>
    <w:tmpl w:val="EBD4C4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9" w15:restartNumberingAfterBreak="0">
    <w:nsid w:val="67A97BCD"/>
    <w:multiLevelType w:val="hybridMultilevel"/>
    <w:tmpl w:val="77A6B3AC"/>
    <w:lvl w:ilvl="0" w:tplc="04090001">
      <w:start w:val="1"/>
      <w:numFmt w:val="bullet"/>
      <w:lvlText w:val=""/>
      <w:lvlJc w:val="left"/>
      <w:pPr>
        <w:ind w:left="833" w:hanging="360"/>
      </w:pPr>
      <w:rPr>
        <w:rFonts w:ascii="Symbol" w:hAnsi="Symbol" w:hint="default"/>
      </w:rPr>
    </w:lvl>
    <w:lvl w:ilvl="1" w:tplc="04090003">
      <w:start w:val="1"/>
      <w:numFmt w:val="bullet"/>
      <w:lvlText w:val="o"/>
      <w:lvlJc w:val="left"/>
      <w:pPr>
        <w:ind w:left="1553" w:hanging="360"/>
      </w:pPr>
      <w:rPr>
        <w:rFonts w:ascii="Courier New" w:hAnsi="Courier New" w:cs="Courier New" w:hint="default"/>
      </w:rPr>
    </w:lvl>
    <w:lvl w:ilvl="2" w:tplc="04090005">
      <w:start w:val="1"/>
      <w:numFmt w:val="bullet"/>
      <w:lvlText w:val=""/>
      <w:lvlJc w:val="left"/>
      <w:pPr>
        <w:ind w:left="2273" w:hanging="360"/>
      </w:pPr>
      <w:rPr>
        <w:rFonts w:ascii="Wingdings" w:hAnsi="Wingdings" w:hint="default"/>
      </w:rPr>
    </w:lvl>
    <w:lvl w:ilvl="3" w:tplc="04090001">
      <w:start w:val="1"/>
      <w:numFmt w:val="bullet"/>
      <w:lvlText w:val=""/>
      <w:lvlJc w:val="left"/>
      <w:pPr>
        <w:ind w:left="2993" w:hanging="360"/>
      </w:pPr>
      <w:rPr>
        <w:rFonts w:ascii="Symbol" w:hAnsi="Symbol" w:hint="default"/>
      </w:rPr>
    </w:lvl>
    <w:lvl w:ilvl="4" w:tplc="04090003">
      <w:start w:val="1"/>
      <w:numFmt w:val="bullet"/>
      <w:lvlText w:val="o"/>
      <w:lvlJc w:val="left"/>
      <w:pPr>
        <w:ind w:left="3713" w:hanging="360"/>
      </w:pPr>
      <w:rPr>
        <w:rFonts w:ascii="Courier New" w:hAnsi="Courier New" w:cs="Courier New" w:hint="default"/>
      </w:rPr>
    </w:lvl>
    <w:lvl w:ilvl="5" w:tplc="04090005">
      <w:start w:val="1"/>
      <w:numFmt w:val="bullet"/>
      <w:lvlText w:val=""/>
      <w:lvlJc w:val="left"/>
      <w:pPr>
        <w:ind w:left="4433" w:hanging="360"/>
      </w:pPr>
      <w:rPr>
        <w:rFonts w:ascii="Wingdings" w:hAnsi="Wingdings" w:hint="default"/>
      </w:rPr>
    </w:lvl>
    <w:lvl w:ilvl="6" w:tplc="04090001">
      <w:start w:val="1"/>
      <w:numFmt w:val="bullet"/>
      <w:lvlText w:val=""/>
      <w:lvlJc w:val="left"/>
      <w:pPr>
        <w:ind w:left="5153" w:hanging="360"/>
      </w:pPr>
      <w:rPr>
        <w:rFonts w:ascii="Symbol" w:hAnsi="Symbol" w:hint="default"/>
      </w:rPr>
    </w:lvl>
    <w:lvl w:ilvl="7" w:tplc="04090003">
      <w:start w:val="1"/>
      <w:numFmt w:val="bullet"/>
      <w:lvlText w:val="o"/>
      <w:lvlJc w:val="left"/>
      <w:pPr>
        <w:ind w:left="5873" w:hanging="360"/>
      </w:pPr>
      <w:rPr>
        <w:rFonts w:ascii="Courier New" w:hAnsi="Courier New" w:cs="Courier New" w:hint="default"/>
      </w:rPr>
    </w:lvl>
    <w:lvl w:ilvl="8" w:tplc="04090005">
      <w:start w:val="1"/>
      <w:numFmt w:val="bullet"/>
      <w:lvlText w:val=""/>
      <w:lvlJc w:val="left"/>
      <w:pPr>
        <w:ind w:left="6593" w:hanging="360"/>
      </w:pPr>
      <w:rPr>
        <w:rFonts w:ascii="Wingdings" w:hAnsi="Wingdings" w:hint="default"/>
      </w:rPr>
    </w:lvl>
  </w:abstractNum>
  <w:abstractNum w:abstractNumId="220" w15:restartNumberingAfterBreak="0">
    <w:nsid w:val="67EC1E69"/>
    <w:multiLevelType w:val="multilevel"/>
    <w:tmpl w:val="71D0A84A"/>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1" w15:restartNumberingAfterBreak="0">
    <w:nsid w:val="684E416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2" w15:restartNumberingAfterBreak="0">
    <w:nsid w:val="68A97825"/>
    <w:multiLevelType w:val="multilevel"/>
    <w:tmpl w:val="926820C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b/>
      </w:rPr>
    </w:lvl>
    <w:lvl w:ilvl="2">
      <w:start w:val="1"/>
      <w:numFmt w:val="decimal"/>
      <w:lvlText w:val="%1.%2.%3."/>
      <w:lvlJc w:val="left"/>
      <w:pPr>
        <w:tabs>
          <w:tab w:val="num" w:pos="1920"/>
        </w:tabs>
        <w:ind w:left="1920" w:hanging="720"/>
      </w:pPr>
      <w:rPr>
        <w:rFonts w:ascii="Times New Roman" w:hAnsi="Times New Roman" w:cs="Times New Roman" w:hint="default"/>
        <w:sz w:val="24"/>
        <w:szCs w:val="24"/>
      </w:rPr>
    </w:lvl>
    <w:lvl w:ilvl="3">
      <w:start w:val="1"/>
      <w:numFmt w:val="decimal"/>
      <w:lvlText w:val="%1.%2.%3.%4."/>
      <w:lvlJc w:val="left"/>
      <w:pPr>
        <w:tabs>
          <w:tab w:val="num" w:pos="1920"/>
        </w:tabs>
        <w:ind w:left="1920" w:hanging="720"/>
      </w:pPr>
      <w:rPr>
        <w:rFonts w:ascii="Times New Roman" w:hAnsi="Times New Roman"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3" w15:restartNumberingAfterBreak="0">
    <w:nsid w:val="68EF72E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4" w15:restartNumberingAfterBreak="0">
    <w:nsid w:val="69715466"/>
    <w:multiLevelType w:val="multilevel"/>
    <w:tmpl w:val="D22A3CC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25" w15:restartNumberingAfterBreak="0">
    <w:nsid w:val="69BE5E4E"/>
    <w:multiLevelType w:val="multilevel"/>
    <w:tmpl w:val="C2247156"/>
    <w:lvl w:ilvl="0">
      <w:start w:val="6"/>
      <w:numFmt w:val="decimal"/>
      <w:lvlText w:val="%1."/>
      <w:lvlJc w:val="left"/>
      <w:pPr>
        <w:ind w:left="360" w:hanging="360"/>
      </w:pPr>
      <w:rPr>
        <w:rFonts w:hint="default"/>
      </w:rPr>
    </w:lvl>
    <w:lvl w:ilvl="1">
      <w:start w:val="2"/>
      <w:numFmt w:val="decimal"/>
      <w:lvlText w:val="5.%2."/>
      <w:lvlJc w:val="left"/>
      <w:pPr>
        <w:ind w:left="36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26" w15:restartNumberingAfterBreak="0">
    <w:nsid w:val="69D73584"/>
    <w:multiLevelType w:val="hybridMultilevel"/>
    <w:tmpl w:val="3424D712"/>
    <w:lvl w:ilvl="0" w:tplc="E59C4CDE">
      <w:numFmt w:val="bullet"/>
      <w:lvlText w:val="-"/>
      <w:lvlJc w:val="left"/>
      <w:pPr>
        <w:ind w:left="1080" w:hanging="360"/>
      </w:pPr>
      <w:rPr>
        <w:rFonts w:ascii="Calibri" w:eastAsia="Times New Roman" w:hAnsi="Calibri" w:cs="Times New Roman" w:hint="default"/>
      </w:rPr>
    </w:lvl>
    <w:lvl w:ilvl="1" w:tplc="18090003">
      <w:start w:val="1"/>
      <w:numFmt w:val="bullet"/>
      <w:lvlText w:val="o"/>
      <w:lvlJc w:val="left"/>
      <w:pPr>
        <w:ind w:left="1800" w:hanging="360"/>
      </w:pPr>
      <w:rPr>
        <w:rFonts w:ascii="Courier New" w:hAnsi="Courier New" w:cs="Times New Roman"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Times New Roman"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Times New Roman" w:hint="default"/>
      </w:rPr>
    </w:lvl>
    <w:lvl w:ilvl="8" w:tplc="18090005">
      <w:start w:val="1"/>
      <w:numFmt w:val="bullet"/>
      <w:lvlText w:val=""/>
      <w:lvlJc w:val="left"/>
      <w:pPr>
        <w:ind w:left="6840" w:hanging="360"/>
      </w:pPr>
      <w:rPr>
        <w:rFonts w:ascii="Wingdings" w:hAnsi="Wingdings" w:hint="default"/>
      </w:rPr>
    </w:lvl>
  </w:abstractNum>
  <w:abstractNum w:abstractNumId="227" w15:restartNumberingAfterBreak="0">
    <w:nsid w:val="69DA29D6"/>
    <w:multiLevelType w:val="multilevel"/>
    <w:tmpl w:val="56684AD4"/>
    <w:lvl w:ilvl="0">
      <w:start w:val="1"/>
      <w:numFmt w:val="bullet"/>
      <w:lvlText w:val=""/>
      <w:lvlJc w:val="left"/>
      <w:pPr>
        <w:tabs>
          <w:tab w:val="num" w:pos="340"/>
        </w:tabs>
        <w:ind w:left="340" w:hanging="340"/>
      </w:pPr>
      <w:rPr>
        <w:rFonts w:ascii="Wingdings" w:hAnsi="Wingdings" w:hint="default"/>
        <w:color w:val="auto"/>
      </w:rPr>
    </w:lvl>
    <w:lvl w:ilvl="1">
      <w:start w:val="1"/>
      <w:numFmt w:val="bullet"/>
      <w:lvlText w:val=""/>
      <w:lvlJc w:val="left"/>
      <w:pPr>
        <w:tabs>
          <w:tab w:val="num" w:pos="680"/>
        </w:tabs>
        <w:ind w:left="680" w:hanging="340"/>
      </w:pPr>
      <w:rPr>
        <w:rFonts w:ascii="Wingdings" w:hAnsi="Wingdings" w:hint="default"/>
        <w:color w:val="auto"/>
      </w:rPr>
    </w:lvl>
    <w:lvl w:ilvl="2">
      <w:start w:val="1"/>
      <w:numFmt w:val="bullet"/>
      <w:lvlText w:val="○"/>
      <w:lvlJc w:val="left"/>
      <w:pPr>
        <w:tabs>
          <w:tab w:val="num" w:pos="1020"/>
        </w:tabs>
        <w:ind w:left="1020" w:hanging="340"/>
      </w:pPr>
      <w:rPr>
        <w:rFonts w:ascii="Arial" w:hAnsi="Arial" w:hint="default"/>
        <w:color w:val="auto"/>
      </w:rPr>
    </w:lvl>
    <w:lvl w:ilvl="3">
      <w:start w:val="1"/>
      <w:numFmt w:val="none"/>
      <w:suff w:val="nothing"/>
      <w:lvlText w:val=""/>
      <w:lvlJc w:val="left"/>
      <w:pPr>
        <w:ind w:left="1020" w:firstLine="0"/>
      </w:pPr>
      <w:rPr>
        <w:rFonts w:hint="default"/>
      </w:rPr>
    </w:lvl>
    <w:lvl w:ilvl="4">
      <w:start w:val="1"/>
      <w:numFmt w:val="none"/>
      <w:suff w:val="nothing"/>
      <w:lvlText w:val=""/>
      <w:lvlJc w:val="left"/>
      <w:pPr>
        <w:ind w:left="1020" w:firstLine="0"/>
      </w:pPr>
      <w:rPr>
        <w:rFonts w:hint="default"/>
      </w:rPr>
    </w:lvl>
    <w:lvl w:ilvl="5">
      <w:start w:val="1"/>
      <w:numFmt w:val="none"/>
      <w:suff w:val="nothing"/>
      <w:lvlText w:val=""/>
      <w:lvlJc w:val="left"/>
      <w:pPr>
        <w:ind w:left="1020" w:firstLine="0"/>
      </w:pPr>
      <w:rPr>
        <w:rFonts w:hint="default"/>
      </w:rPr>
    </w:lvl>
    <w:lvl w:ilvl="6">
      <w:start w:val="1"/>
      <w:numFmt w:val="none"/>
      <w:suff w:val="nothing"/>
      <w:lvlText w:val=""/>
      <w:lvlJc w:val="left"/>
      <w:pPr>
        <w:ind w:left="1020" w:firstLine="0"/>
      </w:pPr>
      <w:rPr>
        <w:rFonts w:hint="default"/>
      </w:rPr>
    </w:lvl>
    <w:lvl w:ilvl="7">
      <w:start w:val="1"/>
      <w:numFmt w:val="none"/>
      <w:suff w:val="nothing"/>
      <w:lvlText w:val=""/>
      <w:lvlJc w:val="left"/>
      <w:pPr>
        <w:ind w:left="1020" w:firstLine="0"/>
      </w:pPr>
      <w:rPr>
        <w:rFonts w:hint="default"/>
      </w:rPr>
    </w:lvl>
    <w:lvl w:ilvl="8">
      <w:start w:val="1"/>
      <w:numFmt w:val="none"/>
      <w:lvlText w:val=""/>
      <w:lvlJc w:val="left"/>
      <w:pPr>
        <w:ind w:left="2389" w:hanging="360"/>
      </w:pPr>
      <w:rPr>
        <w:rFonts w:hint="default"/>
      </w:rPr>
    </w:lvl>
  </w:abstractNum>
  <w:abstractNum w:abstractNumId="228" w15:restartNumberingAfterBreak="0">
    <w:nsid w:val="6AD06A45"/>
    <w:multiLevelType w:val="multilevel"/>
    <w:tmpl w:val="71D0A84A"/>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9" w15:restartNumberingAfterBreak="0">
    <w:nsid w:val="6B0C7539"/>
    <w:multiLevelType w:val="hybridMultilevel"/>
    <w:tmpl w:val="CB061B76"/>
    <w:lvl w:ilvl="0" w:tplc="AEEE82FE">
      <w:start w:val="2"/>
      <w:numFmt w:val="decimal"/>
      <w:lvlText w:val="%1."/>
      <w:lvlJc w:val="left"/>
      <w:pPr>
        <w:ind w:left="12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6B415EB4"/>
    <w:multiLevelType w:val="hybridMultilevel"/>
    <w:tmpl w:val="CCD4A03E"/>
    <w:lvl w:ilvl="0" w:tplc="4DFAEA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6B557C7F"/>
    <w:multiLevelType w:val="multilevel"/>
    <w:tmpl w:val="582E4F5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2" w15:restartNumberingAfterBreak="0">
    <w:nsid w:val="6B66052D"/>
    <w:multiLevelType w:val="hybridMultilevel"/>
    <w:tmpl w:val="6434A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3" w15:restartNumberingAfterBreak="0">
    <w:nsid w:val="6BF73238"/>
    <w:multiLevelType w:val="hybridMultilevel"/>
    <w:tmpl w:val="A72A88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4" w15:restartNumberingAfterBreak="0">
    <w:nsid w:val="6C4A2C40"/>
    <w:multiLevelType w:val="hybridMultilevel"/>
    <w:tmpl w:val="3B187996"/>
    <w:lvl w:ilvl="0" w:tplc="0446629A">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5" w15:restartNumberingAfterBreak="0">
    <w:nsid w:val="6CAE1BA4"/>
    <w:multiLevelType w:val="multilevel"/>
    <w:tmpl w:val="DE26E144"/>
    <w:numStyleLink w:val="NumbLstTable"/>
  </w:abstractNum>
  <w:abstractNum w:abstractNumId="236" w15:restartNumberingAfterBreak="0">
    <w:nsid w:val="6D0110BC"/>
    <w:multiLevelType w:val="multilevel"/>
    <w:tmpl w:val="926820C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b/>
      </w:rPr>
    </w:lvl>
    <w:lvl w:ilvl="2">
      <w:start w:val="1"/>
      <w:numFmt w:val="decimal"/>
      <w:lvlText w:val="%1.%2.%3."/>
      <w:lvlJc w:val="left"/>
      <w:pPr>
        <w:tabs>
          <w:tab w:val="num" w:pos="1920"/>
        </w:tabs>
        <w:ind w:left="1920" w:hanging="720"/>
      </w:pPr>
      <w:rPr>
        <w:rFonts w:ascii="Times New Roman" w:hAnsi="Times New Roman" w:cs="Times New Roman" w:hint="default"/>
        <w:sz w:val="24"/>
        <w:szCs w:val="24"/>
      </w:rPr>
    </w:lvl>
    <w:lvl w:ilvl="3">
      <w:start w:val="1"/>
      <w:numFmt w:val="decimal"/>
      <w:lvlText w:val="%1.%2.%3.%4."/>
      <w:lvlJc w:val="left"/>
      <w:pPr>
        <w:tabs>
          <w:tab w:val="num" w:pos="1920"/>
        </w:tabs>
        <w:ind w:left="1920" w:hanging="720"/>
      </w:pPr>
      <w:rPr>
        <w:rFonts w:ascii="Times New Roman" w:hAnsi="Times New Roman"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7" w15:restartNumberingAfterBreak="0">
    <w:nsid w:val="6E01654E"/>
    <w:multiLevelType w:val="hybridMultilevel"/>
    <w:tmpl w:val="63366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6EC430A3"/>
    <w:multiLevelType w:val="hybridMultilevel"/>
    <w:tmpl w:val="57BC1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6ED541AC"/>
    <w:multiLevelType w:val="hybridMultilevel"/>
    <w:tmpl w:val="4634B9C8"/>
    <w:lvl w:ilvl="0" w:tplc="CE400DEA">
      <w:start w:val="1"/>
      <w:numFmt w:val="bullet"/>
      <w:lvlText w:val="•"/>
      <w:lvlJc w:val="left"/>
      <w:pPr>
        <w:tabs>
          <w:tab w:val="num" w:pos="720"/>
        </w:tabs>
        <w:ind w:left="720" w:hanging="360"/>
      </w:pPr>
      <w:rPr>
        <w:rFonts w:ascii="Arial" w:hAnsi="Arial" w:hint="default"/>
      </w:rPr>
    </w:lvl>
    <w:lvl w:ilvl="1" w:tplc="209AF7E8">
      <w:start w:val="1"/>
      <w:numFmt w:val="bullet"/>
      <w:lvlText w:val="•"/>
      <w:lvlJc w:val="left"/>
      <w:pPr>
        <w:tabs>
          <w:tab w:val="num" w:pos="1440"/>
        </w:tabs>
        <w:ind w:left="1440" w:hanging="360"/>
      </w:pPr>
      <w:rPr>
        <w:rFonts w:ascii="Arial" w:hAnsi="Arial" w:hint="default"/>
      </w:rPr>
    </w:lvl>
    <w:lvl w:ilvl="2" w:tplc="461ADB5E" w:tentative="1">
      <w:start w:val="1"/>
      <w:numFmt w:val="bullet"/>
      <w:lvlText w:val="•"/>
      <w:lvlJc w:val="left"/>
      <w:pPr>
        <w:tabs>
          <w:tab w:val="num" w:pos="2160"/>
        </w:tabs>
        <w:ind w:left="2160" w:hanging="360"/>
      </w:pPr>
      <w:rPr>
        <w:rFonts w:ascii="Arial" w:hAnsi="Arial" w:hint="default"/>
      </w:rPr>
    </w:lvl>
    <w:lvl w:ilvl="3" w:tplc="362EDCBC" w:tentative="1">
      <w:start w:val="1"/>
      <w:numFmt w:val="bullet"/>
      <w:lvlText w:val="•"/>
      <w:lvlJc w:val="left"/>
      <w:pPr>
        <w:tabs>
          <w:tab w:val="num" w:pos="2880"/>
        </w:tabs>
        <w:ind w:left="2880" w:hanging="360"/>
      </w:pPr>
      <w:rPr>
        <w:rFonts w:ascii="Arial" w:hAnsi="Arial" w:hint="default"/>
      </w:rPr>
    </w:lvl>
    <w:lvl w:ilvl="4" w:tplc="DA080236" w:tentative="1">
      <w:start w:val="1"/>
      <w:numFmt w:val="bullet"/>
      <w:lvlText w:val="•"/>
      <w:lvlJc w:val="left"/>
      <w:pPr>
        <w:tabs>
          <w:tab w:val="num" w:pos="3600"/>
        </w:tabs>
        <w:ind w:left="3600" w:hanging="360"/>
      </w:pPr>
      <w:rPr>
        <w:rFonts w:ascii="Arial" w:hAnsi="Arial" w:hint="default"/>
      </w:rPr>
    </w:lvl>
    <w:lvl w:ilvl="5" w:tplc="1742911C" w:tentative="1">
      <w:start w:val="1"/>
      <w:numFmt w:val="bullet"/>
      <w:lvlText w:val="•"/>
      <w:lvlJc w:val="left"/>
      <w:pPr>
        <w:tabs>
          <w:tab w:val="num" w:pos="4320"/>
        </w:tabs>
        <w:ind w:left="4320" w:hanging="360"/>
      </w:pPr>
      <w:rPr>
        <w:rFonts w:ascii="Arial" w:hAnsi="Arial" w:hint="default"/>
      </w:rPr>
    </w:lvl>
    <w:lvl w:ilvl="6" w:tplc="60447E64" w:tentative="1">
      <w:start w:val="1"/>
      <w:numFmt w:val="bullet"/>
      <w:lvlText w:val="•"/>
      <w:lvlJc w:val="left"/>
      <w:pPr>
        <w:tabs>
          <w:tab w:val="num" w:pos="5040"/>
        </w:tabs>
        <w:ind w:left="5040" w:hanging="360"/>
      </w:pPr>
      <w:rPr>
        <w:rFonts w:ascii="Arial" w:hAnsi="Arial" w:hint="default"/>
      </w:rPr>
    </w:lvl>
    <w:lvl w:ilvl="7" w:tplc="262602D4" w:tentative="1">
      <w:start w:val="1"/>
      <w:numFmt w:val="bullet"/>
      <w:lvlText w:val="•"/>
      <w:lvlJc w:val="left"/>
      <w:pPr>
        <w:tabs>
          <w:tab w:val="num" w:pos="5760"/>
        </w:tabs>
        <w:ind w:left="5760" w:hanging="360"/>
      </w:pPr>
      <w:rPr>
        <w:rFonts w:ascii="Arial" w:hAnsi="Arial" w:hint="default"/>
      </w:rPr>
    </w:lvl>
    <w:lvl w:ilvl="8" w:tplc="D090CB38" w:tentative="1">
      <w:start w:val="1"/>
      <w:numFmt w:val="bullet"/>
      <w:lvlText w:val="•"/>
      <w:lvlJc w:val="left"/>
      <w:pPr>
        <w:tabs>
          <w:tab w:val="num" w:pos="6480"/>
        </w:tabs>
        <w:ind w:left="6480" w:hanging="360"/>
      </w:pPr>
      <w:rPr>
        <w:rFonts w:ascii="Arial" w:hAnsi="Arial" w:hint="default"/>
      </w:rPr>
    </w:lvl>
  </w:abstractNum>
  <w:abstractNum w:abstractNumId="240" w15:restartNumberingAfterBreak="0">
    <w:nsid w:val="6FE27079"/>
    <w:multiLevelType w:val="hybridMultilevel"/>
    <w:tmpl w:val="2C38B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1" w15:restartNumberingAfterBreak="0">
    <w:nsid w:val="708F7C4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2" w15:restartNumberingAfterBreak="0">
    <w:nsid w:val="71150F0B"/>
    <w:multiLevelType w:val="multilevel"/>
    <w:tmpl w:val="EFA2AC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3" w15:restartNumberingAfterBreak="0">
    <w:nsid w:val="71593E70"/>
    <w:multiLevelType w:val="hybridMultilevel"/>
    <w:tmpl w:val="34E49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71BB6361"/>
    <w:multiLevelType w:val="hybridMultilevel"/>
    <w:tmpl w:val="9EA6C0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5" w15:restartNumberingAfterBreak="0">
    <w:nsid w:val="725D24D8"/>
    <w:multiLevelType w:val="multilevel"/>
    <w:tmpl w:val="F962A8F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46" w15:restartNumberingAfterBreak="0">
    <w:nsid w:val="74EA16DB"/>
    <w:multiLevelType w:val="hybridMultilevel"/>
    <w:tmpl w:val="D398F55E"/>
    <w:lvl w:ilvl="0" w:tplc="261A29BE">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47" w15:restartNumberingAfterBreak="0">
    <w:nsid w:val="75562C8A"/>
    <w:multiLevelType w:val="hybridMultilevel"/>
    <w:tmpl w:val="E702F03E"/>
    <w:lvl w:ilvl="0" w:tplc="1809000F">
      <w:start w:val="1"/>
      <w:numFmt w:val="decimal"/>
      <w:lvlText w:val="%1."/>
      <w:lvlJc w:val="left"/>
      <w:pPr>
        <w:ind w:left="927" w:hanging="360"/>
      </w:pPr>
    </w:lvl>
    <w:lvl w:ilvl="1" w:tplc="18090019" w:tentative="1">
      <w:start w:val="1"/>
      <w:numFmt w:val="lowerLetter"/>
      <w:lvlText w:val="%2."/>
      <w:lvlJc w:val="left"/>
      <w:pPr>
        <w:ind w:left="1647" w:hanging="360"/>
      </w:pPr>
    </w:lvl>
    <w:lvl w:ilvl="2" w:tplc="1809001B" w:tentative="1">
      <w:start w:val="1"/>
      <w:numFmt w:val="lowerRoman"/>
      <w:lvlText w:val="%3."/>
      <w:lvlJc w:val="right"/>
      <w:pPr>
        <w:ind w:left="2367" w:hanging="180"/>
      </w:pPr>
    </w:lvl>
    <w:lvl w:ilvl="3" w:tplc="1809000F" w:tentative="1">
      <w:start w:val="1"/>
      <w:numFmt w:val="decimal"/>
      <w:lvlText w:val="%4."/>
      <w:lvlJc w:val="left"/>
      <w:pPr>
        <w:ind w:left="3087" w:hanging="360"/>
      </w:pPr>
    </w:lvl>
    <w:lvl w:ilvl="4" w:tplc="18090019" w:tentative="1">
      <w:start w:val="1"/>
      <w:numFmt w:val="lowerLetter"/>
      <w:lvlText w:val="%5."/>
      <w:lvlJc w:val="left"/>
      <w:pPr>
        <w:ind w:left="3807" w:hanging="360"/>
      </w:pPr>
    </w:lvl>
    <w:lvl w:ilvl="5" w:tplc="1809001B" w:tentative="1">
      <w:start w:val="1"/>
      <w:numFmt w:val="lowerRoman"/>
      <w:lvlText w:val="%6."/>
      <w:lvlJc w:val="right"/>
      <w:pPr>
        <w:ind w:left="4527" w:hanging="180"/>
      </w:pPr>
    </w:lvl>
    <w:lvl w:ilvl="6" w:tplc="1809000F" w:tentative="1">
      <w:start w:val="1"/>
      <w:numFmt w:val="decimal"/>
      <w:lvlText w:val="%7."/>
      <w:lvlJc w:val="left"/>
      <w:pPr>
        <w:ind w:left="5247" w:hanging="360"/>
      </w:pPr>
    </w:lvl>
    <w:lvl w:ilvl="7" w:tplc="18090019" w:tentative="1">
      <w:start w:val="1"/>
      <w:numFmt w:val="lowerLetter"/>
      <w:lvlText w:val="%8."/>
      <w:lvlJc w:val="left"/>
      <w:pPr>
        <w:ind w:left="5967" w:hanging="360"/>
      </w:pPr>
    </w:lvl>
    <w:lvl w:ilvl="8" w:tplc="1809001B" w:tentative="1">
      <w:start w:val="1"/>
      <w:numFmt w:val="lowerRoman"/>
      <w:lvlText w:val="%9."/>
      <w:lvlJc w:val="right"/>
      <w:pPr>
        <w:ind w:left="6687" w:hanging="180"/>
      </w:pPr>
    </w:lvl>
  </w:abstractNum>
  <w:abstractNum w:abstractNumId="248" w15:restartNumberingAfterBreak="0">
    <w:nsid w:val="75813245"/>
    <w:multiLevelType w:val="hybridMultilevel"/>
    <w:tmpl w:val="9E36F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75F33650"/>
    <w:multiLevelType w:val="multilevel"/>
    <w:tmpl w:val="D910F088"/>
    <w:lvl w:ilvl="0">
      <w:start w:val="2"/>
      <w:numFmt w:val="decimal"/>
      <w:lvlText w:val="%1."/>
      <w:lvlJc w:val="left"/>
      <w:pPr>
        <w:ind w:left="360" w:hanging="360"/>
      </w:pPr>
      <w:rPr>
        <w:rFonts w:hint="default"/>
      </w:rPr>
    </w:lvl>
    <w:lvl w:ilvl="1">
      <w:start w:val="2"/>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50" w15:restartNumberingAfterBreak="0">
    <w:nsid w:val="763E6ECE"/>
    <w:multiLevelType w:val="multilevel"/>
    <w:tmpl w:val="C7D022EA"/>
    <w:numStyleLink w:val="NumbLstBoxes"/>
  </w:abstractNum>
  <w:abstractNum w:abstractNumId="251" w15:restartNumberingAfterBreak="0">
    <w:nsid w:val="769463E5"/>
    <w:multiLevelType w:val="hybridMultilevel"/>
    <w:tmpl w:val="E9E6D02A"/>
    <w:lvl w:ilvl="0" w:tplc="2DA67F56">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2" w15:restartNumberingAfterBreak="0">
    <w:nsid w:val="76AB5B13"/>
    <w:multiLevelType w:val="multilevel"/>
    <w:tmpl w:val="641057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3" w15:restartNumberingAfterBreak="0">
    <w:nsid w:val="77B41145"/>
    <w:multiLevelType w:val="multilevel"/>
    <w:tmpl w:val="26A84794"/>
    <w:lvl w:ilvl="0">
      <w:start w:val="2"/>
      <w:numFmt w:val="decimal"/>
      <w:lvlText w:val="%1."/>
      <w:lvlJc w:val="left"/>
      <w:pPr>
        <w:ind w:left="585" w:hanging="585"/>
      </w:pPr>
      <w:rPr>
        <w:rFonts w:ascii="Verdana" w:hAnsi="Verdana" w:cstheme="minorBidi" w:hint="default"/>
        <w:sz w:val="20"/>
      </w:rPr>
    </w:lvl>
    <w:lvl w:ilvl="1">
      <w:start w:val="1"/>
      <w:numFmt w:val="decimal"/>
      <w:lvlText w:val="%1.%2."/>
      <w:lvlJc w:val="left"/>
      <w:pPr>
        <w:ind w:left="1185" w:hanging="585"/>
      </w:pPr>
      <w:rPr>
        <w:rFonts w:ascii="Verdana" w:hAnsi="Verdana" w:cstheme="minorBidi" w:hint="default"/>
        <w:sz w:val="20"/>
      </w:rPr>
    </w:lvl>
    <w:lvl w:ilvl="2">
      <w:start w:val="3"/>
      <w:numFmt w:val="decimal"/>
      <w:lvlText w:val="%1.%2.%3."/>
      <w:lvlJc w:val="left"/>
      <w:pPr>
        <w:ind w:left="1920" w:hanging="720"/>
      </w:pPr>
      <w:rPr>
        <w:rFonts w:ascii="Verdana" w:hAnsi="Verdana" w:cstheme="minorBidi" w:hint="default"/>
        <w:sz w:val="20"/>
      </w:rPr>
    </w:lvl>
    <w:lvl w:ilvl="3">
      <w:start w:val="1"/>
      <w:numFmt w:val="decimal"/>
      <w:lvlText w:val="%1.%2.%3.%4."/>
      <w:lvlJc w:val="left"/>
      <w:pPr>
        <w:ind w:left="2520" w:hanging="720"/>
      </w:pPr>
      <w:rPr>
        <w:rFonts w:ascii="Verdana" w:hAnsi="Verdana" w:cstheme="minorBidi" w:hint="default"/>
        <w:sz w:val="20"/>
      </w:rPr>
    </w:lvl>
    <w:lvl w:ilvl="4">
      <w:start w:val="1"/>
      <w:numFmt w:val="decimal"/>
      <w:lvlText w:val="%1.%2.%3.%4.%5."/>
      <w:lvlJc w:val="left"/>
      <w:pPr>
        <w:ind w:left="3480" w:hanging="1080"/>
      </w:pPr>
      <w:rPr>
        <w:rFonts w:ascii="Verdana" w:hAnsi="Verdana" w:cstheme="minorBidi" w:hint="default"/>
        <w:sz w:val="20"/>
      </w:rPr>
    </w:lvl>
    <w:lvl w:ilvl="5">
      <w:start w:val="1"/>
      <w:numFmt w:val="decimal"/>
      <w:lvlText w:val="%1.%2.%3.%4.%5.%6."/>
      <w:lvlJc w:val="left"/>
      <w:pPr>
        <w:ind w:left="4080" w:hanging="1080"/>
      </w:pPr>
      <w:rPr>
        <w:rFonts w:ascii="Verdana" w:hAnsi="Verdana" w:cstheme="minorBidi" w:hint="default"/>
        <w:sz w:val="20"/>
      </w:rPr>
    </w:lvl>
    <w:lvl w:ilvl="6">
      <w:start w:val="1"/>
      <w:numFmt w:val="decimal"/>
      <w:lvlText w:val="%1.%2.%3.%4.%5.%6.%7."/>
      <w:lvlJc w:val="left"/>
      <w:pPr>
        <w:ind w:left="5040" w:hanging="1440"/>
      </w:pPr>
      <w:rPr>
        <w:rFonts w:ascii="Verdana" w:hAnsi="Verdana" w:cstheme="minorBidi" w:hint="default"/>
        <w:sz w:val="20"/>
      </w:rPr>
    </w:lvl>
    <w:lvl w:ilvl="7">
      <w:start w:val="1"/>
      <w:numFmt w:val="decimal"/>
      <w:lvlText w:val="%1.%2.%3.%4.%5.%6.%7.%8."/>
      <w:lvlJc w:val="left"/>
      <w:pPr>
        <w:ind w:left="5640" w:hanging="1440"/>
      </w:pPr>
      <w:rPr>
        <w:rFonts w:ascii="Verdana" w:hAnsi="Verdana" w:cstheme="minorBidi" w:hint="default"/>
        <w:sz w:val="20"/>
      </w:rPr>
    </w:lvl>
    <w:lvl w:ilvl="8">
      <w:start w:val="1"/>
      <w:numFmt w:val="decimal"/>
      <w:lvlText w:val="%1.%2.%3.%4.%5.%6.%7.%8.%9."/>
      <w:lvlJc w:val="left"/>
      <w:pPr>
        <w:ind w:left="6600" w:hanging="1800"/>
      </w:pPr>
      <w:rPr>
        <w:rFonts w:ascii="Verdana" w:hAnsi="Verdana" w:cstheme="minorBidi" w:hint="default"/>
        <w:sz w:val="20"/>
      </w:rPr>
    </w:lvl>
  </w:abstractNum>
  <w:abstractNum w:abstractNumId="254" w15:restartNumberingAfterBreak="0">
    <w:nsid w:val="78291548"/>
    <w:multiLevelType w:val="multilevel"/>
    <w:tmpl w:val="285E2C9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680" w:hanging="720"/>
      </w:pPr>
      <w:rPr>
        <w:rFonts w:ascii="Times New Roman" w:hAnsi="Times New Roman" w:cs="Times New Roman" w:hint="default"/>
        <w:sz w:val="24"/>
      </w:rPr>
    </w:lvl>
    <w:lvl w:ilvl="3">
      <w:start w:val="1"/>
      <w:numFmt w:val="decimal"/>
      <w:lvlText w:val="%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55" w15:restartNumberingAfterBreak="0">
    <w:nsid w:val="78F64AC3"/>
    <w:multiLevelType w:val="multilevel"/>
    <w:tmpl w:val="A84AC1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pStyle w:val="FigureLeft"/>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6" w15:restartNumberingAfterBreak="0">
    <w:nsid w:val="7912697A"/>
    <w:multiLevelType w:val="multilevel"/>
    <w:tmpl w:val="71D0A84A"/>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7" w15:restartNumberingAfterBreak="0">
    <w:nsid w:val="791D280E"/>
    <w:multiLevelType w:val="multilevel"/>
    <w:tmpl w:val="26A84794"/>
    <w:lvl w:ilvl="0">
      <w:start w:val="2"/>
      <w:numFmt w:val="decimal"/>
      <w:lvlText w:val="%1."/>
      <w:lvlJc w:val="left"/>
      <w:pPr>
        <w:ind w:left="585" w:hanging="585"/>
      </w:pPr>
      <w:rPr>
        <w:rFonts w:ascii="Verdana" w:hAnsi="Verdana" w:cstheme="minorBidi" w:hint="default"/>
        <w:sz w:val="20"/>
      </w:rPr>
    </w:lvl>
    <w:lvl w:ilvl="1">
      <w:start w:val="1"/>
      <w:numFmt w:val="decimal"/>
      <w:lvlText w:val="%1.%2."/>
      <w:lvlJc w:val="left"/>
      <w:pPr>
        <w:ind w:left="1185" w:hanging="585"/>
      </w:pPr>
      <w:rPr>
        <w:rFonts w:ascii="Verdana" w:hAnsi="Verdana" w:cstheme="minorBidi" w:hint="default"/>
        <w:sz w:val="20"/>
      </w:rPr>
    </w:lvl>
    <w:lvl w:ilvl="2">
      <w:start w:val="3"/>
      <w:numFmt w:val="decimal"/>
      <w:lvlText w:val="%1.%2.%3."/>
      <w:lvlJc w:val="left"/>
      <w:pPr>
        <w:ind w:left="1920" w:hanging="720"/>
      </w:pPr>
      <w:rPr>
        <w:rFonts w:ascii="Verdana" w:hAnsi="Verdana" w:cstheme="minorBidi" w:hint="default"/>
        <w:sz w:val="20"/>
      </w:rPr>
    </w:lvl>
    <w:lvl w:ilvl="3">
      <w:start w:val="1"/>
      <w:numFmt w:val="decimal"/>
      <w:lvlText w:val="%1.%2.%3.%4."/>
      <w:lvlJc w:val="left"/>
      <w:pPr>
        <w:ind w:left="2520" w:hanging="720"/>
      </w:pPr>
      <w:rPr>
        <w:rFonts w:ascii="Verdana" w:hAnsi="Verdana" w:cstheme="minorBidi" w:hint="default"/>
        <w:sz w:val="20"/>
      </w:rPr>
    </w:lvl>
    <w:lvl w:ilvl="4">
      <w:start w:val="1"/>
      <w:numFmt w:val="decimal"/>
      <w:lvlText w:val="%1.%2.%3.%4.%5."/>
      <w:lvlJc w:val="left"/>
      <w:pPr>
        <w:ind w:left="3480" w:hanging="1080"/>
      </w:pPr>
      <w:rPr>
        <w:rFonts w:ascii="Verdana" w:hAnsi="Verdana" w:cstheme="minorBidi" w:hint="default"/>
        <w:sz w:val="20"/>
      </w:rPr>
    </w:lvl>
    <w:lvl w:ilvl="5">
      <w:start w:val="1"/>
      <w:numFmt w:val="decimal"/>
      <w:lvlText w:val="%1.%2.%3.%4.%5.%6."/>
      <w:lvlJc w:val="left"/>
      <w:pPr>
        <w:ind w:left="4080" w:hanging="1080"/>
      </w:pPr>
      <w:rPr>
        <w:rFonts w:ascii="Verdana" w:hAnsi="Verdana" w:cstheme="minorBidi" w:hint="default"/>
        <w:sz w:val="20"/>
      </w:rPr>
    </w:lvl>
    <w:lvl w:ilvl="6">
      <w:start w:val="1"/>
      <w:numFmt w:val="decimal"/>
      <w:lvlText w:val="%1.%2.%3.%4.%5.%6.%7."/>
      <w:lvlJc w:val="left"/>
      <w:pPr>
        <w:ind w:left="5040" w:hanging="1440"/>
      </w:pPr>
      <w:rPr>
        <w:rFonts w:ascii="Verdana" w:hAnsi="Verdana" w:cstheme="minorBidi" w:hint="default"/>
        <w:sz w:val="20"/>
      </w:rPr>
    </w:lvl>
    <w:lvl w:ilvl="7">
      <w:start w:val="1"/>
      <w:numFmt w:val="decimal"/>
      <w:lvlText w:val="%1.%2.%3.%4.%5.%6.%7.%8."/>
      <w:lvlJc w:val="left"/>
      <w:pPr>
        <w:ind w:left="5640" w:hanging="1440"/>
      </w:pPr>
      <w:rPr>
        <w:rFonts w:ascii="Verdana" w:hAnsi="Verdana" w:cstheme="minorBidi" w:hint="default"/>
        <w:sz w:val="20"/>
      </w:rPr>
    </w:lvl>
    <w:lvl w:ilvl="8">
      <w:start w:val="1"/>
      <w:numFmt w:val="decimal"/>
      <w:lvlText w:val="%1.%2.%3.%4.%5.%6.%7.%8.%9."/>
      <w:lvlJc w:val="left"/>
      <w:pPr>
        <w:ind w:left="6600" w:hanging="1800"/>
      </w:pPr>
      <w:rPr>
        <w:rFonts w:ascii="Verdana" w:hAnsi="Verdana" w:cstheme="minorBidi" w:hint="default"/>
        <w:sz w:val="20"/>
      </w:rPr>
    </w:lvl>
  </w:abstractNum>
  <w:abstractNum w:abstractNumId="258" w15:restartNumberingAfterBreak="0">
    <w:nsid w:val="793F33C6"/>
    <w:multiLevelType w:val="multilevel"/>
    <w:tmpl w:val="D22A3CC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59" w15:restartNumberingAfterBreak="0">
    <w:nsid w:val="796A27E3"/>
    <w:multiLevelType w:val="hybridMultilevel"/>
    <w:tmpl w:val="B7E43EF4"/>
    <w:lvl w:ilvl="0" w:tplc="4DFAEA4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796F6CC9"/>
    <w:multiLevelType w:val="multilevel"/>
    <w:tmpl w:val="56C419E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61" w15:restartNumberingAfterBreak="0">
    <w:nsid w:val="7A0610F4"/>
    <w:multiLevelType w:val="multilevel"/>
    <w:tmpl w:val="315A9AA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2" w15:restartNumberingAfterBreak="0">
    <w:nsid w:val="7A19740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3" w15:restartNumberingAfterBreak="0">
    <w:nsid w:val="7A927AD9"/>
    <w:multiLevelType w:val="multilevel"/>
    <w:tmpl w:val="764CCCC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b/>
      </w:rPr>
    </w:lvl>
    <w:lvl w:ilvl="2">
      <w:start w:val="1"/>
      <w:numFmt w:val="decimal"/>
      <w:lvlText w:val="%1.%2.%3."/>
      <w:lvlJc w:val="left"/>
      <w:pPr>
        <w:tabs>
          <w:tab w:val="num" w:pos="1920"/>
        </w:tabs>
        <w:ind w:left="1920" w:hanging="720"/>
      </w:pPr>
      <w:rPr>
        <w:rFonts w:ascii="Times New Roman" w:hAnsi="Times New Roman" w:cs="Times New Roman" w:hint="default"/>
        <w:sz w:val="24"/>
        <w:szCs w:val="24"/>
      </w:rPr>
    </w:lvl>
    <w:lvl w:ilvl="3">
      <w:start w:val="1"/>
      <w:numFmt w:val="decimal"/>
      <w:lvlText w:val="%1.%2.%3.%4."/>
      <w:lvlJc w:val="left"/>
      <w:pPr>
        <w:tabs>
          <w:tab w:val="num" w:pos="1920"/>
        </w:tabs>
        <w:ind w:left="1920" w:hanging="720"/>
      </w:pPr>
      <w:rPr>
        <w:rFonts w:ascii="Times New Roman" w:hAnsi="Times New Roman"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4" w15:restartNumberingAfterBreak="0">
    <w:nsid w:val="7AA60273"/>
    <w:multiLevelType w:val="hybridMultilevel"/>
    <w:tmpl w:val="C9F205CA"/>
    <w:lvl w:ilvl="0" w:tplc="2DA67F56">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5" w15:restartNumberingAfterBreak="0">
    <w:nsid w:val="7B1D532E"/>
    <w:multiLevelType w:val="hybridMultilevel"/>
    <w:tmpl w:val="53BCA994"/>
    <w:lvl w:ilvl="0" w:tplc="2C263A42">
      <w:numFmt w:val="bullet"/>
      <w:lvlText w:val=""/>
      <w:lvlJc w:val="left"/>
      <w:pPr>
        <w:ind w:left="720" w:hanging="360"/>
      </w:pPr>
      <w:rPr>
        <w:rFonts w:ascii="Wingdings" w:eastAsiaTheme="minorHAnsi" w:hAnsi="Wingdings" w:cs="Times New Roman"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6" w15:restartNumberingAfterBreak="0">
    <w:nsid w:val="7C59363E"/>
    <w:multiLevelType w:val="hybridMultilevel"/>
    <w:tmpl w:val="5BE0F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7C8418EF"/>
    <w:multiLevelType w:val="hybridMultilevel"/>
    <w:tmpl w:val="6194F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8" w15:restartNumberingAfterBreak="0">
    <w:nsid w:val="7CC31585"/>
    <w:multiLevelType w:val="multilevel"/>
    <w:tmpl w:val="EFA2AC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9" w15:restartNumberingAfterBreak="0">
    <w:nsid w:val="7CFD3F5F"/>
    <w:multiLevelType w:val="hybridMultilevel"/>
    <w:tmpl w:val="9FB2E7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0" w15:restartNumberingAfterBreak="0">
    <w:nsid w:val="7E0E421B"/>
    <w:multiLevelType w:val="multilevel"/>
    <w:tmpl w:val="846C9A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71" w15:restartNumberingAfterBreak="0">
    <w:nsid w:val="7E612FF6"/>
    <w:multiLevelType w:val="multilevel"/>
    <w:tmpl w:val="E402D840"/>
    <w:lvl w:ilvl="0">
      <w:start w:val="1"/>
      <w:numFmt w:val="decimal"/>
      <w:lvlText w:val="%1."/>
      <w:lvlJc w:val="left"/>
      <w:pPr>
        <w:ind w:left="1200" w:hanging="360"/>
      </w:pPr>
      <w:rPr>
        <w:rFonts w:hint="default"/>
      </w:rPr>
    </w:lvl>
    <w:lvl w:ilvl="1">
      <w:start w:val="1"/>
      <w:numFmt w:val="decimal"/>
      <w:isLgl/>
      <w:lvlText w:val="%1.%2."/>
      <w:lvlJc w:val="left"/>
      <w:pPr>
        <w:ind w:left="156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640" w:hanging="720"/>
      </w:pPr>
      <w:rPr>
        <w:rFonts w:hint="default"/>
      </w:rPr>
    </w:lvl>
    <w:lvl w:ilvl="4">
      <w:start w:val="1"/>
      <w:numFmt w:val="decimal"/>
      <w:isLgl/>
      <w:lvlText w:val="%1.%2.%3.%4.%5."/>
      <w:lvlJc w:val="left"/>
      <w:pPr>
        <w:ind w:left="3360" w:hanging="1080"/>
      </w:pPr>
      <w:rPr>
        <w:rFonts w:hint="default"/>
      </w:rPr>
    </w:lvl>
    <w:lvl w:ilvl="5">
      <w:start w:val="1"/>
      <w:numFmt w:val="decimal"/>
      <w:isLgl/>
      <w:lvlText w:val="%1.%2.%3.%4.%5.%6."/>
      <w:lvlJc w:val="left"/>
      <w:pPr>
        <w:ind w:left="3720" w:hanging="1080"/>
      </w:pPr>
      <w:rPr>
        <w:rFonts w:hint="default"/>
      </w:rPr>
    </w:lvl>
    <w:lvl w:ilvl="6">
      <w:start w:val="1"/>
      <w:numFmt w:val="decimal"/>
      <w:isLgl/>
      <w:lvlText w:val="%1.%2.%3.%4.%5.%6.%7."/>
      <w:lvlJc w:val="left"/>
      <w:pPr>
        <w:ind w:left="444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520" w:hanging="1800"/>
      </w:pPr>
      <w:rPr>
        <w:rFonts w:hint="default"/>
      </w:rPr>
    </w:lvl>
  </w:abstractNum>
  <w:abstractNum w:abstractNumId="272" w15:restartNumberingAfterBreak="0">
    <w:nsid w:val="7FF47AC9"/>
    <w:multiLevelType w:val="hybridMultilevel"/>
    <w:tmpl w:val="7C8448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131"/>
  </w:num>
  <w:num w:numId="2">
    <w:abstractNumId w:val="204"/>
  </w:num>
  <w:num w:numId="3">
    <w:abstractNumId w:val="68"/>
  </w:num>
  <w:num w:numId="4">
    <w:abstractNumId w:val="68"/>
  </w:num>
  <w:num w:numId="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121"/>
  </w:num>
  <w:num w:numId="9">
    <w:abstractNumId w:val="251"/>
  </w:num>
  <w:num w:numId="10">
    <w:abstractNumId w:val="69"/>
  </w:num>
  <w:num w:numId="11">
    <w:abstractNumId w:val="137"/>
  </w:num>
  <w:num w:numId="12">
    <w:abstractNumId w:val="2"/>
  </w:num>
  <w:num w:numId="13">
    <w:abstractNumId w:val="250"/>
  </w:num>
  <w:num w:numId="14">
    <w:abstractNumId w:val="122"/>
  </w:num>
  <w:num w:numId="15">
    <w:abstractNumId w:val="255"/>
  </w:num>
  <w:num w:numId="16">
    <w:abstractNumId w:val="264"/>
  </w:num>
  <w:num w:numId="17">
    <w:abstractNumId w:val="156"/>
  </w:num>
  <w:num w:numId="18">
    <w:abstractNumId w:val="227"/>
  </w:num>
  <w:num w:numId="19">
    <w:abstractNumId w:val="141"/>
  </w:num>
  <w:num w:numId="20">
    <w:abstractNumId w:val="182"/>
  </w:num>
  <w:num w:numId="21">
    <w:abstractNumId w:val="153"/>
  </w:num>
  <w:num w:numId="22">
    <w:abstractNumId w:val="121"/>
    <w:lvlOverride w:ilvl="0">
      <w:lvl w:ilvl="0">
        <w:start w:val="1"/>
        <w:numFmt w:val="bullet"/>
        <w:pStyle w:val="BTBullet1"/>
        <w:lvlText w:val="■"/>
        <w:lvlJc w:val="left"/>
        <w:pPr>
          <w:tabs>
            <w:tab w:val="num" w:pos="1191"/>
          </w:tabs>
          <w:ind w:left="1191" w:hanging="340"/>
        </w:pPr>
        <w:rPr>
          <w:rFonts w:ascii="Arial" w:hAnsi="Arial" w:hint="default"/>
          <w:color w:val="auto"/>
        </w:rPr>
      </w:lvl>
    </w:lvlOverride>
  </w:num>
  <w:num w:numId="23">
    <w:abstractNumId w:val="103"/>
  </w:num>
  <w:num w:numId="24">
    <w:abstractNumId w:val="208"/>
  </w:num>
  <w:num w:numId="25">
    <w:abstractNumId w:val="68"/>
  </w:num>
  <w:num w:numId="26">
    <w:abstractNumId w:val="68"/>
  </w:num>
  <w:num w:numId="27">
    <w:abstractNumId w:val="265"/>
  </w:num>
  <w:num w:numId="28">
    <w:abstractNumId w:val="161"/>
  </w:num>
  <w:num w:numId="2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8"/>
  </w:num>
  <w:num w:numId="3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8"/>
  </w:num>
  <w:num w:numId="33">
    <w:abstractNumId w:val="68"/>
  </w:num>
  <w:num w:numId="34">
    <w:abstractNumId w:val="68"/>
  </w:num>
  <w:num w:numId="35">
    <w:abstractNumId w:val="188"/>
  </w:num>
  <w:num w:numId="36">
    <w:abstractNumId w:val="68"/>
  </w:num>
  <w:num w:numId="37">
    <w:abstractNumId w:val="68"/>
  </w:num>
  <w:num w:numId="38">
    <w:abstractNumId w:val="68"/>
  </w:num>
  <w:num w:numId="39">
    <w:abstractNumId w:val="68"/>
  </w:num>
  <w:num w:numId="40">
    <w:abstractNumId w:val="16"/>
  </w:num>
  <w:num w:numId="41">
    <w:abstractNumId w:val="68"/>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1"/>
    <w:lvlOverride w:ilvl="0">
      <w:startOverride w:val="1"/>
      <w:lvl w:ilvl="0">
        <w:start w:val="1"/>
        <w:numFmt w:val="bullet"/>
        <w:pStyle w:val="BTBullet1"/>
        <w:lvlText w:val="■"/>
        <w:lvlJc w:val="left"/>
        <w:pPr>
          <w:tabs>
            <w:tab w:val="num" w:pos="1191"/>
          </w:tabs>
          <w:ind w:left="1191" w:hanging="340"/>
        </w:pPr>
        <w:rPr>
          <w:rFonts w:ascii="Arial" w:hAnsi="Arial" w:cs="Times New Roman" w:hint="default"/>
          <w:color w:val="auto"/>
        </w:rPr>
      </w:lvl>
    </w:lvlOverride>
    <w:lvlOverride w:ilvl="1">
      <w:lvl w:ilvl="1">
        <w:numFmt w:val="decimal"/>
        <w:pStyle w:val="BTBullet2"/>
        <w:lvlText w:val=""/>
        <w:lvlJc w:val="left"/>
      </w:lvl>
    </w:lvlOverride>
    <w:lvlOverride w:ilvl="2">
      <w:lvl w:ilvl="2">
        <w:numFmt w:val="decimal"/>
        <w:pStyle w:val="BTBullet3"/>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4">
    <w:abstractNumId w:val="68"/>
  </w:num>
  <w:num w:numId="45">
    <w:abstractNumId w:val="153"/>
  </w:num>
  <w:num w:numId="46">
    <w:abstractNumId w:val="264"/>
  </w:num>
  <w:num w:numId="47">
    <w:abstractNumId w:val="122"/>
    <w:lvlOverride w:ilvl="0">
      <w:lvl w:ilvl="0">
        <w:start w:val="1"/>
        <w:numFmt w:val="decimal"/>
        <w:lvlText w:val="%1"/>
        <w:lvlJc w:val="left"/>
        <w:pPr>
          <w:ind w:left="851" w:hanging="851"/>
        </w:pPr>
      </w:lvl>
    </w:lvlOverride>
    <w:lvlOverride w:ilvl="1">
      <w:lvl w:ilvl="1">
        <w:start w:val="1"/>
        <w:numFmt w:val="decimal"/>
        <w:lvlText w:val="1"/>
        <w:lvlJc w:val="left"/>
        <w:pPr>
          <w:ind w:left="851" w:hanging="851"/>
        </w:pPr>
      </w:lvl>
    </w:lvlOverride>
    <w:lvlOverride w:ilvl="2">
      <w:lvl w:ilvl="2">
        <w:start w:val="1"/>
        <w:numFmt w:val="decimal"/>
        <w:lvlText w:val="%1.%2.%3"/>
        <w:lvlJc w:val="left"/>
        <w:pPr>
          <w:ind w:left="851" w:hanging="851"/>
        </w:pPr>
      </w:lvl>
    </w:lvlOverride>
    <w:lvlOverride w:ilvl="3">
      <w:lvl w:ilvl="3">
        <w:start w:val="1"/>
        <w:numFmt w:val="decimal"/>
        <w:lvlText w:val="%1.%2.%3.%4"/>
        <w:lvlJc w:val="left"/>
        <w:pPr>
          <w:ind w:left="851" w:hanging="851"/>
        </w:pPr>
        <w:rPr>
          <w:b/>
          <w:i w:val="0"/>
          <w:color w:val="FFFFFF" w:themeColor="background1"/>
          <w:sz w:val="20"/>
        </w:rPr>
      </w:lvl>
    </w:lvlOverride>
    <w:lvlOverride w:ilvl="4">
      <w:lvl w:ilvl="4">
        <w:start w:val="1"/>
        <w:numFmt w:val="none"/>
        <w:suff w:val="nothing"/>
        <w:lvlText w:val=""/>
        <w:lvlJc w:val="left"/>
        <w:pPr>
          <w:ind w:left="851" w:hanging="851"/>
        </w:pPr>
        <w:rPr>
          <w:rFonts w:ascii="Arial Bold" w:hAnsi="Arial Bold" w:hint="default"/>
          <w:b/>
          <w:i/>
          <w:color w:val="000000" w:themeColor="text1"/>
          <w:sz w:val="20"/>
        </w:rPr>
      </w:lvl>
    </w:lvlOverride>
    <w:lvlOverride w:ilvl="5">
      <w:lvl w:ilvl="5">
        <w:start w:val="1"/>
        <w:numFmt w:val="decimal"/>
        <w:lvlRestart w:val="1"/>
        <w:lvlText w:val="Figure %1"/>
        <w:lvlJc w:val="left"/>
        <w:pPr>
          <w:tabs>
            <w:tab w:val="num" w:pos="1190"/>
          </w:tabs>
          <w:ind w:left="1190" w:hanging="1190"/>
        </w:pPr>
        <w:rPr>
          <w:rFonts w:ascii="Arial" w:hAnsi="Arial" w:cs="Times New Roman" w:hint="default"/>
          <w:color w:val="4F81BD" w:themeColor="accent1"/>
        </w:rPr>
      </w:lvl>
    </w:lvlOverride>
    <w:lvlOverride w:ilvl="6">
      <w:lvl w:ilvl="6">
        <w:start w:val="1"/>
        <w:numFmt w:val="decimal"/>
        <w:lvlRestart w:val="1"/>
        <w:lvlText w:val="Table %1.%7"/>
        <w:lvlJc w:val="left"/>
        <w:pPr>
          <w:tabs>
            <w:tab w:val="num" w:pos="851"/>
          </w:tabs>
          <w:ind w:left="1928" w:hanging="1077"/>
        </w:pPr>
        <w:rPr>
          <w:rFonts w:ascii="Arial" w:hAnsi="Arial" w:cs="Times New Roman" w:hint="default"/>
        </w:rPr>
      </w:lvl>
    </w:lvlOverride>
    <w:lvlOverride w:ilvl="7">
      <w:lvl w:ilvl="7">
        <w:start w:val="1"/>
        <w:numFmt w:val="decimal"/>
        <w:lvlRestart w:val="1"/>
        <w:lvlText w:val="Box %1.%8"/>
        <w:lvlJc w:val="left"/>
        <w:pPr>
          <w:ind w:left="1928" w:hanging="1077"/>
        </w:pPr>
        <w:rPr>
          <w:rFonts w:ascii="Arial" w:hAnsi="Arial" w:cs="Times New Roman" w:hint="default"/>
          <w:color w:val="4F81BD" w:themeColor="accent1"/>
        </w:rPr>
      </w:lvl>
    </w:lvlOverride>
    <w:lvlOverride w:ilvl="8">
      <w:lvl w:ilvl="8">
        <w:start w:val="1"/>
        <w:numFmt w:val="none"/>
        <w:lvlText w:val=""/>
        <w:lvlJc w:val="left"/>
        <w:pPr>
          <w:ind w:left="425" w:hanging="425"/>
        </w:pPr>
        <w:rPr>
          <w:rFonts w:ascii="Georgia" w:hAnsi="Georgia" w:hint="default"/>
          <w:color w:val="1F497D" w:themeColor="text2"/>
        </w:rPr>
      </w:lvl>
    </w:lvlOverride>
  </w:num>
  <w:num w:numId="48">
    <w:abstractNumId w:val="182"/>
  </w:num>
  <w:num w:numId="49">
    <w:abstractNumId w:val="141"/>
  </w:num>
  <w:num w:numId="50">
    <w:abstractNumId w:val="68"/>
  </w:num>
  <w:num w:numId="51">
    <w:abstractNumId w:val="53"/>
  </w:num>
  <w:num w:numId="52">
    <w:abstractNumId w:val="68"/>
  </w:num>
  <w:num w:numId="53">
    <w:abstractNumId w:val="68"/>
  </w:num>
  <w:num w:numId="54">
    <w:abstractNumId w:val="68"/>
  </w:num>
  <w:num w:numId="55">
    <w:abstractNumId w:val="91"/>
  </w:num>
  <w:num w:numId="56">
    <w:abstractNumId w:val="142"/>
  </w:num>
  <w:num w:numId="57">
    <w:abstractNumId w:val="140"/>
  </w:num>
  <w:num w:numId="58">
    <w:abstractNumId w:val="68"/>
  </w:num>
  <w:num w:numId="59">
    <w:abstractNumId w:val="68"/>
  </w:num>
  <w:num w:numId="60">
    <w:abstractNumId w:val="68"/>
  </w:num>
  <w:num w:numId="61">
    <w:abstractNumId w:val="68"/>
  </w:num>
  <w:num w:numId="62">
    <w:abstractNumId w:val="68"/>
  </w:num>
  <w:num w:numId="63">
    <w:abstractNumId w:val="68"/>
  </w:num>
  <w:num w:numId="64">
    <w:abstractNumId w:val="33"/>
  </w:num>
  <w:num w:numId="65">
    <w:abstractNumId w:val="5"/>
  </w:num>
  <w:num w:numId="66">
    <w:abstractNumId w:val="244"/>
  </w:num>
  <w:num w:numId="67">
    <w:abstractNumId w:val="68"/>
  </w:num>
  <w:num w:numId="68">
    <w:abstractNumId w:val="46"/>
  </w:num>
  <w:num w:numId="69">
    <w:abstractNumId w:val="68"/>
  </w:num>
  <w:num w:numId="70">
    <w:abstractNumId w:val="68"/>
  </w:num>
  <w:num w:numId="71">
    <w:abstractNumId w:val="68"/>
  </w:num>
  <w:num w:numId="72">
    <w:abstractNumId w:val="68"/>
  </w:num>
  <w:num w:numId="73">
    <w:abstractNumId w:val="68"/>
  </w:num>
  <w:num w:numId="74">
    <w:abstractNumId w:val="68"/>
  </w:num>
  <w:num w:numId="75">
    <w:abstractNumId w:val="68"/>
  </w:num>
  <w:num w:numId="76">
    <w:abstractNumId w:val="68"/>
  </w:num>
  <w:num w:numId="77">
    <w:abstractNumId w:val="68"/>
  </w:num>
  <w:num w:numId="78">
    <w:abstractNumId w:val="68"/>
  </w:num>
  <w:num w:numId="79">
    <w:abstractNumId w:val="68"/>
  </w:num>
  <w:num w:numId="80">
    <w:abstractNumId w:val="68"/>
  </w:num>
  <w:num w:numId="81">
    <w:abstractNumId w:val="68"/>
  </w:num>
  <w:num w:numId="82">
    <w:abstractNumId w:val="68"/>
  </w:num>
  <w:num w:numId="83">
    <w:abstractNumId w:val="68"/>
  </w:num>
  <w:num w:numId="84">
    <w:abstractNumId w:val="22"/>
  </w:num>
  <w:num w:numId="85">
    <w:abstractNumId w:val="203"/>
  </w:num>
  <w:num w:numId="86">
    <w:abstractNumId w:val="84"/>
  </w:num>
  <w:num w:numId="87">
    <w:abstractNumId w:val="248"/>
  </w:num>
  <w:num w:numId="8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8"/>
  </w:num>
  <w:num w:numId="90">
    <w:abstractNumId w:val="68"/>
  </w:num>
  <w:num w:numId="91">
    <w:abstractNumId w:val="152"/>
  </w:num>
  <w:num w:numId="92">
    <w:abstractNumId w:val="39"/>
  </w:num>
  <w:num w:numId="93">
    <w:abstractNumId w:val="81"/>
  </w:num>
  <w:num w:numId="9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8"/>
  </w:num>
  <w:num w:numId="96">
    <w:abstractNumId w:val="239"/>
  </w:num>
  <w:num w:numId="97">
    <w:abstractNumId w:val="14"/>
  </w:num>
  <w:num w:numId="9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8"/>
  </w:num>
  <w:num w:numId="10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8"/>
  </w:num>
  <w:num w:numId="102">
    <w:abstractNumId w:val="67"/>
  </w:num>
  <w:num w:numId="103">
    <w:abstractNumId w:val="98"/>
  </w:num>
  <w:num w:numId="104">
    <w:abstractNumId w:val="212"/>
  </w:num>
  <w:num w:numId="105">
    <w:abstractNumId w:val="226"/>
  </w:num>
  <w:num w:numId="106">
    <w:abstractNumId w:val="125"/>
  </w:num>
  <w:num w:numId="107">
    <w:abstractNumId w:val="202"/>
  </w:num>
  <w:num w:numId="108">
    <w:abstractNumId w:val="263"/>
  </w:num>
  <w:num w:numId="109">
    <w:abstractNumId w:val="159"/>
  </w:num>
  <w:num w:numId="110">
    <w:abstractNumId w:val="58"/>
  </w:num>
  <w:num w:numId="111">
    <w:abstractNumId w:val="7"/>
  </w:num>
  <w:num w:numId="112">
    <w:abstractNumId w:val="57"/>
  </w:num>
  <w:num w:numId="113">
    <w:abstractNumId w:val="116"/>
  </w:num>
  <w:num w:numId="114">
    <w:abstractNumId w:val="143"/>
  </w:num>
  <w:num w:numId="115">
    <w:abstractNumId w:val="56"/>
  </w:num>
  <w:num w:numId="116">
    <w:abstractNumId w:val="180"/>
  </w:num>
  <w:num w:numId="117">
    <w:abstractNumId w:val="128"/>
  </w:num>
  <w:num w:numId="118">
    <w:abstractNumId w:val="164"/>
  </w:num>
  <w:num w:numId="119">
    <w:abstractNumId w:val="37"/>
  </w:num>
  <w:num w:numId="120">
    <w:abstractNumId w:val="137"/>
  </w:num>
  <w:num w:numId="121">
    <w:abstractNumId w:val="137"/>
  </w:num>
  <w:num w:numId="122">
    <w:abstractNumId w:val="137"/>
  </w:num>
  <w:num w:numId="123">
    <w:abstractNumId w:val="137"/>
  </w:num>
  <w:num w:numId="124">
    <w:abstractNumId w:val="137"/>
  </w:num>
  <w:num w:numId="125">
    <w:abstractNumId w:val="137"/>
  </w:num>
  <w:num w:numId="126">
    <w:abstractNumId w:val="137"/>
  </w:num>
  <w:num w:numId="127">
    <w:abstractNumId w:val="137"/>
  </w:num>
  <w:num w:numId="128">
    <w:abstractNumId w:val="96"/>
  </w:num>
  <w:num w:numId="129">
    <w:abstractNumId w:val="267"/>
  </w:num>
  <w:num w:numId="130">
    <w:abstractNumId w:val="49"/>
  </w:num>
  <w:num w:numId="131">
    <w:abstractNumId w:val="267"/>
  </w:num>
  <w:num w:numId="132">
    <w:abstractNumId w:val="100"/>
  </w:num>
  <w:num w:numId="133">
    <w:abstractNumId w:val="97"/>
  </w:num>
  <w:num w:numId="134">
    <w:abstractNumId w:val="36"/>
  </w:num>
  <w:num w:numId="135">
    <w:abstractNumId w:val="199"/>
  </w:num>
  <w:num w:numId="136">
    <w:abstractNumId w:val="198"/>
  </w:num>
  <w:num w:numId="137">
    <w:abstractNumId w:val="5"/>
    <w:lvlOverride w:ilvl="0">
      <w:startOverride w:val="1"/>
      <w:lvl w:ilvl="0">
        <w:start w:val="1"/>
        <w:numFmt w:val="decimal"/>
        <w:lvlText w:val="Table %1."/>
        <w:lvlJc w:val="left"/>
        <w:pPr>
          <w:tabs>
            <w:tab w:val="num" w:pos="1787"/>
          </w:tabs>
          <w:ind w:left="1787" w:hanging="1077"/>
        </w:pPr>
        <w:rPr>
          <w:rFonts w:hint="default"/>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138">
    <w:abstractNumId w:val="149"/>
  </w:num>
  <w:num w:numId="139">
    <w:abstractNumId w:val="50"/>
  </w:num>
  <w:num w:numId="140">
    <w:abstractNumId w:val="193"/>
  </w:num>
  <w:num w:numId="141">
    <w:abstractNumId w:val="89"/>
  </w:num>
  <w:num w:numId="142">
    <w:abstractNumId w:val="172"/>
  </w:num>
  <w:num w:numId="143">
    <w:abstractNumId w:val="165"/>
  </w:num>
  <w:num w:numId="144">
    <w:abstractNumId w:val="240"/>
  </w:num>
  <w:num w:numId="145">
    <w:abstractNumId w:val="75"/>
  </w:num>
  <w:num w:numId="146">
    <w:abstractNumId w:val="167"/>
  </w:num>
  <w:num w:numId="147">
    <w:abstractNumId w:val="52"/>
  </w:num>
  <w:num w:numId="148">
    <w:abstractNumId w:val="138"/>
  </w:num>
  <w:num w:numId="149">
    <w:abstractNumId w:val="214"/>
  </w:num>
  <w:num w:numId="150">
    <w:abstractNumId w:val="8"/>
  </w:num>
  <w:num w:numId="151">
    <w:abstractNumId w:val="9"/>
  </w:num>
  <w:num w:numId="152">
    <w:abstractNumId w:val="61"/>
  </w:num>
  <w:num w:numId="153">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15"/>
  </w:num>
  <w:num w:numId="155">
    <w:abstractNumId w:val="185"/>
  </w:num>
  <w:num w:numId="156">
    <w:abstractNumId w:val="102"/>
  </w:num>
  <w:num w:numId="157">
    <w:abstractNumId w:val="174"/>
  </w:num>
  <w:num w:numId="158">
    <w:abstractNumId w:val="1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87"/>
  </w:num>
  <w:num w:numId="160">
    <w:abstractNumId w:val="66"/>
  </w:num>
  <w:num w:numId="161">
    <w:abstractNumId w:val="235"/>
  </w:num>
  <w:num w:numId="162">
    <w:abstractNumId w:val="205"/>
  </w:num>
  <w:num w:numId="163">
    <w:abstractNumId w:val="148"/>
  </w:num>
  <w:num w:numId="164">
    <w:abstractNumId w:val="132"/>
  </w:num>
  <w:num w:numId="165">
    <w:abstractNumId w:val="147"/>
  </w:num>
  <w:num w:numId="166">
    <w:abstractNumId w:val="158"/>
  </w:num>
  <w:num w:numId="167">
    <w:abstractNumId w:val="31"/>
  </w:num>
  <w:num w:numId="168">
    <w:abstractNumId w:val="218"/>
  </w:num>
  <w:num w:numId="169">
    <w:abstractNumId w:val="184"/>
  </w:num>
  <w:num w:numId="170">
    <w:abstractNumId w:val="108"/>
  </w:num>
  <w:num w:numId="171">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52"/>
  </w:num>
  <w:num w:numId="173">
    <w:abstractNumId w:val="195"/>
  </w:num>
  <w:num w:numId="174">
    <w:abstractNumId w:val="197"/>
  </w:num>
  <w:num w:numId="175">
    <w:abstractNumId w:val="26"/>
  </w:num>
  <w:num w:numId="176">
    <w:abstractNumId w:val="1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
  </w:num>
  <w:num w:numId="178">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0"/>
  </w:num>
  <w:num w:numId="18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35"/>
    <w:lvlOverride w:ilvl="0">
      <w:startOverride w:val="1"/>
    </w:lvlOverride>
    <w:lvlOverride w:ilvl="1"/>
    <w:lvlOverride w:ilvl="2">
      <w:startOverride w:val="1"/>
    </w:lvlOverride>
    <w:lvlOverride w:ilvl="3"/>
    <w:lvlOverride w:ilvl="4">
      <w:startOverride w:val="1"/>
    </w:lvlOverride>
    <w:lvlOverride w:ilvl="5"/>
    <w:lvlOverride w:ilvl="6">
      <w:startOverride w:val="1"/>
    </w:lvlOverride>
    <w:lvlOverride w:ilvl="7">
      <w:startOverride w:val="1"/>
    </w:lvlOverride>
    <w:lvlOverride w:ilvl="8">
      <w:startOverride w:val="1"/>
    </w:lvlOverride>
  </w:num>
  <w:num w:numId="18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89"/>
  </w:num>
  <w:num w:numId="184">
    <w:abstractNumId w:val="219"/>
  </w:num>
  <w:num w:numId="18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42"/>
  </w:num>
  <w:num w:numId="189">
    <w:abstractNumId w:val="80"/>
  </w:num>
  <w:num w:numId="190">
    <w:abstractNumId w:val="166"/>
  </w:num>
  <w:num w:numId="191">
    <w:abstractNumId w:val="10"/>
  </w:num>
  <w:num w:numId="192">
    <w:abstractNumId w:val="119"/>
  </w:num>
  <w:num w:numId="193">
    <w:abstractNumId w:val="76"/>
  </w:num>
  <w:num w:numId="194">
    <w:abstractNumId w:val="35"/>
  </w:num>
  <w:num w:numId="195">
    <w:abstractNumId w:val="233"/>
  </w:num>
  <w:num w:numId="196">
    <w:abstractNumId w:val="272"/>
  </w:num>
  <w:num w:numId="197">
    <w:abstractNumId w:val="162"/>
  </w:num>
  <w:num w:numId="198">
    <w:abstractNumId w:val="169"/>
  </w:num>
  <w:num w:numId="199">
    <w:abstractNumId w:val="71"/>
  </w:num>
  <w:num w:numId="200">
    <w:abstractNumId w:val="19"/>
  </w:num>
  <w:num w:numId="201">
    <w:abstractNumId w:val="259"/>
  </w:num>
  <w:num w:numId="202">
    <w:abstractNumId w:val="230"/>
  </w:num>
  <w:num w:numId="20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47"/>
  </w:num>
  <w:num w:numId="205">
    <w:abstractNumId w:val="18"/>
  </w:num>
  <w:num w:numId="20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22"/>
  </w:num>
  <w:num w:numId="208">
    <w:abstractNumId w:val="106"/>
  </w:num>
  <w:num w:numId="209">
    <w:abstractNumId w:val="34"/>
  </w:num>
  <w:num w:numId="210">
    <w:abstractNumId w:val="94"/>
  </w:num>
  <w:num w:numId="211">
    <w:abstractNumId w:val="217"/>
  </w:num>
  <w:num w:numId="212">
    <w:abstractNumId w:val="200"/>
  </w:num>
  <w:num w:numId="213">
    <w:abstractNumId w:val="17"/>
  </w:num>
  <w:num w:numId="214">
    <w:abstractNumId w:val="229"/>
  </w:num>
  <w:num w:numId="215">
    <w:abstractNumId w:val="150"/>
  </w:num>
  <w:num w:numId="216">
    <w:abstractNumId w:val="176"/>
  </w:num>
  <w:num w:numId="217">
    <w:abstractNumId w:val="210"/>
  </w:num>
  <w:num w:numId="218">
    <w:abstractNumId w:val="207"/>
  </w:num>
  <w:num w:numId="219">
    <w:abstractNumId w:val="249"/>
  </w:num>
  <w:num w:numId="220">
    <w:abstractNumId w:val="107"/>
  </w:num>
  <w:num w:numId="221">
    <w:abstractNumId w:val="48"/>
  </w:num>
  <w:num w:numId="222">
    <w:abstractNumId w:val="178"/>
  </w:num>
  <w:num w:numId="223">
    <w:abstractNumId w:val="134"/>
  </w:num>
  <w:num w:numId="224">
    <w:abstractNumId w:val="253"/>
  </w:num>
  <w:num w:numId="225">
    <w:abstractNumId w:val="113"/>
  </w:num>
  <w:num w:numId="226">
    <w:abstractNumId w:val="63"/>
  </w:num>
  <w:num w:numId="227">
    <w:abstractNumId w:val="257"/>
  </w:num>
  <w:num w:numId="228">
    <w:abstractNumId w:val="105"/>
  </w:num>
  <w:num w:numId="229">
    <w:abstractNumId w:val="181"/>
  </w:num>
  <w:num w:numId="230">
    <w:abstractNumId w:val="6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17"/>
  </w:num>
  <w:num w:numId="232">
    <w:abstractNumId w:val="44"/>
  </w:num>
  <w:num w:numId="233">
    <w:abstractNumId w:val="271"/>
  </w:num>
  <w:num w:numId="234">
    <w:abstractNumId w:val="6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60"/>
  </w:num>
  <w:num w:numId="236">
    <w:abstractNumId w:val="41"/>
  </w:num>
  <w:num w:numId="237">
    <w:abstractNumId w:val="224"/>
  </w:num>
  <w:num w:numId="238">
    <w:abstractNumId w:val="157"/>
  </w:num>
  <w:num w:numId="239">
    <w:abstractNumId w:val="78"/>
  </w:num>
  <w:num w:numId="240">
    <w:abstractNumId w:val="245"/>
  </w:num>
  <w:num w:numId="241">
    <w:abstractNumId w:val="83"/>
  </w:num>
  <w:num w:numId="242">
    <w:abstractNumId w:val="60"/>
  </w:num>
  <w:num w:numId="243">
    <w:abstractNumId w:val="72"/>
  </w:num>
  <w:num w:numId="244">
    <w:abstractNumId w:val="139"/>
  </w:num>
  <w:num w:numId="245">
    <w:abstractNumId w:val="191"/>
  </w:num>
  <w:num w:numId="246">
    <w:abstractNumId w:val="258"/>
  </w:num>
  <w:num w:numId="247">
    <w:abstractNumId w:val="20"/>
  </w:num>
  <w:num w:numId="248">
    <w:abstractNumId w:val="254"/>
  </w:num>
  <w:num w:numId="249">
    <w:abstractNumId w:val="109"/>
  </w:num>
  <w:num w:numId="250">
    <w:abstractNumId w:val="225"/>
  </w:num>
  <w:num w:numId="251">
    <w:abstractNumId w:val="241"/>
  </w:num>
  <w:num w:numId="252">
    <w:abstractNumId w:val="45"/>
  </w:num>
  <w:num w:numId="253">
    <w:abstractNumId w:val="109"/>
    <w:lvlOverride w:ilvl="0">
      <w:lvl w:ilvl="0">
        <w:start w:val="6"/>
        <w:numFmt w:val="decimal"/>
        <w:lvlText w:val="%1."/>
        <w:lvlJc w:val="left"/>
        <w:pPr>
          <w:ind w:left="360" w:hanging="360"/>
        </w:pPr>
        <w:rPr>
          <w:rFonts w:hint="default"/>
        </w:rPr>
      </w:lvl>
    </w:lvlOverride>
    <w:lvlOverride w:ilvl="1">
      <w:lvl w:ilvl="1">
        <w:start w:val="2"/>
        <w:numFmt w:val="decimal"/>
        <w:lvlText w:val="5.%2."/>
        <w:lvlJc w:val="left"/>
        <w:pPr>
          <w:ind w:left="360" w:hanging="360"/>
        </w:pPr>
        <w:rPr>
          <w:rFonts w:hint="default"/>
        </w:rPr>
      </w:lvl>
    </w:lvlOverride>
    <w:lvlOverride w:ilvl="2">
      <w:lvl w:ilvl="2">
        <w:start w:val="1"/>
        <w:numFmt w:val="decimal"/>
        <w:lvlText w:val="%1.%2.%3."/>
        <w:lvlJc w:val="left"/>
        <w:pPr>
          <w:ind w:left="1680" w:hanging="720"/>
        </w:pPr>
        <w:rPr>
          <w:rFonts w:hint="default"/>
        </w:rPr>
      </w:lvl>
    </w:lvlOverride>
    <w:lvlOverride w:ilvl="3">
      <w:lvl w:ilvl="3">
        <w:start w:val="1"/>
        <w:numFmt w:val="decimal"/>
        <w:lvlText w:val="%1.%2.%3.%4."/>
        <w:lvlJc w:val="left"/>
        <w:pPr>
          <w:ind w:left="2160" w:hanging="720"/>
        </w:pPr>
        <w:rPr>
          <w:rFonts w:hint="default"/>
        </w:rPr>
      </w:lvl>
    </w:lvlOverride>
    <w:lvlOverride w:ilvl="4">
      <w:lvl w:ilvl="4">
        <w:start w:val="1"/>
        <w:numFmt w:val="decimal"/>
        <w:lvlText w:val="%1.%2.%3.%4.%5."/>
        <w:lvlJc w:val="left"/>
        <w:pPr>
          <w:ind w:left="3000" w:hanging="1080"/>
        </w:pPr>
        <w:rPr>
          <w:rFonts w:hint="default"/>
        </w:rPr>
      </w:lvl>
    </w:lvlOverride>
    <w:lvlOverride w:ilvl="5">
      <w:lvl w:ilvl="5">
        <w:start w:val="1"/>
        <w:numFmt w:val="decimal"/>
        <w:lvlText w:val="%1.%2.%3.%4.%5.%6."/>
        <w:lvlJc w:val="left"/>
        <w:pPr>
          <w:ind w:left="3480" w:hanging="1080"/>
        </w:pPr>
        <w:rPr>
          <w:rFonts w:hint="default"/>
        </w:rPr>
      </w:lvl>
    </w:lvlOverride>
    <w:lvlOverride w:ilvl="6">
      <w:lvl w:ilvl="6">
        <w:start w:val="1"/>
        <w:numFmt w:val="decimal"/>
        <w:lvlText w:val="%1.%2.%3.%4.%5.%6.%7."/>
        <w:lvlJc w:val="left"/>
        <w:pPr>
          <w:ind w:left="4320" w:hanging="1440"/>
        </w:pPr>
        <w:rPr>
          <w:rFonts w:hint="default"/>
        </w:rPr>
      </w:lvl>
    </w:lvlOverride>
    <w:lvlOverride w:ilvl="7">
      <w:lvl w:ilvl="7">
        <w:start w:val="1"/>
        <w:numFmt w:val="decimal"/>
        <w:lvlText w:val="%1.%2.%3.%4.%5.%6.%7.%8."/>
        <w:lvlJc w:val="left"/>
        <w:pPr>
          <w:ind w:left="4800" w:hanging="1440"/>
        </w:pPr>
        <w:rPr>
          <w:rFonts w:hint="default"/>
        </w:rPr>
      </w:lvl>
    </w:lvlOverride>
    <w:lvlOverride w:ilvl="8">
      <w:lvl w:ilvl="8">
        <w:start w:val="1"/>
        <w:numFmt w:val="decimal"/>
        <w:lvlText w:val="%1.%2.%3.%4.%5.%6.%7.%8.%9."/>
        <w:lvlJc w:val="left"/>
        <w:pPr>
          <w:ind w:left="5640" w:hanging="1800"/>
        </w:pPr>
        <w:rPr>
          <w:rFonts w:hint="default"/>
        </w:rPr>
      </w:lvl>
    </w:lvlOverride>
  </w:num>
  <w:num w:numId="254">
    <w:abstractNumId w:val="110"/>
  </w:num>
  <w:num w:numId="255">
    <w:abstractNumId w:val="29"/>
  </w:num>
  <w:num w:numId="256">
    <w:abstractNumId w:val="99"/>
  </w:num>
  <w:num w:numId="257">
    <w:abstractNumId w:val="87"/>
  </w:num>
  <w:num w:numId="258">
    <w:abstractNumId w:val="111"/>
  </w:num>
  <w:num w:numId="259">
    <w:abstractNumId w:val="146"/>
  </w:num>
  <w:num w:numId="260">
    <w:abstractNumId w:val="160"/>
  </w:num>
  <w:num w:numId="261">
    <w:abstractNumId w:val="43"/>
  </w:num>
  <w:num w:numId="262">
    <w:abstractNumId w:val="38"/>
  </w:num>
  <w:num w:numId="263">
    <w:abstractNumId w:val="183"/>
  </w:num>
  <w:num w:numId="264">
    <w:abstractNumId w:val="30"/>
  </w:num>
  <w:num w:numId="265">
    <w:abstractNumId w:val="238"/>
  </w:num>
  <w:num w:numId="266">
    <w:abstractNumId w:val="243"/>
  </w:num>
  <w:num w:numId="267">
    <w:abstractNumId w:val="28"/>
  </w:num>
  <w:num w:numId="268">
    <w:abstractNumId w:val="64"/>
  </w:num>
  <w:num w:numId="269">
    <w:abstractNumId w:val="270"/>
  </w:num>
  <w:num w:numId="270">
    <w:abstractNumId w:val="242"/>
  </w:num>
  <w:num w:numId="271">
    <w:abstractNumId w:val="168"/>
  </w:num>
  <w:num w:numId="272">
    <w:abstractNumId w:val="15"/>
  </w:num>
  <w:num w:numId="273">
    <w:abstractNumId w:val="186"/>
  </w:num>
  <w:num w:numId="274">
    <w:abstractNumId w:val="79"/>
  </w:num>
  <w:num w:numId="275">
    <w:abstractNumId w:val="55"/>
  </w:num>
  <w:num w:numId="276">
    <w:abstractNumId w:val="95"/>
  </w:num>
  <w:num w:numId="277">
    <w:abstractNumId w:val="24"/>
  </w:num>
  <w:num w:numId="278">
    <w:abstractNumId w:val="192"/>
  </w:num>
  <w:num w:numId="279">
    <w:abstractNumId w:val="206"/>
  </w:num>
  <w:num w:numId="280">
    <w:abstractNumId w:val="118"/>
  </w:num>
  <w:num w:numId="281">
    <w:abstractNumId w:val="213"/>
  </w:num>
  <w:num w:numId="282">
    <w:abstractNumId w:val="268"/>
  </w:num>
  <w:num w:numId="283">
    <w:abstractNumId w:val="151"/>
  </w:num>
  <w:num w:numId="284">
    <w:abstractNumId w:val="85"/>
  </w:num>
  <w:num w:numId="285">
    <w:abstractNumId w:val="74"/>
  </w:num>
  <w:num w:numId="286">
    <w:abstractNumId w:val="70"/>
  </w:num>
  <w:num w:numId="287">
    <w:abstractNumId w:val="65"/>
  </w:num>
  <w:num w:numId="288">
    <w:abstractNumId w:val="171"/>
  </w:num>
  <w:num w:numId="289">
    <w:abstractNumId w:val="4"/>
  </w:num>
  <w:num w:numId="290">
    <w:abstractNumId w:val="123"/>
  </w:num>
  <w:num w:numId="291">
    <w:abstractNumId w:val="177"/>
  </w:num>
  <w:num w:numId="292">
    <w:abstractNumId w:val="127"/>
  </w:num>
  <w:num w:numId="293">
    <w:abstractNumId w:val="27"/>
  </w:num>
  <w:num w:numId="294">
    <w:abstractNumId w:val="11"/>
  </w:num>
  <w:num w:numId="295">
    <w:abstractNumId w:val="209"/>
  </w:num>
  <w:num w:numId="296">
    <w:abstractNumId w:val="237"/>
  </w:num>
  <w:num w:numId="297">
    <w:abstractNumId w:val="21"/>
  </w:num>
  <w:num w:numId="298">
    <w:abstractNumId w:val="266"/>
  </w:num>
  <w:num w:numId="299">
    <w:abstractNumId w:val="86"/>
  </w:num>
  <w:num w:numId="300">
    <w:abstractNumId w:val="173"/>
  </w:num>
  <w:num w:numId="301">
    <w:abstractNumId w:val="92"/>
  </w:num>
  <w:num w:numId="302">
    <w:abstractNumId w:val="261"/>
  </w:num>
  <w:num w:numId="303">
    <w:abstractNumId w:val="126"/>
  </w:num>
  <w:num w:numId="304">
    <w:abstractNumId w:val="155"/>
  </w:num>
  <w:num w:numId="305">
    <w:abstractNumId w:val="170"/>
  </w:num>
  <w:num w:numId="306">
    <w:abstractNumId w:val="6"/>
  </w:num>
  <w:num w:numId="307">
    <w:abstractNumId w:val="13"/>
  </w:num>
  <w:num w:numId="308">
    <w:abstractNumId w:val="23"/>
  </w:num>
  <w:num w:numId="309">
    <w:abstractNumId w:val="73"/>
  </w:num>
  <w:num w:numId="310">
    <w:abstractNumId w:val="135"/>
  </w:num>
  <w:num w:numId="311">
    <w:abstractNumId w:val="32"/>
  </w:num>
  <w:num w:numId="312">
    <w:abstractNumId w:val="223"/>
  </w:num>
  <w:num w:numId="313">
    <w:abstractNumId w:val="262"/>
  </w:num>
  <w:num w:numId="314">
    <w:abstractNumId w:val="196"/>
  </w:num>
  <w:num w:numId="315">
    <w:abstractNumId w:val="120"/>
  </w:num>
  <w:num w:numId="316">
    <w:abstractNumId w:val="175"/>
  </w:num>
  <w:num w:numId="317">
    <w:abstractNumId w:val="231"/>
  </w:num>
  <w:num w:numId="318">
    <w:abstractNumId w:val="228"/>
  </w:num>
  <w:num w:numId="319">
    <w:abstractNumId w:val="145"/>
  </w:num>
  <w:num w:numId="320">
    <w:abstractNumId w:val="256"/>
  </w:num>
  <w:num w:numId="321">
    <w:abstractNumId w:val="62"/>
  </w:num>
  <w:num w:numId="322">
    <w:abstractNumId w:val="220"/>
  </w:num>
  <w:num w:numId="323">
    <w:abstractNumId w:val="124"/>
  </w:num>
  <w:num w:numId="324">
    <w:abstractNumId w:val="59"/>
  </w:num>
  <w:num w:numId="325">
    <w:abstractNumId w:val="211"/>
  </w:num>
  <w:num w:numId="326">
    <w:abstractNumId w:val="114"/>
  </w:num>
  <w:num w:numId="327">
    <w:abstractNumId w:val="47"/>
  </w:num>
  <w:num w:numId="328">
    <w:abstractNumId w:val="90"/>
  </w:num>
  <w:num w:numId="329">
    <w:abstractNumId w:val="236"/>
  </w:num>
  <w:num w:numId="330">
    <w:abstractNumId w:val="216"/>
  </w:num>
  <w:num w:numId="331">
    <w:abstractNumId w:val="93"/>
  </w:num>
  <w:num w:numId="332">
    <w:abstractNumId w:val="3"/>
  </w:num>
  <w:num w:numId="333">
    <w:abstractNumId w:val="115"/>
  </w:num>
  <w:num w:numId="334">
    <w:abstractNumId w:val="222"/>
  </w:num>
  <w:num w:numId="335">
    <w:abstractNumId w:val="179"/>
  </w:num>
  <w:num w:numId="336">
    <w:abstractNumId w:val="136"/>
  </w:num>
  <w:num w:numId="337">
    <w:abstractNumId w:val="221"/>
  </w:num>
  <w:num w:numId="338">
    <w:abstractNumId w:val="104"/>
  </w:num>
  <w:num w:numId="339">
    <w:abstractNumId w:val="190"/>
  </w:num>
  <w:num w:numId="340">
    <w:abstractNumId w:val="144"/>
  </w:num>
  <w:num w:numId="341">
    <w:abstractNumId w:val="194"/>
  </w:num>
  <w:num w:numId="342">
    <w:abstractNumId w:val="129"/>
  </w:num>
  <w:num w:numId="343">
    <w:abstractNumId w:val="130"/>
  </w:num>
  <w:num w:numId="344">
    <w:abstractNumId w:val="51"/>
  </w:num>
  <w:num w:numId="345">
    <w:abstractNumId w:val="12"/>
  </w:num>
  <w:num w:numId="34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33"/>
  </w:num>
  <w:num w:numId="348">
    <w:abstractNumId w:val="101"/>
  </w:num>
  <w:num w:numId="349">
    <w:abstractNumId w:val="154"/>
  </w:num>
  <w:num w:numId="350">
    <w:abstractNumId w:val="163"/>
  </w:num>
  <w:num w:numId="351">
    <w:abstractNumId w:val="234"/>
  </w:num>
  <w:num w:numId="352">
    <w:abstractNumId w:val="269"/>
  </w:num>
  <w:num w:numId="353">
    <w:abstractNumId w:val="88"/>
  </w:num>
  <w:num w:numId="354">
    <w:abstractNumId w:val="54"/>
  </w:num>
  <w:num w:numId="355">
    <w:abstractNumId w:val="40"/>
  </w:num>
  <w:num w:numId="356">
    <w:abstractNumId w:val="232"/>
  </w:num>
  <w:numIdMacAtCleanup w:val="3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fr-BE" w:vendorID="64" w:dllVersion="6" w:nlCheck="1" w:checkStyle="0"/>
  <w:activeWritingStyle w:appName="MSWord" w:lang="en-US" w:vendorID="64" w:dllVersion="6" w:nlCheck="1" w:checkStyle="1"/>
  <w:activeWritingStyle w:appName="MSWord" w:lang="en-GB" w:vendorID="64" w:dllVersion="6" w:nlCheck="1" w:checkStyle="1"/>
  <w:activeWritingStyle w:appName="MSWord" w:lang="es-ES" w:vendorID="64" w:dllVersion="6" w:nlCheck="1" w:checkStyle="0"/>
  <w:activeWritingStyle w:appName="MSWord" w:lang="en-NZ" w:vendorID="64" w:dllVersion="6" w:nlCheck="1" w:checkStyle="1"/>
  <w:activeWritingStyle w:appName="MSWord" w:lang="en-IE" w:vendorID="64" w:dllVersion="6" w:nlCheck="1" w:checkStyle="1"/>
  <w:activeWritingStyle w:appName="MSWord" w:lang="nl-BE" w:vendorID="64" w:dllVersion="6" w:nlCheck="1" w:checkStyle="0"/>
  <w:activeWritingStyle w:appName="MSWord" w:lang="da-DK" w:vendorID="64" w:dllVersion="6" w:nlCheck="1" w:checkStyle="0"/>
  <w:activeWritingStyle w:appName="MSWord" w:lang="de-DE" w:vendorID="64" w:dllVersion="6" w:nlCheck="1" w:checkStyle="0"/>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fr-BE" w:vendorID="64" w:dllVersion="0" w:nlCheck="1" w:checkStyle="0"/>
  <w:activeWritingStyle w:appName="MSWord" w:lang="en-GB" w:vendorID="64" w:dllVersion="4096" w:nlCheck="1" w:checkStyle="0"/>
  <w:activeWritingStyle w:appName="MSWord" w:lang="en-IE" w:vendorID="64" w:dllVersion="4096" w:nlCheck="1" w:checkStyle="0"/>
  <w:activeWritingStyle w:appName="MSWord" w:lang="en-US" w:vendorID="64" w:dllVersion="4096" w:nlCheck="1" w:checkStyle="0"/>
  <w:activeWritingStyle w:appName="MSWord" w:lang="pt-PT" w:vendorID="64" w:dllVersion="4096" w:nlCheck="1" w:checkStyle="0"/>
  <w:activeWritingStyle w:appName="MSWord" w:lang="fr-BE" w:vendorID="64" w:dllVersion="4096" w:nlCheck="1" w:checkStyle="0"/>
  <w:activeWritingStyle w:appName="MSWord" w:lang="pt-PT" w:vendorID="64" w:dllVersion="6"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pt-PT" w:vendorID="64" w:dllVersion="131078" w:nlCheck="1" w:checkStyle="0"/>
  <w:activeWritingStyle w:appName="MSWord" w:lang="de-DE" w:vendorID="64" w:dllVersion="131078" w:nlCheck="1" w:checkStyle="0"/>
  <w:activeWritingStyle w:appName="MSWord" w:lang="da-DK" w:vendorID="64" w:dllVersion="131078" w:nlCheck="1" w:checkStyle="0"/>
  <w:activeWritingStyle w:appName="MSWord" w:lang="fr-BE" w:vendorID="64" w:dllVersion="131078" w:nlCheck="1" w:checkStyle="0"/>
  <w:activeWritingStyle w:appName="MSWord" w:lang="nl-BE" w:vendorID="64" w:dllVersion="131078" w:nlCheck="1" w:checkStyle="0"/>
  <w:activeWritingStyle w:appName="MSWord" w:lang="it-IT" w:vendorID="64" w:dllVersion="131078" w:nlCheck="1" w:checkStyle="0"/>
  <w:activeWritingStyle w:appName="MSWord" w:lang="es-ES" w:vendorID="64" w:dllVersion="131078" w:nlCheck="1" w:checkStyle="0"/>
  <w:revisionView w:markup="0"/>
  <w:defaultTabStop w:val="720"/>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ACCOMPAGNANT.CP" w:val="Accompanying the document"/>
    <w:docVar w:name="LW_CORRIGENDUM" w:val="&lt;UNUSED&gt;"/>
    <w:docVar w:name="LW_COVERPAGE_EXISTS" w:val="True"/>
    <w:docVar w:name="LW_COVERPAGE_GUID" w:val="DE6AE85F-4D82-4316-9994-0B89E797B2FD"/>
    <w:docVar w:name="LW_COVERPAGE_TYPE" w:val="1"/>
    <w:docVar w:name="LW_CROSSREFERENCE" w:val="{COM(2022) 143 final} - {SEC(2022) 166 final} - {SWD(2022) 86 final}"/>
    <w:docVar w:name="LW_DocType" w:val="NORMAL"/>
    <w:docVar w:name="LW_EMISSION" w:val="30.3.2022"/>
    <w:docVar w:name="LW_EMISSION_ISODATE" w:val="2022-03-30"/>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amending Directives 2005/29/EC and 2011/83/EU as regards empowering consumers for the green transition through better protection against unfair practices and better information_x000d__x000d__x000d__x000d__x000d__x000d__x000b__x000d__x000d__x000d__x000d__x000d__x000d__x000b__x000d__x000d__x000d__x000d__x000d__x000d__x000b__x000d__x000d__x000d__x000d__x000d__x000d__x000b_"/>
    <w:docVar w:name="LW_PART_NBR" w:val="1"/>
    <w:docVar w:name="LW_PART_NBR_TOTAL" w:val="1"/>
    <w:docVar w:name="LW_REF.INST.NEW" w:val="SWD"/>
    <w:docVar w:name="LW_REF.INST.NEW_ADOPTED" w:val="final"/>
    <w:docVar w:name="LW_REF.INST.NEW_TEXT" w:val="(2022) 8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_x000b_"/>
    <w:docVar w:name="LW_TYPEACTEPRINCIPAL.CP" w:val="Proposal for a DIRECTIVE OF THE EUROPEAN PARLIAMENT AND OF THE COUNCIL_x000b_"/>
    <w:docVar w:name="LwApiVersions" w:val="LW4CoDe 1.23.2.0; LW 8.0, Build 20211117"/>
  </w:docVars>
  <w:rsids>
    <w:rsidRoot w:val="006B087E"/>
    <w:rsid w:val="00000101"/>
    <w:rsid w:val="00000B9D"/>
    <w:rsid w:val="00000D94"/>
    <w:rsid w:val="00001531"/>
    <w:rsid w:val="000017B7"/>
    <w:rsid w:val="00001D75"/>
    <w:rsid w:val="00001D79"/>
    <w:rsid w:val="0000200C"/>
    <w:rsid w:val="0000231C"/>
    <w:rsid w:val="000027E9"/>
    <w:rsid w:val="00002AF4"/>
    <w:rsid w:val="00002D8B"/>
    <w:rsid w:val="00002DF8"/>
    <w:rsid w:val="0000316A"/>
    <w:rsid w:val="00003763"/>
    <w:rsid w:val="00003C43"/>
    <w:rsid w:val="00003F3A"/>
    <w:rsid w:val="00004692"/>
    <w:rsid w:val="0000496C"/>
    <w:rsid w:val="00004C4B"/>
    <w:rsid w:val="00004FB6"/>
    <w:rsid w:val="00005270"/>
    <w:rsid w:val="00005C23"/>
    <w:rsid w:val="00005C64"/>
    <w:rsid w:val="00005FA9"/>
    <w:rsid w:val="00006637"/>
    <w:rsid w:val="00006954"/>
    <w:rsid w:val="00006B23"/>
    <w:rsid w:val="00007425"/>
    <w:rsid w:val="00007EF0"/>
    <w:rsid w:val="00007F97"/>
    <w:rsid w:val="00010715"/>
    <w:rsid w:val="0001089F"/>
    <w:rsid w:val="00010951"/>
    <w:rsid w:val="00010DF4"/>
    <w:rsid w:val="00010EFD"/>
    <w:rsid w:val="00010FB4"/>
    <w:rsid w:val="0001112E"/>
    <w:rsid w:val="00011140"/>
    <w:rsid w:val="00011C33"/>
    <w:rsid w:val="00011C87"/>
    <w:rsid w:val="0001203A"/>
    <w:rsid w:val="00012503"/>
    <w:rsid w:val="00012725"/>
    <w:rsid w:val="000129CC"/>
    <w:rsid w:val="000129E9"/>
    <w:rsid w:val="0001348B"/>
    <w:rsid w:val="00013845"/>
    <w:rsid w:val="000138CB"/>
    <w:rsid w:val="00013DB7"/>
    <w:rsid w:val="00014186"/>
    <w:rsid w:val="000145C4"/>
    <w:rsid w:val="00014664"/>
    <w:rsid w:val="00014A6A"/>
    <w:rsid w:val="00014A7D"/>
    <w:rsid w:val="00014C07"/>
    <w:rsid w:val="00014EB8"/>
    <w:rsid w:val="00014F08"/>
    <w:rsid w:val="0001545F"/>
    <w:rsid w:val="0001550C"/>
    <w:rsid w:val="00016574"/>
    <w:rsid w:val="00016A1D"/>
    <w:rsid w:val="00016EA2"/>
    <w:rsid w:val="000170FC"/>
    <w:rsid w:val="0001726C"/>
    <w:rsid w:val="00017C6B"/>
    <w:rsid w:val="00020744"/>
    <w:rsid w:val="000208FA"/>
    <w:rsid w:val="00020A5E"/>
    <w:rsid w:val="00020D3D"/>
    <w:rsid w:val="00021057"/>
    <w:rsid w:val="000214D8"/>
    <w:rsid w:val="000216E4"/>
    <w:rsid w:val="000224C3"/>
    <w:rsid w:val="0002268A"/>
    <w:rsid w:val="00022B5F"/>
    <w:rsid w:val="0002325F"/>
    <w:rsid w:val="000236DE"/>
    <w:rsid w:val="00023EDD"/>
    <w:rsid w:val="0002423B"/>
    <w:rsid w:val="000245FD"/>
    <w:rsid w:val="000247DA"/>
    <w:rsid w:val="00024960"/>
    <w:rsid w:val="00024983"/>
    <w:rsid w:val="0002558A"/>
    <w:rsid w:val="00025686"/>
    <w:rsid w:val="00025EC9"/>
    <w:rsid w:val="00026187"/>
    <w:rsid w:val="00026276"/>
    <w:rsid w:val="000265FE"/>
    <w:rsid w:val="00026783"/>
    <w:rsid w:val="00026A49"/>
    <w:rsid w:val="00026C88"/>
    <w:rsid w:val="00027290"/>
    <w:rsid w:val="00027A63"/>
    <w:rsid w:val="000300B1"/>
    <w:rsid w:val="0003010E"/>
    <w:rsid w:val="0003049D"/>
    <w:rsid w:val="00030815"/>
    <w:rsid w:val="00030BBA"/>
    <w:rsid w:val="00030F88"/>
    <w:rsid w:val="00031091"/>
    <w:rsid w:val="00031175"/>
    <w:rsid w:val="00031194"/>
    <w:rsid w:val="00031300"/>
    <w:rsid w:val="000316A5"/>
    <w:rsid w:val="00031D03"/>
    <w:rsid w:val="000322D3"/>
    <w:rsid w:val="000325B6"/>
    <w:rsid w:val="00032E0C"/>
    <w:rsid w:val="000332D5"/>
    <w:rsid w:val="00033652"/>
    <w:rsid w:val="000338D0"/>
    <w:rsid w:val="00033E31"/>
    <w:rsid w:val="00034EDF"/>
    <w:rsid w:val="00035014"/>
    <w:rsid w:val="00035275"/>
    <w:rsid w:val="00035857"/>
    <w:rsid w:val="00035A1C"/>
    <w:rsid w:val="00035C78"/>
    <w:rsid w:val="00035F96"/>
    <w:rsid w:val="00036149"/>
    <w:rsid w:val="000365C4"/>
    <w:rsid w:val="00036773"/>
    <w:rsid w:val="0003694D"/>
    <w:rsid w:val="00036A11"/>
    <w:rsid w:val="00036EBB"/>
    <w:rsid w:val="0003722E"/>
    <w:rsid w:val="00037612"/>
    <w:rsid w:val="00037A80"/>
    <w:rsid w:val="00037B12"/>
    <w:rsid w:val="00037E47"/>
    <w:rsid w:val="00040D65"/>
    <w:rsid w:val="000416F7"/>
    <w:rsid w:val="000418DB"/>
    <w:rsid w:val="00041BED"/>
    <w:rsid w:val="00042721"/>
    <w:rsid w:val="000428AF"/>
    <w:rsid w:val="000429A1"/>
    <w:rsid w:val="000434D5"/>
    <w:rsid w:val="0004381F"/>
    <w:rsid w:val="00043B2F"/>
    <w:rsid w:val="00043EB6"/>
    <w:rsid w:val="00043EDE"/>
    <w:rsid w:val="00044188"/>
    <w:rsid w:val="0004456A"/>
    <w:rsid w:val="00044641"/>
    <w:rsid w:val="00044AE1"/>
    <w:rsid w:val="00044B5D"/>
    <w:rsid w:val="00044DE8"/>
    <w:rsid w:val="00044ED6"/>
    <w:rsid w:val="00045215"/>
    <w:rsid w:val="000454C2"/>
    <w:rsid w:val="000457D2"/>
    <w:rsid w:val="00045AD4"/>
    <w:rsid w:val="00045E25"/>
    <w:rsid w:val="00046255"/>
    <w:rsid w:val="0004631E"/>
    <w:rsid w:val="00046D2A"/>
    <w:rsid w:val="00047140"/>
    <w:rsid w:val="000472ED"/>
    <w:rsid w:val="00047D07"/>
    <w:rsid w:val="00047F30"/>
    <w:rsid w:val="000507CA"/>
    <w:rsid w:val="00051821"/>
    <w:rsid w:val="00051D8E"/>
    <w:rsid w:val="000524FB"/>
    <w:rsid w:val="000528BC"/>
    <w:rsid w:val="000529E8"/>
    <w:rsid w:val="00052C55"/>
    <w:rsid w:val="00053252"/>
    <w:rsid w:val="00053312"/>
    <w:rsid w:val="000533F2"/>
    <w:rsid w:val="000538B8"/>
    <w:rsid w:val="00053F09"/>
    <w:rsid w:val="0005419C"/>
    <w:rsid w:val="00054B65"/>
    <w:rsid w:val="00054C85"/>
    <w:rsid w:val="00054CA3"/>
    <w:rsid w:val="00055924"/>
    <w:rsid w:val="00055BC4"/>
    <w:rsid w:val="00055BDC"/>
    <w:rsid w:val="00055F48"/>
    <w:rsid w:val="0005623F"/>
    <w:rsid w:val="0005644B"/>
    <w:rsid w:val="00056598"/>
    <w:rsid w:val="00056629"/>
    <w:rsid w:val="0005675B"/>
    <w:rsid w:val="00056D70"/>
    <w:rsid w:val="00057C0C"/>
    <w:rsid w:val="00057FA7"/>
    <w:rsid w:val="000604DC"/>
    <w:rsid w:val="00060659"/>
    <w:rsid w:val="0006069F"/>
    <w:rsid w:val="0006099C"/>
    <w:rsid w:val="00060C47"/>
    <w:rsid w:val="00060E70"/>
    <w:rsid w:val="000613A7"/>
    <w:rsid w:val="000613C8"/>
    <w:rsid w:val="0006148D"/>
    <w:rsid w:val="000617B7"/>
    <w:rsid w:val="000618F0"/>
    <w:rsid w:val="00061C7F"/>
    <w:rsid w:val="00061EF2"/>
    <w:rsid w:val="00061F1E"/>
    <w:rsid w:val="00061F6E"/>
    <w:rsid w:val="000622EE"/>
    <w:rsid w:val="000623E5"/>
    <w:rsid w:val="000626CB"/>
    <w:rsid w:val="000628B3"/>
    <w:rsid w:val="00062EA0"/>
    <w:rsid w:val="00063181"/>
    <w:rsid w:val="0006354B"/>
    <w:rsid w:val="00063F8E"/>
    <w:rsid w:val="0006439C"/>
    <w:rsid w:val="0006475A"/>
    <w:rsid w:val="00064B09"/>
    <w:rsid w:val="000652F0"/>
    <w:rsid w:val="0006576A"/>
    <w:rsid w:val="0006586B"/>
    <w:rsid w:val="00065C3F"/>
    <w:rsid w:val="00065CF7"/>
    <w:rsid w:val="00065F91"/>
    <w:rsid w:val="000661AD"/>
    <w:rsid w:val="00066353"/>
    <w:rsid w:val="000663F5"/>
    <w:rsid w:val="000665F2"/>
    <w:rsid w:val="00066706"/>
    <w:rsid w:val="000669CC"/>
    <w:rsid w:val="00066A29"/>
    <w:rsid w:val="00066DD8"/>
    <w:rsid w:val="0006701E"/>
    <w:rsid w:val="000672BA"/>
    <w:rsid w:val="0006788C"/>
    <w:rsid w:val="000679E3"/>
    <w:rsid w:val="00067AF0"/>
    <w:rsid w:val="00067BB5"/>
    <w:rsid w:val="00070186"/>
    <w:rsid w:val="0007028B"/>
    <w:rsid w:val="00070398"/>
    <w:rsid w:val="00070481"/>
    <w:rsid w:val="0007099D"/>
    <w:rsid w:val="00070ACA"/>
    <w:rsid w:val="00070B78"/>
    <w:rsid w:val="00071082"/>
    <w:rsid w:val="0007138A"/>
    <w:rsid w:val="00071E12"/>
    <w:rsid w:val="000720B8"/>
    <w:rsid w:val="00072195"/>
    <w:rsid w:val="000721B6"/>
    <w:rsid w:val="00072279"/>
    <w:rsid w:val="00072A97"/>
    <w:rsid w:val="00072C5F"/>
    <w:rsid w:val="00073269"/>
    <w:rsid w:val="000732F6"/>
    <w:rsid w:val="00073C02"/>
    <w:rsid w:val="000741AC"/>
    <w:rsid w:val="00074357"/>
    <w:rsid w:val="000743DC"/>
    <w:rsid w:val="00074631"/>
    <w:rsid w:val="00074645"/>
    <w:rsid w:val="000747B3"/>
    <w:rsid w:val="000757E3"/>
    <w:rsid w:val="00075B82"/>
    <w:rsid w:val="00075EE3"/>
    <w:rsid w:val="000763D6"/>
    <w:rsid w:val="0007648B"/>
    <w:rsid w:val="00076708"/>
    <w:rsid w:val="00076F16"/>
    <w:rsid w:val="0007729F"/>
    <w:rsid w:val="0007760F"/>
    <w:rsid w:val="000779FE"/>
    <w:rsid w:val="00077A31"/>
    <w:rsid w:val="00077C8C"/>
    <w:rsid w:val="00077D7D"/>
    <w:rsid w:val="00077E14"/>
    <w:rsid w:val="00080AF1"/>
    <w:rsid w:val="00080EB9"/>
    <w:rsid w:val="000812E0"/>
    <w:rsid w:val="0008162B"/>
    <w:rsid w:val="000816B8"/>
    <w:rsid w:val="000817CD"/>
    <w:rsid w:val="00081958"/>
    <w:rsid w:val="000819CB"/>
    <w:rsid w:val="00082BB2"/>
    <w:rsid w:val="00082C3F"/>
    <w:rsid w:val="000831E1"/>
    <w:rsid w:val="00083469"/>
    <w:rsid w:val="000834FF"/>
    <w:rsid w:val="000835BD"/>
    <w:rsid w:val="00083C9C"/>
    <w:rsid w:val="00084013"/>
    <w:rsid w:val="0008401C"/>
    <w:rsid w:val="000845E9"/>
    <w:rsid w:val="000849BC"/>
    <w:rsid w:val="00084AE4"/>
    <w:rsid w:val="000857A6"/>
    <w:rsid w:val="00085803"/>
    <w:rsid w:val="000858FA"/>
    <w:rsid w:val="00085C1D"/>
    <w:rsid w:val="00085C7C"/>
    <w:rsid w:val="00086EE2"/>
    <w:rsid w:val="00086F31"/>
    <w:rsid w:val="00087603"/>
    <w:rsid w:val="00087AEA"/>
    <w:rsid w:val="00087B0C"/>
    <w:rsid w:val="00087D04"/>
    <w:rsid w:val="00087D2C"/>
    <w:rsid w:val="00087E22"/>
    <w:rsid w:val="000900DF"/>
    <w:rsid w:val="000902C9"/>
    <w:rsid w:val="00090655"/>
    <w:rsid w:val="00090DA1"/>
    <w:rsid w:val="00091756"/>
    <w:rsid w:val="00091A84"/>
    <w:rsid w:val="00091BB3"/>
    <w:rsid w:val="00091DE4"/>
    <w:rsid w:val="00091F58"/>
    <w:rsid w:val="000923F7"/>
    <w:rsid w:val="00092C10"/>
    <w:rsid w:val="00092D7A"/>
    <w:rsid w:val="000933B2"/>
    <w:rsid w:val="000936A1"/>
    <w:rsid w:val="000937A9"/>
    <w:rsid w:val="000938AB"/>
    <w:rsid w:val="00093E31"/>
    <w:rsid w:val="00093EFA"/>
    <w:rsid w:val="00093F6B"/>
    <w:rsid w:val="00094189"/>
    <w:rsid w:val="000945DE"/>
    <w:rsid w:val="00094A75"/>
    <w:rsid w:val="00094ECF"/>
    <w:rsid w:val="00095023"/>
    <w:rsid w:val="000951F7"/>
    <w:rsid w:val="000954E7"/>
    <w:rsid w:val="00095742"/>
    <w:rsid w:val="00095A1E"/>
    <w:rsid w:val="00095D76"/>
    <w:rsid w:val="00096215"/>
    <w:rsid w:val="00096284"/>
    <w:rsid w:val="0009643B"/>
    <w:rsid w:val="0009678C"/>
    <w:rsid w:val="00096DA2"/>
    <w:rsid w:val="00096F03"/>
    <w:rsid w:val="00097187"/>
    <w:rsid w:val="00097850"/>
    <w:rsid w:val="000A0498"/>
    <w:rsid w:val="000A0B1B"/>
    <w:rsid w:val="000A14BE"/>
    <w:rsid w:val="000A15EA"/>
    <w:rsid w:val="000A2115"/>
    <w:rsid w:val="000A2C5A"/>
    <w:rsid w:val="000A3843"/>
    <w:rsid w:val="000A3C95"/>
    <w:rsid w:val="000A3EB9"/>
    <w:rsid w:val="000A40D7"/>
    <w:rsid w:val="000A40E6"/>
    <w:rsid w:val="000A4638"/>
    <w:rsid w:val="000A4B7B"/>
    <w:rsid w:val="000A50D9"/>
    <w:rsid w:val="000A5976"/>
    <w:rsid w:val="000A5A49"/>
    <w:rsid w:val="000A5C48"/>
    <w:rsid w:val="000A5CD0"/>
    <w:rsid w:val="000A61B1"/>
    <w:rsid w:val="000A67BA"/>
    <w:rsid w:val="000A6B01"/>
    <w:rsid w:val="000A6C73"/>
    <w:rsid w:val="000A6F99"/>
    <w:rsid w:val="000A7099"/>
    <w:rsid w:val="000A7831"/>
    <w:rsid w:val="000A7873"/>
    <w:rsid w:val="000A79F7"/>
    <w:rsid w:val="000A7B0D"/>
    <w:rsid w:val="000A7B78"/>
    <w:rsid w:val="000A7F90"/>
    <w:rsid w:val="000A7FB4"/>
    <w:rsid w:val="000A7FCD"/>
    <w:rsid w:val="000B0157"/>
    <w:rsid w:val="000B01A9"/>
    <w:rsid w:val="000B02CD"/>
    <w:rsid w:val="000B0D55"/>
    <w:rsid w:val="000B0D87"/>
    <w:rsid w:val="000B11D2"/>
    <w:rsid w:val="000B174C"/>
    <w:rsid w:val="000B1AF5"/>
    <w:rsid w:val="000B1E9A"/>
    <w:rsid w:val="000B217E"/>
    <w:rsid w:val="000B2CEC"/>
    <w:rsid w:val="000B2E11"/>
    <w:rsid w:val="000B31E3"/>
    <w:rsid w:val="000B332A"/>
    <w:rsid w:val="000B3337"/>
    <w:rsid w:val="000B333F"/>
    <w:rsid w:val="000B3F0E"/>
    <w:rsid w:val="000B45FE"/>
    <w:rsid w:val="000B48A1"/>
    <w:rsid w:val="000B4D75"/>
    <w:rsid w:val="000B4DA0"/>
    <w:rsid w:val="000B4E73"/>
    <w:rsid w:val="000B616C"/>
    <w:rsid w:val="000B63AF"/>
    <w:rsid w:val="000B63C8"/>
    <w:rsid w:val="000B6492"/>
    <w:rsid w:val="000B6624"/>
    <w:rsid w:val="000B6BD8"/>
    <w:rsid w:val="000B6D91"/>
    <w:rsid w:val="000B7013"/>
    <w:rsid w:val="000B7037"/>
    <w:rsid w:val="000B7108"/>
    <w:rsid w:val="000B76FE"/>
    <w:rsid w:val="000C0304"/>
    <w:rsid w:val="000C032C"/>
    <w:rsid w:val="000C09D0"/>
    <w:rsid w:val="000C09FC"/>
    <w:rsid w:val="000C0C0E"/>
    <w:rsid w:val="000C1AC4"/>
    <w:rsid w:val="000C1C80"/>
    <w:rsid w:val="000C1D52"/>
    <w:rsid w:val="000C1E7E"/>
    <w:rsid w:val="000C20B6"/>
    <w:rsid w:val="000C2166"/>
    <w:rsid w:val="000C23DF"/>
    <w:rsid w:val="000C2B25"/>
    <w:rsid w:val="000C3442"/>
    <w:rsid w:val="000C3712"/>
    <w:rsid w:val="000C4457"/>
    <w:rsid w:val="000C4547"/>
    <w:rsid w:val="000C4930"/>
    <w:rsid w:val="000C4DA1"/>
    <w:rsid w:val="000C4DEA"/>
    <w:rsid w:val="000C4FD0"/>
    <w:rsid w:val="000C519F"/>
    <w:rsid w:val="000C51C3"/>
    <w:rsid w:val="000C55CC"/>
    <w:rsid w:val="000C5E9D"/>
    <w:rsid w:val="000C6848"/>
    <w:rsid w:val="000C6AF3"/>
    <w:rsid w:val="000C6FF7"/>
    <w:rsid w:val="000C71A7"/>
    <w:rsid w:val="000C71D9"/>
    <w:rsid w:val="000C7774"/>
    <w:rsid w:val="000C7EF6"/>
    <w:rsid w:val="000C7FE9"/>
    <w:rsid w:val="000D0632"/>
    <w:rsid w:val="000D0753"/>
    <w:rsid w:val="000D07E6"/>
    <w:rsid w:val="000D0E2A"/>
    <w:rsid w:val="000D0E6E"/>
    <w:rsid w:val="000D10EE"/>
    <w:rsid w:val="000D12F8"/>
    <w:rsid w:val="000D148E"/>
    <w:rsid w:val="000D19CB"/>
    <w:rsid w:val="000D1A71"/>
    <w:rsid w:val="000D1CE2"/>
    <w:rsid w:val="000D1D71"/>
    <w:rsid w:val="000D1DF7"/>
    <w:rsid w:val="000D1F6A"/>
    <w:rsid w:val="000D3D47"/>
    <w:rsid w:val="000D4457"/>
    <w:rsid w:val="000D4646"/>
    <w:rsid w:val="000D49A9"/>
    <w:rsid w:val="000D4ECA"/>
    <w:rsid w:val="000D4F33"/>
    <w:rsid w:val="000D5640"/>
    <w:rsid w:val="000D56AA"/>
    <w:rsid w:val="000D5777"/>
    <w:rsid w:val="000D590A"/>
    <w:rsid w:val="000D5BC2"/>
    <w:rsid w:val="000D5C09"/>
    <w:rsid w:val="000D5EE3"/>
    <w:rsid w:val="000D677E"/>
    <w:rsid w:val="000D6A87"/>
    <w:rsid w:val="000D6BE7"/>
    <w:rsid w:val="000D6C42"/>
    <w:rsid w:val="000D7437"/>
    <w:rsid w:val="000D74AE"/>
    <w:rsid w:val="000D7801"/>
    <w:rsid w:val="000D7C08"/>
    <w:rsid w:val="000D7E33"/>
    <w:rsid w:val="000E01A6"/>
    <w:rsid w:val="000E02BD"/>
    <w:rsid w:val="000E0F3B"/>
    <w:rsid w:val="000E162B"/>
    <w:rsid w:val="000E19CE"/>
    <w:rsid w:val="000E20B7"/>
    <w:rsid w:val="000E235F"/>
    <w:rsid w:val="000E2B71"/>
    <w:rsid w:val="000E2C82"/>
    <w:rsid w:val="000E2DA2"/>
    <w:rsid w:val="000E30C1"/>
    <w:rsid w:val="000E344A"/>
    <w:rsid w:val="000E3566"/>
    <w:rsid w:val="000E36AB"/>
    <w:rsid w:val="000E3B07"/>
    <w:rsid w:val="000E3D37"/>
    <w:rsid w:val="000E4035"/>
    <w:rsid w:val="000E4369"/>
    <w:rsid w:val="000E4521"/>
    <w:rsid w:val="000E48FB"/>
    <w:rsid w:val="000E53FC"/>
    <w:rsid w:val="000E5552"/>
    <w:rsid w:val="000E5F87"/>
    <w:rsid w:val="000E6415"/>
    <w:rsid w:val="000E67C0"/>
    <w:rsid w:val="000E6E34"/>
    <w:rsid w:val="000E6E8C"/>
    <w:rsid w:val="000E7197"/>
    <w:rsid w:val="000E733C"/>
    <w:rsid w:val="000E7B40"/>
    <w:rsid w:val="000E7B5F"/>
    <w:rsid w:val="000E7BB1"/>
    <w:rsid w:val="000E7C22"/>
    <w:rsid w:val="000E7CE6"/>
    <w:rsid w:val="000E7FA9"/>
    <w:rsid w:val="000F0345"/>
    <w:rsid w:val="000F03CE"/>
    <w:rsid w:val="000F09A7"/>
    <w:rsid w:val="000F0EBF"/>
    <w:rsid w:val="000F1CBF"/>
    <w:rsid w:val="000F1D37"/>
    <w:rsid w:val="000F2799"/>
    <w:rsid w:val="000F2AC0"/>
    <w:rsid w:val="000F32A6"/>
    <w:rsid w:val="000F3613"/>
    <w:rsid w:val="000F3DDD"/>
    <w:rsid w:val="000F3E29"/>
    <w:rsid w:val="000F4BD3"/>
    <w:rsid w:val="000F50F4"/>
    <w:rsid w:val="000F51CE"/>
    <w:rsid w:val="000F5332"/>
    <w:rsid w:val="000F53A5"/>
    <w:rsid w:val="000F5B96"/>
    <w:rsid w:val="000F6283"/>
    <w:rsid w:val="000F6948"/>
    <w:rsid w:val="000F6F83"/>
    <w:rsid w:val="000F7853"/>
    <w:rsid w:val="000F7EAF"/>
    <w:rsid w:val="000F7F29"/>
    <w:rsid w:val="00100137"/>
    <w:rsid w:val="00100365"/>
    <w:rsid w:val="001004F4"/>
    <w:rsid w:val="00100634"/>
    <w:rsid w:val="00101573"/>
    <w:rsid w:val="00102377"/>
    <w:rsid w:val="001026C6"/>
    <w:rsid w:val="00102736"/>
    <w:rsid w:val="001027B8"/>
    <w:rsid w:val="00104645"/>
    <w:rsid w:val="0010472A"/>
    <w:rsid w:val="0010482E"/>
    <w:rsid w:val="001049B0"/>
    <w:rsid w:val="00104A41"/>
    <w:rsid w:val="00104B92"/>
    <w:rsid w:val="00105068"/>
    <w:rsid w:val="00105A93"/>
    <w:rsid w:val="00105BDC"/>
    <w:rsid w:val="001060E6"/>
    <w:rsid w:val="00106A38"/>
    <w:rsid w:val="00106A69"/>
    <w:rsid w:val="00106DE8"/>
    <w:rsid w:val="001072E5"/>
    <w:rsid w:val="001079B9"/>
    <w:rsid w:val="001101EA"/>
    <w:rsid w:val="0011033C"/>
    <w:rsid w:val="0011063A"/>
    <w:rsid w:val="001109BE"/>
    <w:rsid w:val="0011113F"/>
    <w:rsid w:val="001115EF"/>
    <w:rsid w:val="00111884"/>
    <w:rsid w:val="00111BFE"/>
    <w:rsid w:val="001121E2"/>
    <w:rsid w:val="001122EB"/>
    <w:rsid w:val="00112B1C"/>
    <w:rsid w:val="00112B8C"/>
    <w:rsid w:val="001131CC"/>
    <w:rsid w:val="0011323F"/>
    <w:rsid w:val="001136F9"/>
    <w:rsid w:val="00113C84"/>
    <w:rsid w:val="001145B7"/>
    <w:rsid w:val="001146A2"/>
    <w:rsid w:val="00114BC8"/>
    <w:rsid w:val="00114D2B"/>
    <w:rsid w:val="00114F27"/>
    <w:rsid w:val="00114FC6"/>
    <w:rsid w:val="0011520C"/>
    <w:rsid w:val="0011577B"/>
    <w:rsid w:val="001157D2"/>
    <w:rsid w:val="001157F6"/>
    <w:rsid w:val="0011582F"/>
    <w:rsid w:val="00115BD4"/>
    <w:rsid w:val="0011630C"/>
    <w:rsid w:val="001163B0"/>
    <w:rsid w:val="001168ED"/>
    <w:rsid w:val="00116AA4"/>
    <w:rsid w:val="00116D62"/>
    <w:rsid w:val="001209F1"/>
    <w:rsid w:val="001211DF"/>
    <w:rsid w:val="0012211B"/>
    <w:rsid w:val="001225CF"/>
    <w:rsid w:val="00122627"/>
    <w:rsid w:val="00122882"/>
    <w:rsid w:val="00122B83"/>
    <w:rsid w:val="00122CF3"/>
    <w:rsid w:val="00122E97"/>
    <w:rsid w:val="00122FD7"/>
    <w:rsid w:val="00123203"/>
    <w:rsid w:val="00123B5A"/>
    <w:rsid w:val="00123D9A"/>
    <w:rsid w:val="00124DC9"/>
    <w:rsid w:val="00125174"/>
    <w:rsid w:val="00125256"/>
    <w:rsid w:val="001252B5"/>
    <w:rsid w:val="0012543C"/>
    <w:rsid w:val="00125511"/>
    <w:rsid w:val="00125647"/>
    <w:rsid w:val="00125782"/>
    <w:rsid w:val="00126612"/>
    <w:rsid w:val="0012675D"/>
    <w:rsid w:val="00126A8A"/>
    <w:rsid w:val="00126FF6"/>
    <w:rsid w:val="001270C9"/>
    <w:rsid w:val="001274B5"/>
    <w:rsid w:val="00127580"/>
    <w:rsid w:val="00127BDA"/>
    <w:rsid w:val="00127EFA"/>
    <w:rsid w:val="00127F46"/>
    <w:rsid w:val="00127FE0"/>
    <w:rsid w:val="00130549"/>
    <w:rsid w:val="0013085C"/>
    <w:rsid w:val="001308E8"/>
    <w:rsid w:val="00130970"/>
    <w:rsid w:val="00130B48"/>
    <w:rsid w:val="00130CDD"/>
    <w:rsid w:val="00131286"/>
    <w:rsid w:val="001312F5"/>
    <w:rsid w:val="00131520"/>
    <w:rsid w:val="00132501"/>
    <w:rsid w:val="00132550"/>
    <w:rsid w:val="00132554"/>
    <w:rsid w:val="00132E66"/>
    <w:rsid w:val="001332C9"/>
    <w:rsid w:val="001335B4"/>
    <w:rsid w:val="001335BE"/>
    <w:rsid w:val="0013363D"/>
    <w:rsid w:val="00133870"/>
    <w:rsid w:val="001339AC"/>
    <w:rsid w:val="00133E9B"/>
    <w:rsid w:val="001342FD"/>
    <w:rsid w:val="00134448"/>
    <w:rsid w:val="001349D3"/>
    <w:rsid w:val="00134A25"/>
    <w:rsid w:val="00134C48"/>
    <w:rsid w:val="00134DD2"/>
    <w:rsid w:val="00134EA1"/>
    <w:rsid w:val="001352BD"/>
    <w:rsid w:val="00135588"/>
    <w:rsid w:val="001358BC"/>
    <w:rsid w:val="0013594B"/>
    <w:rsid w:val="00135B5B"/>
    <w:rsid w:val="00136289"/>
    <w:rsid w:val="00136473"/>
    <w:rsid w:val="001364D8"/>
    <w:rsid w:val="00136B44"/>
    <w:rsid w:val="00136ECF"/>
    <w:rsid w:val="00137476"/>
    <w:rsid w:val="001374F6"/>
    <w:rsid w:val="001402F6"/>
    <w:rsid w:val="001405AB"/>
    <w:rsid w:val="001409BA"/>
    <w:rsid w:val="00140A54"/>
    <w:rsid w:val="00140D93"/>
    <w:rsid w:val="0014128C"/>
    <w:rsid w:val="00141347"/>
    <w:rsid w:val="00141600"/>
    <w:rsid w:val="00141C10"/>
    <w:rsid w:val="00142484"/>
    <w:rsid w:val="00142796"/>
    <w:rsid w:val="001428C5"/>
    <w:rsid w:val="0014290B"/>
    <w:rsid w:val="001429AA"/>
    <w:rsid w:val="001435AE"/>
    <w:rsid w:val="00143600"/>
    <w:rsid w:val="00143786"/>
    <w:rsid w:val="001438E7"/>
    <w:rsid w:val="00144CFF"/>
    <w:rsid w:val="00144E0B"/>
    <w:rsid w:val="00144F63"/>
    <w:rsid w:val="00144F6C"/>
    <w:rsid w:val="00145056"/>
    <w:rsid w:val="00145096"/>
    <w:rsid w:val="00145831"/>
    <w:rsid w:val="00145A0F"/>
    <w:rsid w:val="00145C04"/>
    <w:rsid w:val="00146437"/>
    <w:rsid w:val="00146581"/>
    <w:rsid w:val="0014675C"/>
    <w:rsid w:val="0014683E"/>
    <w:rsid w:val="00146AF5"/>
    <w:rsid w:val="00146E10"/>
    <w:rsid w:val="001473E0"/>
    <w:rsid w:val="001478E1"/>
    <w:rsid w:val="00147CBF"/>
    <w:rsid w:val="00147E70"/>
    <w:rsid w:val="00150611"/>
    <w:rsid w:val="00150A7F"/>
    <w:rsid w:val="00151B05"/>
    <w:rsid w:val="00151C49"/>
    <w:rsid w:val="0015242C"/>
    <w:rsid w:val="00152613"/>
    <w:rsid w:val="00152AA8"/>
    <w:rsid w:val="00152D3C"/>
    <w:rsid w:val="00152FFB"/>
    <w:rsid w:val="0015312E"/>
    <w:rsid w:val="00153D52"/>
    <w:rsid w:val="00154473"/>
    <w:rsid w:val="00154AF6"/>
    <w:rsid w:val="00154DA8"/>
    <w:rsid w:val="00154F75"/>
    <w:rsid w:val="0015586F"/>
    <w:rsid w:val="0015595F"/>
    <w:rsid w:val="0015665B"/>
    <w:rsid w:val="00156B0F"/>
    <w:rsid w:val="00156CF1"/>
    <w:rsid w:val="00156D17"/>
    <w:rsid w:val="0015712F"/>
    <w:rsid w:val="00157186"/>
    <w:rsid w:val="001575D0"/>
    <w:rsid w:val="00157753"/>
    <w:rsid w:val="00157757"/>
    <w:rsid w:val="001601B0"/>
    <w:rsid w:val="0016024E"/>
    <w:rsid w:val="00160619"/>
    <w:rsid w:val="001607EE"/>
    <w:rsid w:val="00160DCE"/>
    <w:rsid w:val="001613D9"/>
    <w:rsid w:val="001614C8"/>
    <w:rsid w:val="00161668"/>
    <w:rsid w:val="00161FF6"/>
    <w:rsid w:val="00162A83"/>
    <w:rsid w:val="00162AD7"/>
    <w:rsid w:val="00163150"/>
    <w:rsid w:val="00163241"/>
    <w:rsid w:val="001633AF"/>
    <w:rsid w:val="0016347A"/>
    <w:rsid w:val="001637B1"/>
    <w:rsid w:val="00163F71"/>
    <w:rsid w:val="0016431F"/>
    <w:rsid w:val="0016435F"/>
    <w:rsid w:val="00164A6B"/>
    <w:rsid w:val="00164A72"/>
    <w:rsid w:val="00164C6B"/>
    <w:rsid w:val="00164D0B"/>
    <w:rsid w:val="00164FCA"/>
    <w:rsid w:val="001653D6"/>
    <w:rsid w:val="00165506"/>
    <w:rsid w:val="00165B75"/>
    <w:rsid w:val="00165CF6"/>
    <w:rsid w:val="00165FE3"/>
    <w:rsid w:val="00166666"/>
    <w:rsid w:val="00167221"/>
    <w:rsid w:val="00167355"/>
    <w:rsid w:val="00167437"/>
    <w:rsid w:val="00167805"/>
    <w:rsid w:val="00167C4F"/>
    <w:rsid w:val="00167D4D"/>
    <w:rsid w:val="0017037D"/>
    <w:rsid w:val="00170ECA"/>
    <w:rsid w:val="001717DE"/>
    <w:rsid w:val="00171914"/>
    <w:rsid w:val="001719A4"/>
    <w:rsid w:val="001719CC"/>
    <w:rsid w:val="00171D19"/>
    <w:rsid w:val="00171D73"/>
    <w:rsid w:val="0017271F"/>
    <w:rsid w:val="00172F0C"/>
    <w:rsid w:val="001735F0"/>
    <w:rsid w:val="00173669"/>
    <w:rsid w:val="00173E31"/>
    <w:rsid w:val="0017406C"/>
    <w:rsid w:val="0017422F"/>
    <w:rsid w:val="00174387"/>
    <w:rsid w:val="0017438D"/>
    <w:rsid w:val="00174649"/>
    <w:rsid w:val="00174971"/>
    <w:rsid w:val="00174DDF"/>
    <w:rsid w:val="00175013"/>
    <w:rsid w:val="001754E8"/>
    <w:rsid w:val="00175849"/>
    <w:rsid w:val="00175DEC"/>
    <w:rsid w:val="00175EA2"/>
    <w:rsid w:val="00175F21"/>
    <w:rsid w:val="001762A9"/>
    <w:rsid w:val="0017654C"/>
    <w:rsid w:val="0017771C"/>
    <w:rsid w:val="001779DE"/>
    <w:rsid w:val="00177BE4"/>
    <w:rsid w:val="00177CDA"/>
    <w:rsid w:val="00177D9D"/>
    <w:rsid w:val="00180766"/>
    <w:rsid w:val="00180DCE"/>
    <w:rsid w:val="001814A6"/>
    <w:rsid w:val="00181676"/>
    <w:rsid w:val="001816A3"/>
    <w:rsid w:val="00181BDD"/>
    <w:rsid w:val="00181F36"/>
    <w:rsid w:val="00182326"/>
    <w:rsid w:val="00182C61"/>
    <w:rsid w:val="00182E61"/>
    <w:rsid w:val="00182EB1"/>
    <w:rsid w:val="001837C9"/>
    <w:rsid w:val="00183CD9"/>
    <w:rsid w:val="00183F2F"/>
    <w:rsid w:val="00183FCF"/>
    <w:rsid w:val="0018400E"/>
    <w:rsid w:val="0018518D"/>
    <w:rsid w:val="00185541"/>
    <w:rsid w:val="00185682"/>
    <w:rsid w:val="00186AAA"/>
    <w:rsid w:val="00186C53"/>
    <w:rsid w:val="00187CF8"/>
    <w:rsid w:val="00187F0F"/>
    <w:rsid w:val="00190167"/>
    <w:rsid w:val="00190355"/>
    <w:rsid w:val="00190D05"/>
    <w:rsid w:val="0019216B"/>
    <w:rsid w:val="001926E8"/>
    <w:rsid w:val="0019286D"/>
    <w:rsid w:val="00192B26"/>
    <w:rsid w:val="00192CD6"/>
    <w:rsid w:val="00192CDB"/>
    <w:rsid w:val="00192DA9"/>
    <w:rsid w:val="00193024"/>
    <w:rsid w:val="0019336C"/>
    <w:rsid w:val="00193594"/>
    <w:rsid w:val="00193CC3"/>
    <w:rsid w:val="00193D78"/>
    <w:rsid w:val="00193EDA"/>
    <w:rsid w:val="00194E87"/>
    <w:rsid w:val="00194F8E"/>
    <w:rsid w:val="00195694"/>
    <w:rsid w:val="001957B6"/>
    <w:rsid w:val="00195B50"/>
    <w:rsid w:val="00195E40"/>
    <w:rsid w:val="00195F89"/>
    <w:rsid w:val="00196601"/>
    <w:rsid w:val="001966A9"/>
    <w:rsid w:val="00196AAC"/>
    <w:rsid w:val="00196D29"/>
    <w:rsid w:val="00196E51"/>
    <w:rsid w:val="00197336"/>
    <w:rsid w:val="00197580"/>
    <w:rsid w:val="00197654"/>
    <w:rsid w:val="0019796F"/>
    <w:rsid w:val="00197AC1"/>
    <w:rsid w:val="00197E27"/>
    <w:rsid w:val="00197FBF"/>
    <w:rsid w:val="001A05AA"/>
    <w:rsid w:val="001A0829"/>
    <w:rsid w:val="001A0A7D"/>
    <w:rsid w:val="001A0E54"/>
    <w:rsid w:val="001A14A3"/>
    <w:rsid w:val="001A14C2"/>
    <w:rsid w:val="001A1727"/>
    <w:rsid w:val="001A1775"/>
    <w:rsid w:val="001A1B51"/>
    <w:rsid w:val="001A205F"/>
    <w:rsid w:val="001A269F"/>
    <w:rsid w:val="001A2A1F"/>
    <w:rsid w:val="001A2A9D"/>
    <w:rsid w:val="001A3349"/>
    <w:rsid w:val="001A35C6"/>
    <w:rsid w:val="001A365A"/>
    <w:rsid w:val="001A3A46"/>
    <w:rsid w:val="001A3B0F"/>
    <w:rsid w:val="001A3CD6"/>
    <w:rsid w:val="001A3D4A"/>
    <w:rsid w:val="001A3EFB"/>
    <w:rsid w:val="001A3F30"/>
    <w:rsid w:val="001A3F5E"/>
    <w:rsid w:val="001A40CD"/>
    <w:rsid w:val="001A46A4"/>
    <w:rsid w:val="001A4FC3"/>
    <w:rsid w:val="001A5802"/>
    <w:rsid w:val="001A58E7"/>
    <w:rsid w:val="001A5ECE"/>
    <w:rsid w:val="001A5F25"/>
    <w:rsid w:val="001A6158"/>
    <w:rsid w:val="001A6309"/>
    <w:rsid w:val="001A6821"/>
    <w:rsid w:val="001A6A2E"/>
    <w:rsid w:val="001A6B56"/>
    <w:rsid w:val="001A6F38"/>
    <w:rsid w:val="001A6FC9"/>
    <w:rsid w:val="001A7086"/>
    <w:rsid w:val="001A7556"/>
    <w:rsid w:val="001A7647"/>
    <w:rsid w:val="001A77AD"/>
    <w:rsid w:val="001A7AAE"/>
    <w:rsid w:val="001A7AF2"/>
    <w:rsid w:val="001A7BFC"/>
    <w:rsid w:val="001A7EE3"/>
    <w:rsid w:val="001B01F1"/>
    <w:rsid w:val="001B04A6"/>
    <w:rsid w:val="001B04EB"/>
    <w:rsid w:val="001B087D"/>
    <w:rsid w:val="001B0906"/>
    <w:rsid w:val="001B0B83"/>
    <w:rsid w:val="001B1478"/>
    <w:rsid w:val="001B1520"/>
    <w:rsid w:val="001B156A"/>
    <w:rsid w:val="001B170D"/>
    <w:rsid w:val="001B21A4"/>
    <w:rsid w:val="001B23B4"/>
    <w:rsid w:val="001B264F"/>
    <w:rsid w:val="001B295D"/>
    <w:rsid w:val="001B2B12"/>
    <w:rsid w:val="001B2B4C"/>
    <w:rsid w:val="001B2BB6"/>
    <w:rsid w:val="001B36F8"/>
    <w:rsid w:val="001B373B"/>
    <w:rsid w:val="001B37B9"/>
    <w:rsid w:val="001B388A"/>
    <w:rsid w:val="001B3937"/>
    <w:rsid w:val="001B3AD4"/>
    <w:rsid w:val="001B4673"/>
    <w:rsid w:val="001B48DB"/>
    <w:rsid w:val="001B4D3C"/>
    <w:rsid w:val="001B4D78"/>
    <w:rsid w:val="001B51A1"/>
    <w:rsid w:val="001B521E"/>
    <w:rsid w:val="001B5729"/>
    <w:rsid w:val="001B5B7E"/>
    <w:rsid w:val="001B5C4C"/>
    <w:rsid w:val="001B6061"/>
    <w:rsid w:val="001B622A"/>
    <w:rsid w:val="001B6384"/>
    <w:rsid w:val="001B6721"/>
    <w:rsid w:val="001B672B"/>
    <w:rsid w:val="001B6818"/>
    <w:rsid w:val="001B6BBC"/>
    <w:rsid w:val="001B6C1A"/>
    <w:rsid w:val="001B6D82"/>
    <w:rsid w:val="001B734C"/>
    <w:rsid w:val="001B761C"/>
    <w:rsid w:val="001C0106"/>
    <w:rsid w:val="001C01FC"/>
    <w:rsid w:val="001C0622"/>
    <w:rsid w:val="001C09D3"/>
    <w:rsid w:val="001C1195"/>
    <w:rsid w:val="001C16AC"/>
    <w:rsid w:val="001C1945"/>
    <w:rsid w:val="001C1C29"/>
    <w:rsid w:val="001C2B95"/>
    <w:rsid w:val="001C2D76"/>
    <w:rsid w:val="001C3449"/>
    <w:rsid w:val="001C375C"/>
    <w:rsid w:val="001C4182"/>
    <w:rsid w:val="001C4875"/>
    <w:rsid w:val="001C4AF8"/>
    <w:rsid w:val="001C4C19"/>
    <w:rsid w:val="001C4C3E"/>
    <w:rsid w:val="001C5465"/>
    <w:rsid w:val="001C5519"/>
    <w:rsid w:val="001C61CF"/>
    <w:rsid w:val="001C6693"/>
    <w:rsid w:val="001C68BE"/>
    <w:rsid w:val="001C6A02"/>
    <w:rsid w:val="001C78FB"/>
    <w:rsid w:val="001C7A69"/>
    <w:rsid w:val="001C7AA7"/>
    <w:rsid w:val="001D0078"/>
    <w:rsid w:val="001D0334"/>
    <w:rsid w:val="001D0701"/>
    <w:rsid w:val="001D0B01"/>
    <w:rsid w:val="001D0BB2"/>
    <w:rsid w:val="001D0C1E"/>
    <w:rsid w:val="001D1009"/>
    <w:rsid w:val="001D12D0"/>
    <w:rsid w:val="001D12E8"/>
    <w:rsid w:val="001D14E1"/>
    <w:rsid w:val="001D14F2"/>
    <w:rsid w:val="001D1690"/>
    <w:rsid w:val="001D174F"/>
    <w:rsid w:val="001D1815"/>
    <w:rsid w:val="001D19B6"/>
    <w:rsid w:val="001D1C92"/>
    <w:rsid w:val="001D1EE2"/>
    <w:rsid w:val="001D2510"/>
    <w:rsid w:val="001D26A2"/>
    <w:rsid w:val="001D278C"/>
    <w:rsid w:val="001D27BC"/>
    <w:rsid w:val="001D2D52"/>
    <w:rsid w:val="001D2F6C"/>
    <w:rsid w:val="001D38FB"/>
    <w:rsid w:val="001D39CA"/>
    <w:rsid w:val="001D3AF9"/>
    <w:rsid w:val="001D3B53"/>
    <w:rsid w:val="001D4075"/>
    <w:rsid w:val="001D4719"/>
    <w:rsid w:val="001D4908"/>
    <w:rsid w:val="001D4C46"/>
    <w:rsid w:val="001D4C5E"/>
    <w:rsid w:val="001D50E3"/>
    <w:rsid w:val="001D5467"/>
    <w:rsid w:val="001D555B"/>
    <w:rsid w:val="001D577F"/>
    <w:rsid w:val="001D5C5B"/>
    <w:rsid w:val="001D5FA3"/>
    <w:rsid w:val="001D61A4"/>
    <w:rsid w:val="001D61E5"/>
    <w:rsid w:val="001D6991"/>
    <w:rsid w:val="001D6EF9"/>
    <w:rsid w:val="001D7480"/>
    <w:rsid w:val="001D74B4"/>
    <w:rsid w:val="001D76D5"/>
    <w:rsid w:val="001D7A8D"/>
    <w:rsid w:val="001E0191"/>
    <w:rsid w:val="001E03CE"/>
    <w:rsid w:val="001E0785"/>
    <w:rsid w:val="001E0874"/>
    <w:rsid w:val="001E09F5"/>
    <w:rsid w:val="001E0F75"/>
    <w:rsid w:val="001E1049"/>
    <w:rsid w:val="001E1057"/>
    <w:rsid w:val="001E13CE"/>
    <w:rsid w:val="001E1E41"/>
    <w:rsid w:val="001E2215"/>
    <w:rsid w:val="001E2553"/>
    <w:rsid w:val="001E30B9"/>
    <w:rsid w:val="001E37FA"/>
    <w:rsid w:val="001E3876"/>
    <w:rsid w:val="001E38B7"/>
    <w:rsid w:val="001E3D47"/>
    <w:rsid w:val="001E3E41"/>
    <w:rsid w:val="001E41F3"/>
    <w:rsid w:val="001E47F9"/>
    <w:rsid w:val="001E4CDF"/>
    <w:rsid w:val="001E4DFC"/>
    <w:rsid w:val="001E4FE1"/>
    <w:rsid w:val="001E53BE"/>
    <w:rsid w:val="001E55CE"/>
    <w:rsid w:val="001E5882"/>
    <w:rsid w:val="001E5A60"/>
    <w:rsid w:val="001E5A69"/>
    <w:rsid w:val="001E5B9D"/>
    <w:rsid w:val="001E5CF5"/>
    <w:rsid w:val="001E60F4"/>
    <w:rsid w:val="001E61EC"/>
    <w:rsid w:val="001E6993"/>
    <w:rsid w:val="001E6A70"/>
    <w:rsid w:val="001E6A7D"/>
    <w:rsid w:val="001E6BD5"/>
    <w:rsid w:val="001E6F24"/>
    <w:rsid w:val="001E6FFE"/>
    <w:rsid w:val="001E7068"/>
    <w:rsid w:val="001E7331"/>
    <w:rsid w:val="001E73A3"/>
    <w:rsid w:val="001E7413"/>
    <w:rsid w:val="001E749C"/>
    <w:rsid w:val="001E75C4"/>
    <w:rsid w:val="001E77AB"/>
    <w:rsid w:val="001E796C"/>
    <w:rsid w:val="001E7C1C"/>
    <w:rsid w:val="001F0097"/>
    <w:rsid w:val="001F0489"/>
    <w:rsid w:val="001F09A7"/>
    <w:rsid w:val="001F0BD1"/>
    <w:rsid w:val="001F1302"/>
    <w:rsid w:val="001F1567"/>
    <w:rsid w:val="001F1957"/>
    <w:rsid w:val="001F1C7B"/>
    <w:rsid w:val="001F2347"/>
    <w:rsid w:val="001F2918"/>
    <w:rsid w:val="001F297E"/>
    <w:rsid w:val="001F30BF"/>
    <w:rsid w:val="001F31DF"/>
    <w:rsid w:val="001F3736"/>
    <w:rsid w:val="001F376E"/>
    <w:rsid w:val="001F38CD"/>
    <w:rsid w:val="001F3EF8"/>
    <w:rsid w:val="001F4203"/>
    <w:rsid w:val="001F4531"/>
    <w:rsid w:val="001F462E"/>
    <w:rsid w:val="001F57BC"/>
    <w:rsid w:val="001F5BD6"/>
    <w:rsid w:val="001F609A"/>
    <w:rsid w:val="001F6CFC"/>
    <w:rsid w:val="001F6D14"/>
    <w:rsid w:val="001F6D1E"/>
    <w:rsid w:val="001F6FC1"/>
    <w:rsid w:val="001F7761"/>
    <w:rsid w:val="00200459"/>
    <w:rsid w:val="00200DA5"/>
    <w:rsid w:val="0020106E"/>
    <w:rsid w:val="002014F8"/>
    <w:rsid w:val="0020183C"/>
    <w:rsid w:val="00201A64"/>
    <w:rsid w:val="00201CE3"/>
    <w:rsid w:val="0020221D"/>
    <w:rsid w:val="0020247B"/>
    <w:rsid w:val="0020249B"/>
    <w:rsid w:val="00202686"/>
    <w:rsid w:val="002028C5"/>
    <w:rsid w:val="00202946"/>
    <w:rsid w:val="0020325A"/>
    <w:rsid w:val="002033D5"/>
    <w:rsid w:val="002035DF"/>
    <w:rsid w:val="00203687"/>
    <w:rsid w:val="002038C3"/>
    <w:rsid w:val="00203A0D"/>
    <w:rsid w:val="00203A71"/>
    <w:rsid w:val="00203C8D"/>
    <w:rsid w:val="002045E7"/>
    <w:rsid w:val="00204A64"/>
    <w:rsid w:val="002050F7"/>
    <w:rsid w:val="00205352"/>
    <w:rsid w:val="002054E3"/>
    <w:rsid w:val="00205679"/>
    <w:rsid w:val="00205C69"/>
    <w:rsid w:val="00205D03"/>
    <w:rsid w:val="002069C7"/>
    <w:rsid w:val="00206EBD"/>
    <w:rsid w:val="00206F3C"/>
    <w:rsid w:val="00207322"/>
    <w:rsid w:val="00207A34"/>
    <w:rsid w:val="00207B23"/>
    <w:rsid w:val="00207BD8"/>
    <w:rsid w:val="00207F5F"/>
    <w:rsid w:val="002103EC"/>
    <w:rsid w:val="0021058F"/>
    <w:rsid w:val="00210969"/>
    <w:rsid w:val="00210A1F"/>
    <w:rsid w:val="00210A6C"/>
    <w:rsid w:val="00210BF3"/>
    <w:rsid w:val="00210D09"/>
    <w:rsid w:val="0021147A"/>
    <w:rsid w:val="002116B9"/>
    <w:rsid w:val="00211A85"/>
    <w:rsid w:val="00211C2A"/>
    <w:rsid w:val="00211CEC"/>
    <w:rsid w:val="00211D95"/>
    <w:rsid w:val="002128FB"/>
    <w:rsid w:val="0021298A"/>
    <w:rsid w:val="00212A68"/>
    <w:rsid w:val="00212AF1"/>
    <w:rsid w:val="00213FAB"/>
    <w:rsid w:val="0021419D"/>
    <w:rsid w:val="00214F17"/>
    <w:rsid w:val="00214F2B"/>
    <w:rsid w:val="002152F9"/>
    <w:rsid w:val="00215423"/>
    <w:rsid w:val="00215846"/>
    <w:rsid w:val="00215E96"/>
    <w:rsid w:val="00215F89"/>
    <w:rsid w:val="00215FE2"/>
    <w:rsid w:val="002160F9"/>
    <w:rsid w:val="00216123"/>
    <w:rsid w:val="002170E2"/>
    <w:rsid w:val="00217507"/>
    <w:rsid w:val="002176E6"/>
    <w:rsid w:val="00217B25"/>
    <w:rsid w:val="00217F19"/>
    <w:rsid w:val="002200DB"/>
    <w:rsid w:val="002201B3"/>
    <w:rsid w:val="00220CF4"/>
    <w:rsid w:val="00220F04"/>
    <w:rsid w:val="0022138F"/>
    <w:rsid w:val="00221890"/>
    <w:rsid w:val="002219D1"/>
    <w:rsid w:val="00221D68"/>
    <w:rsid w:val="00222045"/>
    <w:rsid w:val="0022231B"/>
    <w:rsid w:val="00222DA7"/>
    <w:rsid w:val="0022331A"/>
    <w:rsid w:val="00223341"/>
    <w:rsid w:val="0022346F"/>
    <w:rsid w:val="00223CE8"/>
    <w:rsid w:val="002241A7"/>
    <w:rsid w:val="0022490C"/>
    <w:rsid w:val="00224AE8"/>
    <w:rsid w:val="00224B50"/>
    <w:rsid w:val="00224BCC"/>
    <w:rsid w:val="002250B0"/>
    <w:rsid w:val="00225168"/>
    <w:rsid w:val="002251FA"/>
    <w:rsid w:val="002252FC"/>
    <w:rsid w:val="00225B94"/>
    <w:rsid w:val="00225E72"/>
    <w:rsid w:val="00226170"/>
    <w:rsid w:val="00226CBA"/>
    <w:rsid w:val="00226D15"/>
    <w:rsid w:val="00226F73"/>
    <w:rsid w:val="00227150"/>
    <w:rsid w:val="002271EF"/>
    <w:rsid w:val="00227800"/>
    <w:rsid w:val="0022789E"/>
    <w:rsid w:val="00227AF2"/>
    <w:rsid w:val="0023043A"/>
    <w:rsid w:val="002306BE"/>
    <w:rsid w:val="00230862"/>
    <w:rsid w:val="0023097B"/>
    <w:rsid w:val="002309B9"/>
    <w:rsid w:val="00230ED6"/>
    <w:rsid w:val="0023145E"/>
    <w:rsid w:val="0023151B"/>
    <w:rsid w:val="0023172F"/>
    <w:rsid w:val="00231730"/>
    <w:rsid w:val="002323AA"/>
    <w:rsid w:val="0023281D"/>
    <w:rsid w:val="00232A29"/>
    <w:rsid w:val="00232B71"/>
    <w:rsid w:val="00232D03"/>
    <w:rsid w:val="00232F1B"/>
    <w:rsid w:val="002333B9"/>
    <w:rsid w:val="002336E8"/>
    <w:rsid w:val="002339A1"/>
    <w:rsid w:val="00233A9D"/>
    <w:rsid w:val="00233BC6"/>
    <w:rsid w:val="00234048"/>
    <w:rsid w:val="00234144"/>
    <w:rsid w:val="0023478F"/>
    <w:rsid w:val="002347C8"/>
    <w:rsid w:val="00234E58"/>
    <w:rsid w:val="0023540E"/>
    <w:rsid w:val="0023550D"/>
    <w:rsid w:val="002355D2"/>
    <w:rsid w:val="00235780"/>
    <w:rsid w:val="00235BD0"/>
    <w:rsid w:val="00235D3B"/>
    <w:rsid w:val="002360A9"/>
    <w:rsid w:val="002360E8"/>
    <w:rsid w:val="002361E7"/>
    <w:rsid w:val="002364FF"/>
    <w:rsid w:val="002365CD"/>
    <w:rsid w:val="00236991"/>
    <w:rsid w:val="00236B2A"/>
    <w:rsid w:val="00236ECC"/>
    <w:rsid w:val="002376B3"/>
    <w:rsid w:val="002377EE"/>
    <w:rsid w:val="00237A57"/>
    <w:rsid w:val="00237C96"/>
    <w:rsid w:val="00237DF1"/>
    <w:rsid w:val="00237E48"/>
    <w:rsid w:val="00240086"/>
    <w:rsid w:val="002403A5"/>
    <w:rsid w:val="00240E8D"/>
    <w:rsid w:val="00240EAA"/>
    <w:rsid w:val="00241C72"/>
    <w:rsid w:val="00242141"/>
    <w:rsid w:val="0024223E"/>
    <w:rsid w:val="0024227A"/>
    <w:rsid w:val="00242553"/>
    <w:rsid w:val="00242D55"/>
    <w:rsid w:val="002431A5"/>
    <w:rsid w:val="0024350E"/>
    <w:rsid w:val="00243BD3"/>
    <w:rsid w:val="00243D8B"/>
    <w:rsid w:val="0024449F"/>
    <w:rsid w:val="00244C3F"/>
    <w:rsid w:val="00244CAF"/>
    <w:rsid w:val="00244ED3"/>
    <w:rsid w:val="00244F7F"/>
    <w:rsid w:val="00245797"/>
    <w:rsid w:val="00245C90"/>
    <w:rsid w:val="0024601E"/>
    <w:rsid w:val="00246702"/>
    <w:rsid w:val="002468A0"/>
    <w:rsid w:val="00246BAE"/>
    <w:rsid w:val="0024705E"/>
    <w:rsid w:val="002474B6"/>
    <w:rsid w:val="002475F0"/>
    <w:rsid w:val="00247873"/>
    <w:rsid w:val="00247C87"/>
    <w:rsid w:val="00247CA5"/>
    <w:rsid w:val="00247D2A"/>
    <w:rsid w:val="00247E2F"/>
    <w:rsid w:val="002507B5"/>
    <w:rsid w:val="0025083B"/>
    <w:rsid w:val="00250928"/>
    <w:rsid w:val="00250A57"/>
    <w:rsid w:val="002513B2"/>
    <w:rsid w:val="00251C9E"/>
    <w:rsid w:val="00251D3E"/>
    <w:rsid w:val="00251D59"/>
    <w:rsid w:val="00251FA5"/>
    <w:rsid w:val="00252175"/>
    <w:rsid w:val="00252270"/>
    <w:rsid w:val="00252283"/>
    <w:rsid w:val="002524C0"/>
    <w:rsid w:val="0025254A"/>
    <w:rsid w:val="00252553"/>
    <w:rsid w:val="002529BB"/>
    <w:rsid w:val="0025319E"/>
    <w:rsid w:val="002539B4"/>
    <w:rsid w:val="00254215"/>
    <w:rsid w:val="002546CC"/>
    <w:rsid w:val="002548C7"/>
    <w:rsid w:val="00254C12"/>
    <w:rsid w:val="00254CB7"/>
    <w:rsid w:val="00255521"/>
    <w:rsid w:val="00255A8F"/>
    <w:rsid w:val="00255AF3"/>
    <w:rsid w:val="00255C8D"/>
    <w:rsid w:val="002569F7"/>
    <w:rsid w:val="00256B10"/>
    <w:rsid w:val="00256EDC"/>
    <w:rsid w:val="00256F26"/>
    <w:rsid w:val="00256FC2"/>
    <w:rsid w:val="00257218"/>
    <w:rsid w:val="00257392"/>
    <w:rsid w:val="0025746F"/>
    <w:rsid w:val="00257AB5"/>
    <w:rsid w:val="00257D9C"/>
    <w:rsid w:val="00257E5E"/>
    <w:rsid w:val="002600AD"/>
    <w:rsid w:val="00260362"/>
    <w:rsid w:val="00260B3D"/>
    <w:rsid w:val="002610BD"/>
    <w:rsid w:val="0026113D"/>
    <w:rsid w:val="00261207"/>
    <w:rsid w:val="00261259"/>
    <w:rsid w:val="002612F5"/>
    <w:rsid w:val="002618DD"/>
    <w:rsid w:val="002619B5"/>
    <w:rsid w:val="0026204F"/>
    <w:rsid w:val="00262128"/>
    <w:rsid w:val="002623A8"/>
    <w:rsid w:val="0026254F"/>
    <w:rsid w:val="002626CD"/>
    <w:rsid w:val="0026272B"/>
    <w:rsid w:val="002629EA"/>
    <w:rsid w:val="00262A36"/>
    <w:rsid w:val="00262C17"/>
    <w:rsid w:val="002631ED"/>
    <w:rsid w:val="00263360"/>
    <w:rsid w:val="002633A0"/>
    <w:rsid w:val="002634FC"/>
    <w:rsid w:val="00264002"/>
    <w:rsid w:val="00264154"/>
    <w:rsid w:val="0026415D"/>
    <w:rsid w:val="002647BA"/>
    <w:rsid w:val="002647F8"/>
    <w:rsid w:val="00264E22"/>
    <w:rsid w:val="00265049"/>
    <w:rsid w:val="0026586F"/>
    <w:rsid w:val="00265B54"/>
    <w:rsid w:val="00266ECD"/>
    <w:rsid w:val="002671E2"/>
    <w:rsid w:val="0026754C"/>
    <w:rsid w:val="00267769"/>
    <w:rsid w:val="00267782"/>
    <w:rsid w:val="0026791B"/>
    <w:rsid w:val="00267BBE"/>
    <w:rsid w:val="00267C7F"/>
    <w:rsid w:val="00271117"/>
    <w:rsid w:val="002724A7"/>
    <w:rsid w:val="0027263A"/>
    <w:rsid w:val="00272A95"/>
    <w:rsid w:val="00272B66"/>
    <w:rsid w:val="00272BAC"/>
    <w:rsid w:val="002730B6"/>
    <w:rsid w:val="002735E6"/>
    <w:rsid w:val="00273C39"/>
    <w:rsid w:val="00273D8D"/>
    <w:rsid w:val="00274265"/>
    <w:rsid w:val="00274727"/>
    <w:rsid w:val="0027486C"/>
    <w:rsid w:val="00274D02"/>
    <w:rsid w:val="002750F6"/>
    <w:rsid w:val="0027512E"/>
    <w:rsid w:val="0027557F"/>
    <w:rsid w:val="00275642"/>
    <w:rsid w:val="00275838"/>
    <w:rsid w:val="00275A6F"/>
    <w:rsid w:val="00275EF1"/>
    <w:rsid w:val="0027603F"/>
    <w:rsid w:val="002762A5"/>
    <w:rsid w:val="00276440"/>
    <w:rsid w:val="00276766"/>
    <w:rsid w:val="00276E00"/>
    <w:rsid w:val="00276ECA"/>
    <w:rsid w:val="00276EF8"/>
    <w:rsid w:val="00277232"/>
    <w:rsid w:val="002777FF"/>
    <w:rsid w:val="002778A1"/>
    <w:rsid w:val="00277B72"/>
    <w:rsid w:val="00277D4F"/>
    <w:rsid w:val="00277D93"/>
    <w:rsid w:val="00280495"/>
    <w:rsid w:val="00280564"/>
    <w:rsid w:val="00280633"/>
    <w:rsid w:val="00281561"/>
    <w:rsid w:val="00281844"/>
    <w:rsid w:val="00281AA8"/>
    <w:rsid w:val="00281D25"/>
    <w:rsid w:val="00281DEF"/>
    <w:rsid w:val="002825C6"/>
    <w:rsid w:val="002830C0"/>
    <w:rsid w:val="00283E23"/>
    <w:rsid w:val="00283FFF"/>
    <w:rsid w:val="00284037"/>
    <w:rsid w:val="002843EA"/>
    <w:rsid w:val="002844B5"/>
    <w:rsid w:val="00284A3D"/>
    <w:rsid w:val="00284B5B"/>
    <w:rsid w:val="002857ED"/>
    <w:rsid w:val="0028585E"/>
    <w:rsid w:val="00285958"/>
    <w:rsid w:val="00285B1E"/>
    <w:rsid w:val="00285B6A"/>
    <w:rsid w:val="00285CE2"/>
    <w:rsid w:val="002866EE"/>
    <w:rsid w:val="00286766"/>
    <w:rsid w:val="00286A73"/>
    <w:rsid w:val="00286D94"/>
    <w:rsid w:val="00286E92"/>
    <w:rsid w:val="0028719D"/>
    <w:rsid w:val="0028790C"/>
    <w:rsid w:val="002879B8"/>
    <w:rsid w:val="00287A1C"/>
    <w:rsid w:val="00287A80"/>
    <w:rsid w:val="00287CD6"/>
    <w:rsid w:val="00290200"/>
    <w:rsid w:val="0029071D"/>
    <w:rsid w:val="00290762"/>
    <w:rsid w:val="00290FA8"/>
    <w:rsid w:val="002915E5"/>
    <w:rsid w:val="00291F06"/>
    <w:rsid w:val="00292066"/>
    <w:rsid w:val="00292870"/>
    <w:rsid w:val="00292992"/>
    <w:rsid w:val="00292C5A"/>
    <w:rsid w:val="00293444"/>
    <w:rsid w:val="00293BA3"/>
    <w:rsid w:val="00293DC7"/>
    <w:rsid w:val="00294418"/>
    <w:rsid w:val="002950FD"/>
    <w:rsid w:val="0029512C"/>
    <w:rsid w:val="00295965"/>
    <w:rsid w:val="0029603F"/>
    <w:rsid w:val="00296064"/>
    <w:rsid w:val="00296090"/>
    <w:rsid w:val="0029617B"/>
    <w:rsid w:val="002968CA"/>
    <w:rsid w:val="00297023"/>
    <w:rsid w:val="00297520"/>
    <w:rsid w:val="00297847"/>
    <w:rsid w:val="002979DD"/>
    <w:rsid w:val="00297D30"/>
    <w:rsid w:val="00297D8D"/>
    <w:rsid w:val="00297ED8"/>
    <w:rsid w:val="002A000F"/>
    <w:rsid w:val="002A00C6"/>
    <w:rsid w:val="002A01E3"/>
    <w:rsid w:val="002A0883"/>
    <w:rsid w:val="002A0EDC"/>
    <w:rsid w:val="002A161D"/>
    <w:rsid w:val="002A1842"/>
    <w:rsid w:val="002A189B"/>
    <w:rsid w:val="002A1911"/>
    <w:rsid w:val="002A1B77"/>
    <w:rsid w:val="002A1BE0"/>
    <w:rsid w:val="002A1F7E"/>
    <w:rsid w:val="002A277B"/>
    <w:rsid w:val="002A27A8"/>
    <w:rsid w:val="002A2C9F"/>
    <w:rsid w:val="002A2D10"/>
    <w:rsid w:val="002A2DB3"/>
    <w:rsid w:val="002A2E75"/>
    <w:rsid w:val="002A2F1C"/>
    <w:rsid w:val="002A2FE0"/>
    <w:rsid w:val="002A3380"/>
    <w:rsid w:val="002A358F"/>
    <w:rsid w:val="002A39D0"/>
    <w:rsid w:val="002A3B13"/>
    <w:rsid w:val="002A3EC3"/>
    <w:rsid w:val="002A3EEC"/>
    <w:rsid w:val="002A4577"/>
    <w:rsid w:val="002A4664"/>
    <w:rsid w:val="002A49D2"/>
    <w:rsid w:val="002A55F3"/>
    <w:rsid w:val="002A5B0C"/>
    <w:rsid w:val="002A5C74"/>
    <w:rsid w:val="002A6024"/>
    <w:rsid w:val="002A6D16"/>
    <w:rsid w:val="002A745D"/>
    <w:rsid w:val="002A773B"/>
    <w:rsid w:val="002A7FC2"/>
    <w:rsid w:val="002B0329"/>
    <w:rsid w:val="002B08BB"/>
    <w:rsid w:val="002B0B87"/>
    <w:rsid w:val="002B104F"/>
    <w:rsid w:val="002B16B2"/>
    <w:rsid w:val="002B1EC8"/>
    <w:rsid w:val="002B22D0"/>
    <w:rsid w:val="002B24CC"/>
    <w:rsid w:val="002B2514"/>
    <w:rsid w:val="002B2580"/>
    <w:rsid w:val="002B2BC1"/>
    <w:rsid w:val="002B33DF"/>
    <w:rsid w:val="002B3720"/>
    <w:rsid w:val="002B45F1"/>
    <w:rsid w:val="002B4933"/>
    <w:rsid w:val="002B4A05"/>
    <w:rsid w:val="002B4A6B"/>
    <w:rsid w:val="002B4B0F"/>
    <w:rsid w:val="002B4E5D"/>
    <w:rsid w:val="002B4FE9"/>
    <w:rsid w:val="002B5160"/>
    <w:rsid w:val="002B5563"/>
    <w:rsid w:val="002B5846"/>
    <w:rsid w:val="002B5D1E"/>
    <w:rsid w:val="002B5D47"/>
    <w:rsid w:val="002B64A5"/>
    <w:rsid w:val="002B68E6"/>
    <w:rsid w:val="002B6963"/>
    <w:rsid w:val="002B69F9"/>
    <w:rsid w:val="002B6ED2"/>
    <w:rsid w:val="002B701C"/>
    <w:rsid w:val="002C00D2"/>
    <w:rsid w:val="002C00F5"/>
    <w:rsid w:val="002C1508"/>
    <w:rsid w:val="002C1E9F"/>
    <w:rsid w:val="002C2FBD"/>
    <w:rsid w:val="002C310B"/>
    <w:rsid w:val="002C3122"/>
    <w:rsid w:val="002C372D"/>
    <w:rsid w:val="002C376B"/>
    <w:rsid w:val="002C3D0D"/>
    <w:rsid w:val="002C3DF0"/>
    <w:rsid w:val="002C467D"/>
    <w:rsid w:val="002C4B31"/>
    <w:rsid w:val="002C4B5C"/>
    <w:rsid w:val="002C548E"/>
    <w:rsid w:val="002C55DE"/>
    <w:rsid w:val="002C56FB"/>
    <w:rsid w:val="002C5B21"/>
    <w:rsid w:val="002C5EFD"/>
    <w:rsid w:val="002C6089"/>
    <w:rsid w:val="002C631C"/>
    <w:rsid w:val="002C716B"/>
    <w:rsid w:val="002C7B78"/>
    <w:rsid w:val="002C7DC6"/>
    <w:rsid w:val="002D01D6"/>
    <w:rsid w:val="002D0202"/>
    <w:rsid w:val="002D0AF5"/>
    <w:rsid w:val="002D0D5B"/>
    <w:rsid w:val="002D10EB"/>
    <w:rsid w:val="002D12DD"/>
    <w:rsid w:val="002D138D"/>
    <w:rsid w:val="002D1755"/>
    <w:rsid w:val="002D17D0"/>
    <w:rsid w:val="002D1886"/>
    <w:rsid w:val="002D2416"/>
    <w:rsid w:val="002D3064"/>
    <w:rsid w:val="002D31E8"/>
    <w:rsid w:val="002D3557"/>
    <w:rsid w:val="002D3AE7"/>
    <w:rsid w:val="002D3DA5"/>
    <w:rsid w:val="002D3F48"/>
    <w:rsid w:val="002D4AF4"/>
    <w:rsid w:val="002D4C12"/>
    <w:rsid w:val="002D5328"/>
    <w:rsid w:val="002D562F"/>
    <w:rsid w:val="002D56D2"/>
    <w:rsid w:val="002D58FE"/>
    <w:rsid w:val="002D5CAF"/>
    <w:rsid w:val="002D5FFD"/>
    <w:rsid w:val="002D6638"/>
    <w:rsid w:val="002D6968"/>
    <w:rsid w:val="002D7582"/>
    <w:rsid w:val="002D7BE0"/>
    <w:rsid w:val="002D7F89"/>
    <w:rsid w:val="002E075D"/>
    <w:rsid w:val="002E0802"/>
    <w:rsid w:val="002E08BB"/>
    <w:rsid w:val="002E0A04"/>
    <w:rsid w:val="002E0E53"/>
    <w:rsid w:val="002E190B"/>
    <w:rsid w:val="002E1925"/>
    <w:rsid w:val="002E1BF2"/>
    <w:rsid w:val="002E1CD0"/>
    <w:rsid w:val="002E1DC7"/>
    <w:rsid w:val="002E1E82"/>
    <w:rsid w:val="002E2900"/>
    <w:rsid w:val="002E2971"/>
    <w:rsid w:val="002E2E28"/>
    <w:rsid w:val="002E31A4"/>
    <w:rsid w:val="002E3C3A"/>
    <w:rsid w:val="002E3EBA"/>
    <w:rsid w:val="002E3FCC"/>
    <w:rsid w:val="002E407D"/>
    <w:rsid w:val="002E410B"/>
    <w:rsid w:val="002E4198"/>
    <w:rsid w:val="002E43DE"/>
    <w:rsid w:val="002E462E"/>
    <w:rsid w:val="002E463D"/>
    <w:rsid w:val="002E4933"/>
    <w:rsid w:val="002E4A83"/>
    <w:rsid w:val="002E4D12"/>
    <w:rsid w:val="002E4F09"/>
    <w:rsid w:val="002E50C3"/>
    <w:rsid w:val="002E5182"/>
    <w:rsid w:val="002E532F"/>
    <w:rsid w:val="002E572A"/>
    <w:rsid w:val="002E58D9"/>
    <w:rsid w:val="002E59D2"/>
    <w:rsid w:val="002E5A36"/>
    <w:rsid w:val="002E5A5F"/>
    <w:rsid w:val="002E6168"/>
    <w:rsid w:val="002E63B0"/>
    <w:rsid w:val="002E6444"/>
    <w:rsid w:val="002E679E"/>
    <w:rsid w:val="002E682D"/>
    <w:rsid w:val="002E772F"/>
    <w:rsid w:val="002E7F34"/>
    <w:rsid w:val="002F0295"/>
    <w:rsid w:val="002F03F8"/>
    <w:rsid w:val="002F07A3"/>
    <w:rsid w:val="002F0940"/>
    <w:rsid w:val="002F0E4A"/>
    <w:rsid w:val="002F122B"/>
    <w:rsid w:val="002F144F"/>
    <w:rsid w:val="002F15B7"/>
    <w:rsid w:val="002F18E2"/>
    <w:rsid w:val="002F1ABA"/>
    <w:rsid w:val="002F2067"/>
    <w:rsid w:val="002F2144"/>
    <w:rsid w:val="002F2A82"/>
    <w:rsid w:val="002F335A"/>
    <w:rsid w:val="002F359E"/>
    <w:rsid w:val="002F3AC2"/>
    <w:rsid w:val="002F3EA5"/>
    <w:rsid w:val="002F3F75"/>
    <w:rsid w:val="002F4134"/>
    <w:rsid w:val="002F4AB3"/>
    <w:rsid w:val="002F4B23"/>
    <w:rsid w:val="002F4D94"/>
    <w:rsid w:val="002F4FA7"/>
    <w:rsid w:val="002F5016"/>
    <w:rsid w:val="002F56AA"/>
    <w:rsid w:val="002F56FE"/>
    <w:rsid w:val="002F5A8A"/>
    <w:rsid w:val="002F5B6A"/>
    <w:rsid w:val="002F5EAC"/>
    <w:rsid w:val="002F6396"/>
    <w:rsid w:val="002F6DF9"/>
    <w:rsid w:val="002F6FE7"/>
    <w:rsid w:val="002F7403"/>
    <w:rsid w:val="002F7591"/>
    <w:rsid w:val="002F79E4"/>
    <w:rsid w:val="002F7CF1"/>
    <w:rsid w:val="002F7F78"/>
    <w:rsid w:val="00300633"/>
    <w:rsid w:val="003006FC"/>
    <w:rsid w:val="00300936"/>
    <w:rsid w:val="00300A94"/>
    <w:rsid w:val="00300D9F"/>
    <w:rsid w:val="00301AAA"/>
    <w:rsid w:val="00301B89"/>
    <w:rsid w:val="00301C45"/>
    <w:rsid w:val="00301CB0"/>
    <w:rsid w:val="00302122"/>
    <w:rsid w:val="00302701"/>
    <w:rsid w:val="003032D1"/>
    <w:rsid w:val="003036B8"/>
    <w:rsid w:val="00303B05"/>
    <w:rsid w:val="00303B42"/>
    <w:rsid w:val="00303B6A"/>
    <w:rsid w:val="00303BC5"/>
    <w:rsid w:val="00304441"/>
    <w:rsid w:val="00304C9D"/>
    <w:rsid w:val="003056D6"/>
    <w:rsid w:val="00305BF0"/>
    <w:rsid w:val="00305CCC"/>
    <w:rsid w:val="00305E43"/>
    <w:rsid w:val="00305EC0"/>
    <w:rsid w:val="0030635C"/>
    <w:rsid w:val="00306531"/>
    <w:rsid w:val="00306DCB"/>
    <w:rsid w:val="003074FE"/>
    <w:rsid w:val="00307569"/>
    <w:rsid w:val="003075C9"/>
    <w:rsid w:val="003079C0"/>
    <w:rsid w:val="00307FAE"/>
    <w:rsid w:val="003101C6"/>
    <w:rsid w:val="00310E81"/>
    <w:rsid w:val="00311039"/>
    <w:rsid w:val="00311122"/>
    <w:rsid w:val="00311CDE"/>
    <w:rsid w:val="003120A0"/>
    <w:rsid w:val="003122AA"/>
    <w:rsid w:val="00312DAB"/>
    <w:rsid w:val="003131C7"/>
    <w:rsid w:val="00313307"/>
    <w:rsid w:val="003134BD"/>
    <w:rsid w:val="003138E3"/>
    <w:rsid w:val="003139EF"/>
    <w:rsid w:val="00313A30"/>
    <w:rsid w:val="00313D16"/>
    <w:rsid w:val="00313FAB"/>
    <w:rsid w:val="003143D6"/>
    <w:rsid w:val="00314975"/>
    <w:rsid w:val="00314A53"/>
    <w:rsid w:val="00314BCD"/>
    <w:rsid w:val="00315844"/>
    <w:rsid w:val="00315883"/>
    <w:rsid w:val="003158B9"/>
    <w:rsid w:val="00315A32"/>
    <w:rsid w:val="00315B4D"/>
    <w:rsid w:val="0031608E"/>
    <w:rsid w:val="0031679E"/>
    <w:rsid w:val="00316942"/>
    <w:rsid w:val="003169CB"/>
    <w:rsid w:val="00316E10"/>
    <w:rsid w:val="00316F72"/>
    <w:rsid w:val="00317983"/>
    <w:rsid w:val="0031798C"/>
    <w:rsid w:val="003179D9"/>
    <w:rsid w:val="00317B15"/>
    <w:rsid w:val="00320AAA"/>
    <w:rsid w:val="00320B01"/>
    <w:rsid w:val="0032133A"/>
    <w:rsid w:val="00321AD9"/>
    <w:rsid w:val="00321CA3"/>
    <w:rsid w:val="003226CB"/>
    <w:rsid w:val="0032358C"/>
    <w:rsid w:val="00323B50"/>
    <w:rsid w:val="00323C2A"/>
    <w:rsid w:val="00323C31"/>
    <w:rsid w:val="0032407F"/>
    <w:rsid w:val="00324135"/>
    <w:rsid w:val="003248E0"/>
    <w:rsid w:val="00324906"/>
    <w:rsid w:val="00324A36"/>
    <w:rsid w:val="00325029"/>
    <w:rsid w:val="003252FC"/>
    <w:rsid w:val="00325929"/>
    <w:rsid w:val="00325A6E"/>
    <w:rsid w:val="00325D33"/>
    <w:rsid w:val="003261C5"/>
    <w:rsid w:val="00326395"/>
    <w:rsid w:val="003265FA"/>
    <w:rsid w:val="003266F0"/>
    <w:rsid w:val="003269FF"/>
    <w:rsid w:val="00326B1F"/>
    <w:rsid w:val="00326F2E"/>
    <w:rsid w:val="00327385"/>
    <w:rsid w:val="003275B3"/>
    <w:rsid w:val="0032774F"/>
    <w:rsid w:val="00330262"/>
    <w:rsid w:val="00330322"/>
    <w:rsid w:val="0033067C"/>
    <w:rsid w:val="003309BB"/>
    <w:rsid w:val="00331026"/>
    <w:rsid w:val="00331AC8"/>
    <w:rsid w:val="003326A6"/>
    <w:rsid w:val="00332B93"/>
    <w:rsid w:val="00332C80"/>
    <w:rsid w:val="00332D5E"/>
    <w:rsid w:val="00332E6A"/>
    <w:rsid w:val="0033317F"/>
    <w:rsid w:val="00333532"/>
    <w:rsid w:val="00334132"/>
    <w:rsid w:val="003341A3"/>
    <w:rsid w:val="003347EA"/>
    <w:rsid w:val="00334AAB"/>
    <w:rsid w:val="00335316"/>
    <w:rsid w:val="0033535A"/>
    <w:rsid w:val="00335545"/>
    <w:rsid w:val="003355AD"/>
    <w:rsid w:val="003355B1"/>
    <w:rsid w:val="0033584E"/>
    <w:rsid w:val="00335A77"/>
    <w:rsid w:val="00335BC1"/>
    <w:rsid w:val="00336B2B"/>
    <w:rsid w:val="00337491"/>
    <w:rsid w:val="00337AB3"/>
    <w:rsid w:val="00337BFC"/>
    <w:rsid w:val="0034006A"/>
    <w:rsid w:val="0034027C"/>
    <w:rsid w:val="003406C3"/>
    <w:rsid w:val="0034097D"/>
    <w:rsid w:val="003409A4"/>
    <w:rsid w:val="00340A4E"/>
    <w:rsid w:val="00340C60"/>
    <w:rsid w:val="00340D4D"/>
    <w:rsid w:val="00340D73"/>
    <w:rsid w:val="00341080"/>
    <w:rsid w:val="00341814"/>
    <w:rsid w:val="00341A27"/>
    <w:rsid w:val="00341C4A"/>
    <w:rsid w:val="00341F5F"/>
    <w:rsid w:val="00342092"/>
    <w:rsid w:val="00342D90"/>
    <w:rsid w:val="00342E09"/>
    <w:rsid w:val="003430B7"/>
    <w:rsid w:val="00343773"/>
    <w:rsid w:val="00343930"/>
    <w:rsid w:val="00343C4C"/>
    <w:rsid w:val="00343EDC"/>
    <w:rsid w:val="00343F47"/>
    <w:rsid w:val="00344060"/>
    <w:rsid w:val="003445EB"/>
    <w:rsid w:val="003446EE"/>
    <w:rsid w:val="00344794"/>
    <w:rsid w:val="00345245"/>
    <w:rsid w:val="00345383"/>
    <w:rsid w:val="00345559"/>
    <w:rsid w:val="00346046"/>
    <w:rsid w:val="00346365"/>
    <w:rsid w:val="003463A2"/>
    <w:rsid w:val="00346560"/>
    <w:rsid w:val="00346716"/>
    <w:rsid w:val="00346817"/>
    <w:rsid w:val="00346851"/>
    <w:rsid w:val="00346997"/>
    <w:rsid w:val="003472DB"/>
    <w:rsid w:val="0034744C"/>
    <w:rsid w:val="00347462"/>
    <w:rsid w:val="00347723"/>
    <w:rsid w:val="0034794E"/>
    <w:rsid w:val="00347A2C"/>
    <w:rsid w:val="00347B58"/>
    <w:rsid w:val="00350646"/>
    <w:rsid w:val="003506B4"/>
    <w:rsid w:val="00350A70"/>
    <w:rsid w:val="00350FD7"/>
    <w:rsid w:val="003514A1"/>
    <w:rsid w:val="003514DE"/>
    <w:rsid w:val="00351981"/>
    <w:rsid w:val="00351B7B"/>
    <w:rsid w:val="00352348"/>
    <w:rsid w:val="003529FC"/>
    <w:rsid w:val="00352A39"/>
    <w:rsid w:val="00352B9B"/>
    <w:rsid w:val="00352E81"/>
    <w:rsid w:val="00353143"/>
    <w:rsid w:val="0035314D"/>
    <w:rsid w:val="003537D2"/>
    <w:rsid w:val="00353CBE"/>
    <w:rsid w:val="0035400C"/>
    <w:rsid w:val="00354AB8"/>
    <w:rsid w:val="0035547D"/>
    <w:rsid w:val="0035551F"/>
    <w:rsid w:val="00355768"/>
    <w:rsid w:val="00355A7D"/>
    <w:rsid w:val="00355BE1"/>
    <w:rsid w:val="00355D67"/>
    <w:rsid w:val="00356385"/>
    <w:rsid w:val="00356840"/>
    <w:rsid w:val="00357115"/>
    <w:rsid w:val="0035731F"/>
    <w:rsid w:val="00357515"/>
    <w:rsid w:val="003575F7"/>
    <w:rsid w:val="00357783"/>
    <w:rsid w:val="003577A0"/>
    <w:rsid w:val="003601BE"/>
    <w:rsid w:val="003609A1"/>
    <w:rsid w:val="00360AA5"/>
    <w:rsid w:val="00360B17"/>
    <w:rsid w:val="00361084"/>
    <w:rsid w:val="0036134C"/>
    <w:rsid w:val="003614C1"/>
    <w:rsid w:val="00361B67"/>
    <w:rsid w:val="00361DC2"/>
    <w:rsid w:val="00362AC5"/>
    <w:rsid w:val="00362CF4"/>
    <w:rsid w:val="00362E7D"/>
    <w:rsid w:val="003631B0"/>
    <w:rsid w:val="00363A0C"/>
    <w:rsid w:val="00363B79"/>
    <w:rsid w:val="00364322"/>
    <w:rsid w:val="003646C1"/>
    <w:rsid w:val="003648A7"/>
    <w:rsid w:val="00364A91"/>
    <w:rsid w:val="00364B94"/>
    <w:rsid w:val="00364D64"/>
    <w:rsid w:val="00365191"/>
    <w:rsid w:val="003653EC"/>
    <w:rsid w:val="00365FF9"/>
    <w:rsid w:val="003662FB"/>
    <w:rsid w:val="003665DD"/>
    <w:rsid w:val="003666AE"/>
    <w:rsid w:val="00366C70"/>
    <w:rsid w:val="003670EB"/>
    <w:rsid w:val="003672DA"/>
    <w:rsid w:val="00367336"/>
    <w:rsid w:val="003673C2"/>
    <w:rsid w:val="003674C7"/>
    <w:rsid w:val="003677F5"/>
    <w:rsid w:val="0036793B"/>
    <w:rsid w:val="00367CE6"/>
    <w:rsid w:val="00367E02"/>
    <w:rsid w:val="00367E3F"/>
    <w:rsid w:val="003705A8"/>
    <w:rsid w:val="00370AE4"/>
    <w:rsid w:val="00370FBA"/>
    <w:rsid w:val="00371012"/>
    <w:rsid w:val="00371062"/>
    <w:rsid w:val="003711AB"/>
    <w:rsid w:val="00371449"/>
    <w:rsid w:val="00371515"/>
    <w:rsid w:val="00371763"/>
    <w:rsid w:val="00371ABA"/>
    <w:rsid w:val="00371DA0"/>
    <w:rsid w:val="00371E96"/>
    <w:rsid w:val="00371FA1"/>
    <w:rsid w:val="00372016"/>
    <w:rsid w:val="00372330"/>
    <w:rsid w:val="003724DE"/>
    <w:rsid w:val="00372642"/>
    <w:rsid w:val="003728C6"/>
    <w:rsid w:val="00372952"/>
    <w:rsid w:val="00372C32"/>
    <w:rsid w:val="00372F42"/>
    <w:rsid w:val="003731D2"/>
    <w:rsid w:val="003735B0"/>
    <w:rsid w:val="00373A6F"/>
    <w:rsid w:val="00373C0C"/>
    <w:rsid w:val="00373DE0"/>
    <w:rsid w:val="003745B7"/>
    <w:rsid w:val="003747FB"/>
    <w:rsid w:val="00374902"/>
    <w:rsid w:val="0037515F"/>
    <w:rsid w:val="00375C20"/>
    <w:rsid w:val="00375FD2"/>
    <w:rsid w:val="00376268"/>
    <w:rsid w:val="00376B2E"/>
    <w:rsid w:val="00377F8D"/>
    <w:rsid w:val="003803D3"/>
    <w:rsid w:val="00380464"/>
    <w:rsid w:val="003804A9"/>
    <w:rsid w:val="00381272"/>
    <w:rsid w:val="003813D8"/>
    <w:rsid w:val="00381430"/>
    <w:rsid w:val="00381AA5"/>
    <w:rsid w:val="00381C3F"/>
    <w:rsid w:val="003821F9"/>
    <w:rsid w:val="003823C5"/>
    <w:rsid w:val="003826C5"/>
    <w:rsid w:val="00382894"/>
    <w:rsid w:val="00382948"/>
    <w:rsid w:val="00382DA5"/>
    <w:rsid w:val="00382FAB"/>
    <w:rsid w:val="0038338E"/>
    <w:rsid w:val="003836F9"/>
    <w:rsid w:val="003837F0"/>
    <w:rsid w:val="00383ADC"/>
    <w:rsid w:val="0038419C"/>
    <w:rsid w:val="0038429A"/>
    <w:rsid w:val="0038436E"/>
    <w:rsid w:val="0038464D"/>
    <w:rsid w:val="00384831"/>
    <w:rsid w:val="003849F5"/>
    <w:rsid w:val="00384A27"/>
    <w:rsid w:val="00384BC8"/>
    <w:rsid w:val="003853EE"/>
    <w:rsid w:val="00385745"/>
    <w:rsid w:val="00385E52"/>
    <w:rsid w:val="003867A3"/>
    <w:rsid w:val="00386987"/>
    <w:rsid w:val="00386A25"/>
    <w:rsid w:val="00386A9C"/>
    <w:rsid w:val="00386B79"/>
    <w:rsid w:val="00386B8E"/>
    <w:rsid w:val="00386EE5"/>
    <w:rsid w:val="00387227"/>
    <w:rsid w:val="00387259"/>
    <w:rsid w:val="00387394"/>
    <w:rsid w:val="003873C8"/>
    <w:rsid w:val="003873F0"/>
    <w:rsid w:val="0038793E"/>
    <w:rsid w:val="00387D72"/>
    <w:rsid w:val="00387E65"/>
    <w:rsid w:val="003902B8"/>
    <w:rsid w:val="0039042B"/>
    <w:rsid w:val="0039059D"/>
    <w:rsid w:val="00390605"/>
    <w:rsid w:val="00390A14"/>
    <w:rsid w:val="003910EB"/>
    <w:rsid w:val="00391791"/>
    <w:rsid w:val="00391892"/>
    <w:rsid w:val="003919E3"/>
    <w:rsid w:val="00391AB3"/>
    <w:rsid w:val="00392668"/>
    <w:rsid w:val="003927F7"/>
    <w:rsid w:val="00392AC2"/>
    <w:rsid w:val="00392BA7"/>
    <w:rsid w:val="00392FA4"/>
    <w:rsid w:val="003932F7"/>
    <w:rsid w:val="003934C7"/>
    <w:rsid w:val="00393B67"/>
    <w:rsid w:val="00393CCA"/>
    <w:rsid w:val="00393EED"/>
    <w:rsid w:val="00394D28"/>
    <w:rsid w:val="00394FFF"/>
    <w:rsid w:val="00395BFC"/>
    <w:rsid w:val="00395C84"/>
    <w:rsid w:val="00395F1F"/>
    <w:rsid w:val="00396328"/>
    <w:rsid w:val="003963D2"/>
    <w:rsid w:val="003964EE"/>
    <w:rsid w:val="00396691"/>
    <w:rsid w:val="00396CDB"/>
    <w:rsid w:val="003971E7"/>
    <w:rsid w:val="00397845"/>
    <w:rsid w:val="00397BDB"/>
    <w:rsid w:val="00397BED"/>
    <w:rsid w:val="003A0063"/>
    <w:rsid w:val="003A03E8"/>
    <w:rsid w:val="003A0669"/>
    <w:rsid w:val="003A06BD"/>
    <w:rsid w:val="003A08BA"/>
    <w:rsid w:val="003A08CC"/>
    <w:rsid w:val="003A08E1"/>
    <w:rsid w:val="003A0905"/>
    <w:rsid w:val="003A0C7B"/>
    <w:rsid w:val="003A1025"/>
    <w:rsid w:val="003A1412"/>
    <w:rsid w:val="003A15DC"/>
    <w:rsid w:val="003A1B5C"/>
    <w:rsid w:val="003A207C"/>
    <w:rsid w:val="003A20A5"/>
    <w:rsid w:val="003A21EC"/>
    <w:rsid w:val="003A221B"/>
    <w:rsid w:val="003A22D2"/>
    <w:rsid w:val="003A2593"/>
    <w:rsid w:val="003A2863"/>
    <w:rsid w:val="003A2B93"/>
    <w:rsid w:val="003A2E0E"/>
    <w:rsid w:val="003A3921"/>
    <w:rsid w:val="003A4403"/>
    <w:rsid w:val="003A4482"/>
    <w:rsid w:val="003A450A"/>
    <w:rsid w:val="003A4800"/>
    <w:rsid w:val="003A4867"/>
    <w:rsid w:val="003A5075"/>
    <w:rsid w:val="003A54DC"/>
    <w:rsid w:val="003A5DF5"/>
    <w:rsid w:val="003A652D"/>
    <w:rsid w:val="003A6E9A"/>
    <w:rsid w:val="003A6EE3"/>
    <w:rsid w:val="003A7337"/>
    <w:rsid w:val="003A76CC"/>
    <w:rsid w:val="003A79A1"/>
    <w:rsid w:val="003A7F1B"/>
    <w:rsid w:val="003A7FC3"/>
    <w:rsid w:val="003A7FE8"/>
    <w:rsid w:val="003B06AA"/>
    <w:rsid w:val="003B06F4"/>
    <w:rsid w:val="003B1041"/>
    <w:rsid w:val="003B1747"/>
    <w:rsid w:val="003B1CF5"/>
    <w:rsid w:val="003B1E8F"/>
    <w:rsid w:val="003B203F"/>
    <w:rsid w:val="003B270D"/>
    <w:rsid w:val="003B284D"/>
    <w:rsid w:val="003B2C3F"/>
    <w:rsid w:val="003B3358"/>
    <w:rsid w:val="003B3C7B"/>
    <w:rsid w:val="003B3FDD"/>
    <w:rsid w:val="003B47B4"/>
    <w:rsid w:val="003B4817"/>
    <w:rsid w:val="003B48EC"/>
    <w:rsid w:val="003B49D0"/>
    <w:rsid w:val="003B5660"/>
    <w:rsid w:val="003B5741"/>
    <w:rsid w:val="003B589D"/>
    <w:rsid w:val="003B5B75"/>
    <w:rsid w:val="003B5C82"/>
    <w:rsid w:val="003B5C84"/>
    <w:rsid w:val="003B5CC7"/>
    <w:rsid w:val="003B5D3D"/>
    <w:rsid w:val="003B67D5"/>
    <w:rsid w:val="003B6CDD"/>
    <w:rsid w:val="003B6F09"/>
    <w:rsid w:val="003B7694"/>
    <w:rsid w:val="003B7828"/>
    <w:rsid w:val="003B7848"/>
    <w:rsid w:val="003B7968"/>
    <w:rsid w:val="003B7999"/>
    <w:rsid w:val="003B7A00"/>
    <w:rsid w:val="003B7AC6"/>
    <w:rsid w:val="003B7E73"/>
    <w:rsid w:val="003C00C0"/>
    <w:rsid w:val="003C01E3"/>
    <w:rsid w:val="003C04CD"/>
    <w:rsid w:val="003C08BD"/>
    <w:rsid w:val="003C0A66"/>
    <w:rsid w:val="003C0AC0"/>
    <w:rsid w:val="003C0DD2"/>
    <w:rsid w:val="003C0E96"/>
    <w:rsid w:val="003C0E9E"/>
    <w:rsid w:val="003C0F0D"/>
    <w:rsid w:val="003C152A"/>
    <w:rsid w:val="003C1E43"/>
    <w:rsid w:val="003C2010"/>
    <w:rsid w:val="003C2428"/>
    <w:rsid w:val="003C2440"/>
    <w:rsid w:val="003C2C98"/>
    <w:rsid w:val="003C3686"/>
    <w:rsid w:val="003C37FE"/>
    <w:rsid w:val="003C392C"/>
    <w:rsid w:val="003C39C2"/>
    <w:rsid w:val="003C3B67"/>
    <w:rsid w:val="003C3F77"/>
    <w:rsid w:val="003C3FA6"/>
    <w:rsid w:val="003C41E1"/>
    <w:rsid w:val="003C435C"/>
    <w:rsid w:val="003C43D6"/>
    <w:rsid w:val="003C4C7D"/>
    <w:rsid w:val="003C4CB3"/>
    <w:rsid w:val="003C553E"/>
    <w:rsid w:val="003C5697"/>
    <w:rsid w:val="003C5DB9"/>
    <w:rsid w:val="003C5F61"/>
    <w:rsid w:val="003C6117"/>
    <w:rsid w:val="003C6253"/>
    <w:rsid w:val="003C6479"/>
    <w:rsid w:val="003C694E"/>
    <w:rsid w:val="003C6E65"/>
    <w:rsid w:val="003C6F8A"/>
    <w:rsid w:val="003C7A7C"/>
    <w:rsid w:val="003C7BCB"/>
    <w:rsid w:val="003D001D"/>
    <w:rsid w:val="003D00BA"/>
    <w:rsid w:val="003D120D"/>
    <w:rsid w:val="003D1425"/>
    <w:rsid w:val="003D149B"/>
    <w:rsid w:val="003D1564"/>
    <w:rsid w:val="003D17CD"/>
    <w:rsid w:val="003D1FD3"/>
    <w:rsid w:val="003D226E"/>
    <w:rsid w:val="003D24D6"/>
    <w:rsid w:val="003D2698"/>
    <w:rsid w:val="003D2757"/>
    <w:rsid w:val="003D2B81"/>
    <w:rsid w:val="003D31C1"/>
    <w:rsid w:val="003D3B55"/>
    <w:rsid w:val="003D3FC6"/>
    <w:rsid w:val="003D40A1"/>
    <w:rsid w:val="003D42C7"/>
    <w:rsid w:val="003D46E0"/>
    <w:rsid w:val="003D489A"/>
    <w:rsid w:val="003D4AD7"/>
    <w:rsid w:val="003D4F06"/>
    <w:rsid w:val="003D611F"/>
    <w:rsid w:val="003D69A5"/>
    <w:rsid w:val="003D7BFF"/>
    <w:rsid w:val="003E0395"/>
    <w:rsid w:val="003E081A"/>
    <w:rsid w:val="003E0BD9"/>
    <w:rsid w:val="003E1015"/>
    <w:rsid w:val="003E1AC9"/>
    <w:rsid w:val="003E1B8F"/>
    <w:rsid w:val="003E2F40"/>
    <w:rsid w:val="003E3AD2"/>
    <w:rsid w:val="003E3C42"/>
    <w:rsid w:val="003E400A"/>
    <w:rsid w:val="003E40C9"/>
    <w:rsid w:val="003E46EA"/>
    <w:rsid w:val="003E4DBC"/>
    <w:rsid w:val="003E4F6B"/>
    <w:rsid w:val="003E509B"/>
    <w:rsid w:val="003E511E"/>
    <w:rsid w:val="003E54DE"/>
    <w:rsid w:val="003E5639"/>
    <w:rsid w:val="003E5644"/>
    <w:rsid w:val="003E62E2"/>
    <w:rsid w:val="003E662F"/>
    <w:rsid w:val="003E674F"/>
    <w:rsid w:val="003E6966"/>
    <w:rsid w:val="003E7071"/>
    <w:rsid w:val="003E75A5"/>
    <w:rsid w:val="003E7AE9"/>
    <w:rsid w:val="003E7F8C"/>
    <w:rsid w:val="003F01ED"/>
    <w:rsid w:val="003F030D"/>
    <w:rsid w:val="003F0481"/>
    <w:rsid w:val="003F0564"/>
    <w:rsid w:val="003F06F7"/>
    <w:rsid w:val="003F07CD"/>
    <w:rsid w:val="003F0AA9"/>
    <w:rsid w:val="003F11EB"/>
    <w:rsid w:val="003F1AB6"/>
    <w:rsid w:val="003F1D97"/>
    <w:rsid w:val="003F1E5C"/>
    <w:rsid w:val="003F208B"/>
    <w:rsid w:val="003F288D"/>
    <w:rsid w:val="003F2E23"/>
    <w:rsid w:val="003F3490"/>
    <w:rsid w:val="003F34AA"/>
    <w:rsid w:val="003F40CC"/>
    <w:rsid w:val="003F432E"/>
    <w:rsid w:val="003F47CB"/>
    <w:rsid w:val="003F4818"/>
    <w:rsid w:val="003F4D08"/>
    <w:rsid w:val="003F51B4"/>
    <w:rsid w:val="003F5884"/>
    <w:rsid w:val="003F5A0D"/>
    <w:rsid w:val="003F5C91"/>
    <w:rsid w:val="003F6278"/>
    <w:rsid w:val="003F62A1"/>
    <w:rsid w:val="003F6480"/>
    <w:rsid w:val="003F648E"/>
    <w:rsid w:val="003F677A"/>
    <w:rsid w:val="003F6A42"/>
    <w:rsid w:val="003F6A71"/>
    <w:rsid w:val="003F6ED7"/>
    <w:rsid w:val="003F75E6"/>
    <w:rsid w:val="003F7A43"/>
    <w:rsid w:val="003F7AD5"/>
    <w:rsid w:val="003F7B06"/>
    <w:rsid w:val="003F7ED7"/>
    <w:rsid w:val="003F7F9E"/>
    <w:rsid w:val="0040000F"/>
    <w:rsid w:val="004001A0"/>
    <w:rsid w:val="004009E8"/>
    <w:rsid w:val="004012EB"/>
    <w:rsid w:val="00401382"/>
    <w:rsid w:val="00401459"/>
    <w:rsid w:val="00401625"/>
    <w:rsid w:val="00401717"/>
    <w:rsid w:val="0040189B"/>
    <w:rsid w:val="0040190E"/>
    <w:rsid w:val="00401EFC"/>
    <w:rsid w:val="004022FE"/>
    <w:rsid w:val="00402339"/>
    <w:rsid w:val="004023B7"/>
    <w:rsid w:val="004026D0"/>
    <w:rsid w:val="0040294E"/>
    <w:rsid w:val="00402A04"/>
    <w:rsid w:val="00402BDF"/>
    <w:rsid w:val="00402C19"/>
    <w:rsid w:val="00402DF1"/>
    <w:rsid w:val="0040317F"/>
    <w:rsid w:val="004032B8"/>
    <w:rsid w:val="00403A86"/>
    <w:rsid w:val="00403B31"/>
    <w:rsid w:val="00403BAF"/>
    <w:rsid w:val="00403DD8"/>
    <w:rsid w:val="00404826"/>
    <w:rsid w:val="00404B7E"/>
    <w:rsid w:val="00404C2F"/>
    <w:rsid w:val="00404E09"/>
    <w:rsid w:val="00404F21"/>
    <w:rsid w:val="004056A3"/>
    <w:rsid w:val="004057F3"/>
    <w:rsid w:val="004064D0"/>
    <w:rsid w:val="00406543"/>
    <w:rsid w:val="004072A4"/>
    <w:rsid w:val="0040731D"/>
    <w:rsid w:val="004075B4"/>
    <w:rsid w:val="00407760"/>
    <w:rsid w:val="00407B3A"/>
    <w:rsid w:val="00410028"/>
    <w:rsid w:val="00410935"/>
    <w:rsid w:val="00411104"/>
    <w:rsid w:val="004116F7"/>
    <w:rsid w:val="00411854"/>
    <w:rsid w:val="00411875"/>
    <w:rsid w:val="00411E82"/>
    <w:rsid w:val="004123BC"/>
    <w:rsid w:val="004128F7"/>
    <w:rsid w:val="00412ABE"/>
    <w:rsid w:val="00412B69"/>
    <w:rsid w:val="00412D13"/>
    <w:rsid w:val="00412D16"/>
    <w:rsid w:val="00412E81"/>
    <w:rsid w:val="00413467"/>
    <w:rsid w:val="00413566"/>
    <w:rsid w:val="00413CEF"/>
    <w:rsid w:val="00413F0A"/>
    <w:rsid w:val="00414041"/>
    <w:rsid w:val="00414390"/>
    <w:rsid w:val="00414526"/>
    <w:rsid w:val="004149BE"/>
    <w:rsid w:val="00414BB1"/>
    <w:rsid w:val="00414EEC"/>
    <w:rsid w:val="004153FD"/>
    <w:rsid w:val="0041566B"/>
    <w:rsid w:val="0041597E"/>
    <w:rsid w:val="00415B54"/>
    <w:rsid w:val="00415C83"/>
    <w:rsid w:val="004166FF"/>
    <w:rsid w:val="00416899"/>
    <w:rsid w:val="00416E1A"/>
    <w:rsid w:val="0041702C"/>
    <w:rsid w:val="0041720E"/>
    <w:rsid w:val="0041722F"/>
    <w:rsid w:val="00417C9F"/>
    <w:rsid w:val="0042031D"/>
    <w:rsid w:val="004209BD"/>
    <w:rsid w:val="00420A99"/>
    <w:rsid w:val="00420E4B"/>
    <w:rsid w:val="00420F23"/>
    <w:rsid w:val="00421688"/>
    <w:rsid w:val="0042194A"/>
    <w:rsid w:val="00422623"/>
    <w:rsid w:val="0042274F"/>
    <w:rsid w:val="0042291E"/>
    <w:rsid w:val="00422D7A"/>
    <w:rsid w:val="004235BE"/>
    <w:rsid w:val="00423956"/>
    <w:rsid w:val="00423B2D"/>
    <w:rsid w:val="00423C24"/>
    <w:rsid w:val="00424047"/>
    <w:rsid w:val="0042406B"/>
    <w:rsid w:val="00424601"/>
    <w:rsid w:val="00424733"/>
    <w:rsid w:val="0042502E"/>
    <w:rsid w:val="004255AA"/>
    <w:rsid w:val="00425701"/>
    <w:rsid w:val="00425854"/>
    <w:rsid w:val="00425869"/>
    <w:rsid w:val="00425F57"/>
    <w:rsid w:val="00426410"/>
    <w:rsid w:val="00426932"/>
    <w:rsid w:val="00426D06"/>
    <w:rsid w:val="00426D41"/>
    <w:rsid w:val="00426F95"/>
    <w:rsid w:val="00427023"/>
    <w:rsid w:val="004271DE"/>
    <w:rsid w:val="00427742"/>
    <w:rsid w:val="00427AC4"/>
    <w:rsid w:val="00427BB9"/>
    <w:rsid w:val="00427E6D"/>
    <w:rsid w:val="0043052B"/>
    <w:rsid w:val="004305B0"/>
    <w:rsid w:val="00430CB9"/>
    <w:rsid w:val="00430EBF"/>
    <w:rsid w:val="00430F63"/>
    <w:rsid w:val="004313AD"/>
    <w:rsid w:val="004314D9"/>
    <w:rsid w:val="004317D3"/>
    <w:rsid w:val="004319B7"/>
    <w:rsid w:val="00431B59"/>
    <w:rsid w:val="00431BFA"/>
    <w:rsid w:val="004327F1"/>
    <w:rsid w:val="00432929"/>
    <w:rsid w:val="00432A83"/>
    <w:rsid w:val="00433195"/>
    <w:rsid w:val="00433D93"/>
    <w:rsid w:val="00433E01"/>
    <w:rsid w:val="004344F1"/>
    <w:rsid w:val="00434887"/>
    <w:rsid w:val="00435040"/>
    <w:rsid w:val="004355FD"/>
    <w:rsid w:val="00435951"/>
    <w:rsid w:val="00435AE9"/>
    <w:rsid w:val="00435E88"/>
    <w:rsid w:val="00436125"/>
    <w:rsid w:val="004361A1"/>
    <w:rsid w:val="004362DF"/>
    <w:rsid w:val="0043633B"/>
    <w:rsid w:val="00436343"/>
    <w:rsid w:val="0043786A"/>
    <w:rsid w:val="00437AB9"/>
    <w:rsid w:val="00437C5C"/>
    <w:rsid w:val="00440137"/>
    <w:rsid w:val="0044015C"/>
    <w:rsid w:val="00440906"/>
    <w:rsid w:val="004417EA"/>
    <w:rsid w:val="00441B24"/>
    <w:rsid w:val="00442220"/>
    <w:rsid w:val="004424B4"/>
    <w:rsid w:val="004427B1"/>
    <w:rsid w:val="00442DBF"/>
    <w:rsid w:val="0044310C"/>
    <w:rsid w:val="0044326B"/>
    <w:rsid w:val="004434B0"/>
    <w:rsid w:val="004435CE"/>
    <w:rsid w:val="00443D6F"/>
    <w:rsid w:val="00443F38"/>
    <w:rsid w:val="00443FB7"/>
    <w:rsid w:val="0044461B"/>
    <w:rsid w:val="00444DB9"/>
    <w:rsid w:val="00444DED"/>
    <w:rsid w:val="00445742"/>
    <w:rsid w:val="00445BA0"/>
    <w:rsid w:val="00445C0D"/>
    <w:rsid w:val="0044605B"/>
    <w:rsid w:val="0044620A"/>
    <w:rsid w:val="004463E8"/>
    <w:rsid w:val="00446554"/>
    <w:rsid w:val="004465EC"/>
    <w:rsid w:val="0044679C"/>
    <w:rsid w:val="004467BB"/>
    <w:rsid w:val="00446CB0"/>
    <w:rsid w:val="00447012"/>
    <w:rsid w:val="00447092"/>
    <w:rsid w:val="0044746B"/>
    <w:rsid w:val="004476F3"/>
    <w:rsid w:val="00447873"/>
    <w:rsid w:val="00447F0E"/>
    <w:rsid w:val="00447F3F"/>
    <w:rsid w:val="0045078F"/>
    <w:rsid w:val="004508B7"/>
    <w:rsid w:val="004513C4"/>
    <w:rsid w:val="004517D3"/>
    <w:rsid w:val="004518E4"/>
    <w:rsid w:val="00451A5F"/>
    <w:rsid w:val="00452040"/>
    <w:rsid w:val="00452137"/>
    <w:rsid w:val="00452D03"/>
    <w:rsid w:val="00453043"/>
    <w:rsid w:val="00453093"/>
    <w:rsid w:val="0045341F"/>
    <w:rsid w:val="00453496"/>
    <w:rsid w:val="00453824"/>
    <w:rsid w:val="00453C6E"/>
    <w:rsid w:val="00454A63"/>
    <w:rsid w:val="00454A9E"/>
    <w:rsid w:val="00454B83"/>
    <w:rsid w:val="00454D12"/>
    <w:rsid w:val="004550FA"/>
    <w:rsid w:val="004555D8"/>
    <w:rsid w:val="0045582B"/>
    <w:rsid w:val="00455DF8"/>
    <w:rsid w:val="00456340"/>
    <w:rsid w:val="00456A8E"/>
    <w:rsid w:val="00457227"/>
    <w:rsid w:val="00457233"/>
    <w:rsid w:val="00457861"/>
    <w:rsid w:val="00457C31"/>
    <w:rsid w:val="00457D18"/>
    <w:rsid w:val="0046003B"/>
    <w:rsid w:val="00460419"/>
    <w:rsid w:val="00460517"/>
    <w:rsid w:val="004607C8"/>
    <w:rsid w:val="0046082B"/>
    <w:rsid w:val="0046084D"/>
    <w:rsid w:val="00460B41"/>
    <w:rsid w:val="00461ED4"/>
    <w:rsid w:val="0046205D"/>
    <w:rsid w:val="00462976"/>
    <w:rsid w:val="004629D8"/>
    <w:rsid w:val="00462A6E"/>
    <w:rsid w:val="00462AAB"/>
    <w:rsid w:val="004632DE"/>
    <w:rsid w:val="0046333F"/>
    <w:rsid w:val="0046344C"/>
    <w:rsid w:val="004636B4"/>
    <w:rsid w:val="00463824"/>
    <w:rsid w:val="00463900"/>
    <w:rsid w:val="00463AD3"/>
    <w:rsid w:val="00463C03"/>
    <w:rsid w:val="00463D73"/>
    <w:rsid w:val="0046415F"/>
    <w:rsid w:val="00464375"/>
    <w:rsid w:val="0046438D"/>
    <w:rsid w:val="004648C7"/>
    <w:rsid w:val="00464F33"/>
    <w:rsid w:val="00464FD5"/>
    <w:rsid w:val="0046558D"/>
    <w:rsid w:val="00466128"/>
    <w:rsid w:val="00466C06"/>
    <w:rsid w:val="00466D0A"/>
    <w:rsid w:val="00466F09"/>
    <w:rsid w:val="00466FB4"/>
    <w:rsid w:val="004670DE"/>
    <w:rsid w:val="004671F2"/>
    <w:rsid w:val="00467546"/>
    <w:rsid w:val="004676A3"/>
    <w:rsid w:val="004678EF"/>
    <w:rsid w:val="004679D0"/>
    <w:rsid w:val="0047007B"/>
    <w:rsid w:val="00470EAF"/>
    <w:rsid w:val="004711B2"/>
    <w:rsid w:val="00471334"/>
    <w:rsid w:val="00471742"/>
    <w:rsid w:val="00471EAC"/>
    <w:rsid w:val="00472493"/>
    <w:rsid w:val="004725AE"/>
    <w:rsid w:val="0047287B"/>
    <w:rsid w:val="00472B3E"/>
    <w:rsid w:val="004732F0"/>
    <w:rsid w:val="0047361B"/>
    <w:rsid w:val="004739BF"/>
    <w:rsid w:val="00473B00"/>
    <w:rsid w:val="00473BF1"/>
    <w:rsid w:val="00474365"/>
    <w:rsid w:val="00474374"/>
    <w:rsid w:val="0047463A"/>
    <w:rsid w:val="004747AB"/>
    <w:rsid w:val="0047494B"/>
    <w:rsid w:val="00474ABB"/>
    <w:rsid w:val="00475129"/>
    <w:rsid w:val="00475388"/>
    <w:rsid w:val="004756EC"/>
    <w:rsid w:val="004760CC"/>
    <w:rsid w:val="0047628B"/>
    <w:rsid w:val="00476657"/>
    <w:rsid w:val="00476715"/>
    <w:rsid w:val="00476FEF"/>
    <w:rsid w:val="00477137"/>
    <w:rsid w:val="0047741B"/>
    <w:rsid w:val="0047797C"/>
    <w:rsid w:val="00477999"/>
    <w:rsid w:val="00480118"/>
    <w:rsid w:val="004802FF"/>
    <w:rsid w:val="00480436"/>
    <w:rsid w:val="0048059B"/>
    <w:rsid w:val="00480E9D"/>
    <w:rsid w:val="0048119B"/>
    <w:rsid w:val="0048122B"/>
    <w:rsid w:val="00481428"/>
    <w:rsid w:val="004814E0"/>
    <w:rsid w:val="00481653"/>
    <w:rsid w:val="004817DD"/>
    <w:rsid w:val="00481B20"/>
    <w:rsid w:val="00481B70"/>
    <w:rsid w:val="00482087"/>
    <w:rsid w:val="004820E9"/>
    <w:rsid w:val="00482750"/>
    <w:rsid w:val="00483145"/>
    <w:rsid w:val="00483151"/>
    <w:rsid w:val="004835D8"/>
    <w:rsid w:val="0048396B"/>
    <w:rsid w:val="004847F8"/>
    <w:rsid w:val="004849EC"/>
    <w:rsid w:val="00484C12"/>
    <w:rsid w:val="00484E46"/>
    <w:rsid w:val="004853FB"/>
    <w:rsid w:val="00485433"/>
    <w:rsid w:val="004854B1"/>
    <w:rsid w:val="0048596B"/>
    <w:rsid w:val="00485AB4"/>
    <w:rsid w:val="00485B55"/>
    <w:rsid w:val="00485CD6"/>
    <w:rsid w:val="00485F50"/>
    <w:rsid w:val="004863FA"/>
    <w:rsid w:val="004865B0"/>
    <w:rsid w:val="004865C6"/>
    <w:rsid w:val="004868A1"/>
    <w:rsid w:val="004869AB"/>
    <w:rsid w:val="00487CF7"/>
    <w:rsid w:val="00490044"/>
    <w:rsid w:val="00490256"/>
    <w:rsid w:val="004905AB"/>
    <w:rsid w:val="00490965"/>
    <w:rsid w:val="00490AC1"/>
    <w:rsid w:val="00490ACE"/>
    <w:rsid w:val="00490B43"/>
    <w:rsid w:val="00490D50"/>
    <w:rsid w:val="00491444"/>
    <w:rsid w:val="0049167D"/>
    <w:rsid w:val="004925FC"/>
    <w:rsid w:val="004926A9"/>
    <w:rsid w:val="004931D3"/>
    <w:rsid w:val="004933C3"/>
    <w:rsid w:val="004933E1"/>
    <w:rsid w:val="00493605"/>
    <w:rsid w:val="0049373A"/>
    <w:rsid w:val="00493812"/>
    <w:rsid w:val="00493D57"/>
    <w:rsid w:val="00493D7C"/>
    <w:rsid w:val="00494358"/>
    <w:rsid w:val="0049442C"/>
    <w:rsid w:val="00494486"/>
    <w:rsid w:val="004947CC"/>
    <w:rsid w:val="00494904"/>
    <w:rsid w:val="00494FE1"/>
    <w:rsid w:val="00495164"/>
    <w:rsid w:val="004958C9"/>
    <w:rsid w:val="00495930"/>
    <w:rsid w:val="00495C5E"/>
    <w:rsid w:val="00495E09"/>
    <w:rsid w:val="00496393"/>
    <w:rsid w:val="00496CED"/>
    <w:rsid w:val="00496EA4"/>
    <w:rsid w:val="004970A3"/>
    <w:rsid w:val="00497266"/>
    <w:rsid w:val="00497E33"/>
    <w:rsid w:val="004A0AFF"/>
    <w:rsid w:val="004A0DB7"/>
    <w:rsid w:val="004A1043"/>
    <w:rsid w:val="004A10E1"/>
    <w:rsid w:val="004A114A"/>
    <w:rsid w:val="004A1283"/>
    <w:rsid w:val="004A13AA"/>
    <w:rsid w:val="004A1559"/>
    <w:rsid w:val="004A1720"/>
    <w:rsid w:val="004A173C"/>
    <w:rsid w:val="004A1B4C"/>
    <w:rsid w:val="004A2F15"/>
    <w:rsid w:val="004A2F41"/>
    <w:rsid w:val="004A3445"/>
    <w:rsid w:val="004A3A0A"/>
    <w:rsid w:val="004A3A62"/>
    <w:rsid w:val="004A3AC8"/>
    <w:rsid w:val="004A3AF6"/>
    <w:rsid w:val="004A3B4F"/>
    <w:rsid w:val="004A4004"/>
    <w:rsid w:val="004A4146"/>
    <w:rsid w:val="004A4385"/>
    <w:rsid w:val="004A461A"/>
    <w:rsid w:val="004A4664"/>
    <w:rsid w:val="004A4FC1"/>
    <w:rsid w:val="004A5541"/>
    <w:rsid w:val="004A55B3"/>
    <w:rsid w:val="004A586C"/>
    <w:rsid w:val="004A5888"/>
    <w:rsid w:val="004A5A3A"/>
    <w:rsid w:val="004A62A6"/>
    <w:rsid w:val="004A6758"/>
    <w:rsid w:val="004A7737"/>
    <w:rsid w:val="004A7CB3"/>
    <w:rsid w:val="004B033E"/>
    <w:rsid w:val="004B0C16"/>
    <w:rsid w:val="004B0C8C"/>
    <w:rsid w:val="004B0CF6"/>
    <w:rsid w:val="004B1058"/>
    <w:rsid w:val="004B11D2"/>
    <w:rsid w:val="004B12B5"/>
    <w:rsid w:val="004B139A"/>
    <w:rsid w:val="004B143F"/>
    <w:rsid w:val="004B1446"/>
    <w:rsid w:val="004B18D8"/>
    <w:rsid w:val="004B1D03"/>
    <w:rsid w:val="004B1F9C"/>
    <w:rsid w:val="004B27C1"/>
    <w:rsid w:val="004B2B62"/>
    <w:rsid w:val="004B2BCE"/>
    <w:rsid w:val="004B2D65"/>
    <w:rsid w:val="004B3141"/>
    <w:rsid w:val="004B32A8"/>
    <w:rsid w:val="004B3818"/>
    <w:rsid w:val="004B3971"/>
    <w:rsid w:val="004B419B"/>
    <w:rsid w:val="004B447F"/>
    <w:rsid w:val="004B453A"/>
    <w:rsid w:val="004B45FB"/>
    <w:rsid w:val="004B49B9"/>
    <w:rsid w:val="004B4D89"/>
    <w:rsid w:val="004B5180"/>
    <w:rsid w:val="004B5188"/>
    <w:rsid w:val="004B5CD4"/>
    <w:rsid w:val="004B5DB4"/>
    <w:rsid w:val="004B5F2B"/>
    <w:rsid w:val="004B5FC5"/>
    <w:rsid w:val="004B613D"/>
    <w:rsid w:val="004B63B5"/>
    <w:rsid w:val="004B6C84"/>
    <w:rsid w:val="004B6CDC"/>
    <w:rsid w:val="004B734D"/>
    <w:rsid w:val="004C03B8"/>
    <w:rsid w:val="004C05CE"/>
    <w:rsid w:val="004C064D"/>
    <w:rsid w:val="004C06B4"/>
    <w:rsid w:val="004C08D1"/>
    <w:rsid w:val="004C144B"/>
    <w:rsid w:val="004C156A"/>
    <w:rsid w:val="004C1780"/>
    <w:rsid w:val="004C17BB"/>
    <w:rsid w:val="004C1C1E"/>
    <w:rsid w:val="004C1FFA"/>
    <w:rsid w:val="004C221A"/>
    <w:rsid w:val="004C2EA5"/>
    <w:rsid w:val="004C3056"/>
    <w:rsid w:val="004C3358"/>
    <w:rsid w:val="004C3370"/>
    <w:rsid w:val="004C3D2C"/>
    <w:rsid w:val="004C3E54"/>
    <w:rsid w:val="004C3EEC"/>
    <w:rsid w:val="004C41FC"/>
    <w:rsid w:val="004C4346"/>
    <w:rsid w:val="004C46A7"/>
    <w:rsid w:val="004C4911"/>
    <w:rsid w:val="004C55CC"/>
    <w:rsid w:val="004C5DE9"/>
    <w:rsid w:val="004C61D0"/>
    <w:rsid w:val="004C634E"/>
    <w:rsid w:val="004C6734"/>
    <w:rsid w:val="004C6B84"/>
    <w:rsid w:val="004C6EA7"/>
    <w:rsid w:val="004C70B6"/>
    <w:rsid w:val="004C72B9"/>
    <w:rsid w:val="004C747A"/>
    <w:rsid w:val="004C7654"/>
    <w:rsid w:val="004C78EE"/>
    <w:rsid w:val="004C7BDD"/>
    <w:rsid w:val="004C7FE9"/>
    <w:rsid w:val="004D0145"/>
    <w:rsid w:val="004D05D7"/>
    <w:rsid w:val="004D0963"/>
    <w:rsid w:val="004D0B09"/>
    <w:rsid w:val="004D0D35"/>
    <w:rsid w:val="004D17CD"/>
    <w:rsid w:val="004D18E8"/>
    <w:rsid w:val="004D19FE"/>
    <w:rsid w:val="004D1CF6"/>
    <w:rsid w:val="004D1EA9"/>
    <w:rsid w:val="004D1ED0"/>
    <w:rsid w:val="004D1F15"/>
    <w:rsid w:val="004D2972"/>
    <w:rsid w:val="004D35E6"/>
    <w:rsid w:val="004D3650"/>
    <w:rsid w:val="004D3673"/>
    <w:rsid w:val="004D440F"/>
    <w:rsid w:val="004D443C"/>
    <w:rsid w:val="004D4611"/>
    <w:rsid w:val="004D46F2"/>
    <w:rsid w:val="004D4B0C"/>
    <w:rsid w:val="004D4D75"/>
    <w:rsid w:val="004D5190"/>
    <w:rsid w:val="004D52F6"/>
    <w:rsid w:val="004D5D27"/>
    <w:rsid w:val="004D6144"/>
    <w:rsid w:val="004D62B6"/>
    <w:rsid w:val="004D690C"/>
    <w:rsid w:val="004D6B66"/>
    <w:rsid w:val="004D6CBB"/>
    <w:rsid w:val="004D6D8B"/>
    <w:rsid w:val="004D6DEF"/>
    <w:rsid w:val="004D7176"/>
    <w:rsid w:val="004D761C"/>
    <w:rsid w:val="004D7982"/>
    <w:rsid w:val="004D7D18"/>
    <w:rsid w:val="004E02E6"/>
    <w:rsid w:val="004E03EA"/>
    <w:rsid w:val="004E05A3"/>
    <w:rsid w:val="004E0677"/>
    <w:rsid w:val="004E08B4"/>
    <w:rsid w:val="004E08F5"/>
    <w:rsid w:val="004E09BB"/>
    <w:rsid w:val="004E0CAA"/>
    <w:rsid w:val="004E1191"/>
    <w:rsid w:val="004E18B1"/>
    <w:rsid w:val="004E1B62"/>
    <w:rsid w:val="004E1B63"/>
    <w:rsid w:val="004E2C24"/>
    <w:rsid w:val="004E34E0"/>
    <w:rsid w:val="004E399F"/>
    <w:rsid w:val="004E3FEF"/>
    <w:rsid w:val="004E4CE4"/>
    <w:rsid w:val="004E4D7C"/>
    <w:rsid w:val="004E4E3B"/>
    <w:rsid w:val="004E513A"/>
    <w:rsid w:val="004E5183"/>
    <w:rsid w:val="004E5409"/>
    <w:rsid w:val="004E545C"/>
    <w:rsid w:val="004E5B2B"/>
    <w:rsid w:val="004E5C15"/>
    <w:rsid w:val="004E62ED"/>
    <w:rsid w:val="004E6C2F"/>
    <w:rsid w:val="004E6DA9"/>
    <w:rsid w:val="004E7A91"/>
    <w:rsid w:val="004E7AEE"/>
    <w:rsid w:val="004E7B4D"/>
    <w:rsid w:val="004E7E33"/>
    <w:rsid w:val="004E7E83"/>
    <w:rsid w:val="004F043A"/>
    <w:rsid w:val="004F0A9E"/>
    <w:rsid w:val="004F0C3F"/>
    <w:rsid w:val="004F15AF"/>
    <w:rsid w:val="004F15F7"/>
    <w:rsid w:val="004F1661"/>
    <w:rsid w:val="004F171D"/>
    <w:rsid w:val="004F17E9"/>
    <w:rsid w:val="004F18AD"/>
    <w:rsid w:val="004F1B3C"/>
    <w:rsid w:val="004F1CD5"/>
    <w:rsid w:val="004F1ED8"/>
    <w:rsid w:val="004F2555"/>
    <w:rsid w:val="004F267C"/>
    <w:rsid w:val="004F28C6"/>
    <w:rsid w:val="004F33F4"/>
    <w:rsid w:val="004F353F"/>
    <w:rsid w:val="004F377D"/>
    <w:rsid w:val="004F3A30"/>
    <w:rsid w:val="004F413B"/>
    <w:rsid w:val="004F44D6"/>
    <w:rsid w:val="004F49EA"/>
    <w:rsid w:val="004F4C13"/>
    <w:rsid w:val="004F538D"/>
    <w:rsid w:val="004F53DA"/>
    <w:rsid w:val="004F5B3B"/>
    <w:rsid w:val="004F6023"/>
    <w:rsid w:val="004F67DA"/>
    <w:rsid w:val="004F6E4D"/>
    <w:rsid w:val="004F7065"/>
    <w:rsid w:val="004F7269"/>
    <w:rsid w:val="004F75EB"/>
    <w:rsid w:val="004F77F7"/>
    <w:rsid w:val="004F7999"/>
    <w:rsid w:val="004F7C20"/>
    <w:rsid w:val="004F7F15"/>
    <w:rsid w:val="00500068"/>
    <w:rsid w:val="00500191"/>
    <w:rsid w:val="00500229"/>
    <w:rsid w:val="00500780"/>
    <w:rsid w:val="00500905"/>
    <w:rsid w:val="00500B9D"/>
    <w:rsid w:val="00500E63"/>
    <w:rsid w:val="0050107B"/>
    <w:rsid w:val="00501235"/>
    <w:rsid w:val="005012E2"/>
    <w:rsid w:val="00501433"/>
    <w:rsid w:val="00501A01"/>
    <w:rsid w:val="00502070"/>
    <w:rsid w:val="005023DF"/>
    <w:rsid w:val="00502947"/>
    <w:rsid w:val="00502B57"/>
    <w:rsid w:val="00502B71"/>
    <w:rsid w:val="00502D0A"/>
    <w:rsid w:val="00503461"/>
    <w:rsid w:val="00503918"/>
    <w:rsid w:val="00503B77"/>
    <w:rsid w:val="00503D03"/>
    <w:rsid w:val="00504C3A"/>
    <w:rsid w:val="00504CE8"/>
    <w:rsid w:val="00504DE5"/>
    <w:rsid w:val="00504E23"/>
    <w:rsid w:val="00504F33"/>
    <w:rsid w:val="0050566B"/>
    <w:rsid w:val="005061AC"/>
    <w:rsid w:val="00506377"/>
    <w:rsid w:val="00506AC9"/>
    <w:rsid w:val="00506C8A"/>
    <w:rsid w:val="00506D04"/>
    <w:rsid w:val="00507669"/>
    <w:rsid w:val="0051035A"/>
    <w:rsid w:val="005104E3"/>
    <w:rsid w:val="00510613"/>
    <w:rsid w:val="00510A9C"/>
    <w:rsid w:val="00510E5F"/>
    <w:rsid w:val="00510FA0"/>
    <w:rsid w:val="005110F6"/>
    <w:rsid w:val="0051153B"/>
    <w:rsid w:val="005117D0"/>
    <w:rsid w:val="00511834"/>
    <w:rsid w:val="00511A54"/>
    <w:rsid w:val="00511E8D"/>
    <w:rsid w:val="00511F83"/>
    <w:rsid w:val="00512338"/>
    <w:rsid w:val="00512A91"/>
    <w:rsid w:val="00512C1D"/>
    <w:rsid w:val="00513087"/>
    <w:rsid w:val="005135B8"/>
    <w:rsid w:val="00513651"/>
    <w:rsid w:val="00513805"/>
    <w:rsid w:val="00513915"/>
    <w:rsid w:val="0051393F"/>
    <w:rsid w:val="00513CAE"/>
    <w:rsid w:val="005144AA"/>
    <w:rsid w:val="00514D29"/>
    <w:rsid w:val="00514FA7"/>
    <w:rsid w:val="00515DE5"/>
    <w:rsid w:val="00515E39"/>
    <w:rsid w:val="00516524"/>
    <w:rsid w:val="00516BA5"/>
    <w:rsid w:val="00516DAC"/>
    <w:rsid w:val="0051717D"/>
    <w:rsid w:val="00517552"/>
    <w:rsid w:val="0051799A"/>
    <w:rsid w:val="00517A67"/>
    <w:rsid w:val="005201F0"/>
    <w:rsid w:val="005201F6"/>
    <w:rsid w:val="00520A17"/>
    <w:rsid w:val="00520F00"/>
    <w:rsid w:val="00520FF0"/>
    <w:rsid w:val="005215DD"/>
    <w:rsid w:val="005219BE"/>
    <w:rsid w:val="00521C70"/>
    <w:rsid w:val="00521CA3"/>
    <w:rsid w:val="005222F9"/>
    <w:rsid w:val="00522782"/>
    <w:rsid w:val="00522D09"/>
    <w:rsid w:val="00523622"/>
    <w:rsid w:val="00523A9B"/>
    <w:rsid w:val="00523ACB"/>
    <w:rsid w:val="00523AEC"/>
    <w:rsid w:val="00523B0B"/>
    <w:rsid w:val="00523B93"/>
    <w:rsid w:val="0052413A"/>
    <w:rsid w:val="00524424"/>
    <w:rsid w:val="005247C0"/>
    <w:rsid w:val="00524CB1"/>
    <w:rsid w:val="00524EAC"/>
    <w:rsid w:val="0052518E"/>
    <w:rsid w:val="00525234"/>
    <w:rsid w:val="0052544C"/>
    <w:rsid w:val="00526333"/>
    <w:rsid w:val="00526507"/>
    <w:rsid w:val="005265AC"/>
    <w:rsid w:val="00526808"/>
    <w:rsid w:val="00526A07"/>
    <w:rsid w:val="00526C06"/>
    <w:rsid w:val="00526DDD"/>
    <w:rsid w:val="00527993"/>
    <w:rsid w:val="005279F4"/>
    <w:rsid w:val="00527A21"/>
    <w:rsid w:val="00527A45"/>
    <w:rsid w:val="00527D48"/>
    <w:rsid w:val="00527DAC"/>
    <w:rsid w:val="0053035E"/>
    <w:rsid w:val="00530400"/>
    <w:rsid w:val="005309D7"/>
    <w:rsid w:val="00530A34"/>
    <w:rsid w:val="00530A35"/>
    <w:rsid w:val="00530C56"/>
    <w:rsid w:val="00530E0C"/>
    <w:rsid w:val="005311EC"/>
    <w:rsid w:val="005318A9"/>
    <w:rsid w:val="005319F2"/>
    <w:rsid w:val="00531BC9"/>
    <w:rsid w:val="00531F65"/>
    <w:rsid w:val="00532494"/>
    <w:rsid w:val="00532862"/>
    <w:rsid w:val="00532982"/>
    <w:rsid w:val="00532BEF"/>
    <w:rsid w:val="00532C78"/>
    <w:rsid w:val="0053345A"/>
    <w:rsid w:val="0053361B"/>
    <w:rsid w:val="0053381E"/>
    <w:rsid w:val="00533B57"/>
    <w:rsid w:val="00533CEE"/>
    <w:rsid w:val="00534964"/>
    <w:rsid w:val="00534B6A"/>
    <w:rsid w:val="00534BCC"/>
    <w:rsid w:val="00534D6B"/>
    <w:rsid w:val="0053503A"/>
    <w:rsid w:val="00535F61"/>
    <w:rsid w:val="005367B4"/>
    <w:rsid w:val="0053685E"/>
    <w:rsid w:val="005368FF"/>
    <w:rsid w:val="00536A99"/>
    <w:rsid w:val="00536B9D"/>
    <w:rsid w:val="00536D1A"/>
    <w:rsid w:val="00536DD4"/>
    <w:rsid w:val="0053726C"/>
    <w:rsid w:val="005374E8"/>
    <w:rsid w:val="005379F9"/>
    <w:rsid w:val="005401E8"/>
    <w:rsid w:val="00540326"/>
    <w:rsid w:val="00540CD5"/>
    <w:rsid w:val="00540F66"/>
    <w:rsid w:val="005411CE"/>
    <w:rsid w:val="00541493"/>
    <w:rsid w:val="0054175A"/>
    <w:rsid w:val="00541D08"/>
    <w:rsid w:val="0054205D"/>
    <w:rsid w:val="005427C7"/>
    <w:rsid w:val="00542B0F"/>
    <w:rsid w:val="00542C1F"/>
    <w:rsid w:val="00542CCE"/>
    <w:rsid w:val="005435B9"/>
    <w:rsid w:val="0054399D"/>
    <w:rsid w:val="005439A0"/>
    <w:rsid w:val="00543AF3"/>
    <w:rsid w:val="00543B2C"/>
    <w:rsid w:val="00543C30"/>
    <w:rsid w:val="00543DC9"/>
    <w:rsid w:val="00543F7E"/>
    <w:rsid w:val="0054402D"/>
    <w:rsid w:val="005440AD"/>
    <w:rsid w:val="005441C3"/>
    <w:rsid w:val="0054434C"/>
    <w:rsid w:val="005443C8"/>
    <w:rsid w:val="005446BE"/>
    <w:rsid w:val="005447FE"/>
    <w:rsid w:val="00544BB0"/>
    <w:rsid w:val="00544E9A"/>
    <w:rsid w:val="00545235"/>
    <w:rsid w:val="005456CE"/>
    <w:rsid w:val="00545D33"/>
    <w:rsid w:val="005467CA"/>
    <w:rsid w:val="005471A3"/>
    <w:rsid w:val="005476B5"/>
    <w:rsid w:val="00547C3C"/>
    <w:rsid w:val="00547DF4"/>
    <w:rsid w:val="005502E8"/>
    <w:rsid w:val="00550377"/>
    <w:rsid w:val="00550AD7"/>
    <w:rsid w:val="00551232"/>
    <w:rsid w:val="005516F4"/>
    <w:rsid w:val="005519D3"/>
    <w:rsid w:val="00551CC2"/>
    <w:rsid w:val="00551D84"/>
    <w:rsid w:val="00551DDF"/>
    <w:rsid w:val="00551E8E"/>
    <w:rsid w:val="00552AA2"/>
    <w:rsid w:val="00552EAB"/>
    <w:rsid w:val="00552F96"/>
    <w:rsid w:val="0055303B"/>
    <w:rsid w:val="005531E4"/>
    <w:rsid w:val="0055353C"/>
    <w:rsid w:val="00553650"/>
    <w:rsid w:val="00553DCC"/>
    <w:rsid w:val="00553ED4"/>
    <w:rsid w:val="00554416"/>
    <w:rsid w:val="005545EF"/>
    <w:rsid w:val="00554B36"/>
    <w:rsid w:val="00554D6F"/>
    <w:rsid w:val="005550FE"/>
    <w:rsid w:val="005554A0"/>
    <w:rsid w:val="0055562B"/>
    <w:rsid w:val="005557E8"/>
    <w:rsid w:val="00555840"/>
    <w:rsid w:val="005558D9"/>
    <w:rsid w:val="00555AAF"/>
    <w:rsid w:val="00555F65"/>
    <w:rsid w:val="00556123"/>
    <w:rsid w:val="005567D6"/>
    <w:rsid w:val="00556E02"/>
    <w:rsid w:val="00556E99"/>
    <w:rsid w:val="00557336"/>
    <w:rsid w:val="00557488"/>
    <w:rsid w:val="00557545"/>
    <w:rsid w:val="005576A0"/>
    <w:rsid w:val="005577ED"/>
    <w:rsid w:val="005579E5"/>
    <w:rsid w:val="00557AD6"/>
    <w:rsid w:val="0056022F"/>
    <w:rsid w:val="005602E4"/>
    <w:rsid w:val="0056077C"/>
    <w:rsid w:val="00560D18"/>
    <w:rsid w:val="00560D81"/>
    <w:rsid w:val="00561057"/>
    <w:rsid w:val="00561069"/>
    <w:rsid w:val="00561135"/>
    <w:rsid w:val="0056113B"/>
    <w:rsid w:val="0056160D"/>
    <w:rsid w:val="00561839"/>
    <w:rsid w:val="0056191C"/>
    <w:rsid w:val="005619E5"/>
    <w:rsid w:val="0056210C"/>
    <w:rsid w:val="005626E1"/>
    <w:rsid w:val="005630C4"/>
    <w:rsid w:val="005635A1"/>
    <w:rsid w:val="00563886"/>
    <w:rsid w:val="00563977"/>
    <w:rsid w:val="0056410B"/>
    <w:rsid w:val="0056430F"/>
    <w:rsid w:val="00564C41"/>
    <w:rsid w:val="005653A4"/>
    <w:rsid w:val="00565616"/>
    <w:rsid w:val="00565D34"/>
    <w:rsid w:val="00565E9A"/>
    <w:rsid w:val="0056615D"/>
    <w:rsid w:val="00566175"/>
    <w:rsid w:val="0056666F"/>
    <w:rsid w:val="00567FB8"/>
    <w:rsid w:val="0057035E"/>
    <w:rsid w:val="00570579"/>
    <w:rsid w:val="005709E2"/>
    <w:rsid w:val="00570CAF"/>
    <w:rsid w:val="005715C6"/>
    <w:rsid w:val="00571743"/>
    <w:rsid w:val="00571930"/>
    <w:rsid w:val="00571F95"/>
    <w:rsid w:val="00571F97"/>
    <w:rsid w:val="0057200F"/>
    <w:rsid w:val="0057208F"/>
    <w:rsid w:val="005721B8"/>
    <w:rsid w:val="00572307"/>
    <w:rsid w:val="00572AA2"/>
    <w:rsid w:val="00572DE7"/>
    <w:rsid w:val="00573116"/>
    <w:rsid w:val="005731B3"/>
    <w:rsid w:val="00573347"/>
    <w:rsid w:val="005735EC"/>
    <w:rsid w:val="00573628"/>
    <w:rsid w:val="00574557"/>
    <w:rsid w:val="00574ACB"/>
    <w:rsid w:val="00574CE2"/>
    <w:rsid w:val="00574F20"/>
    <w:rsid w:val="005757C3"/>
    <w:rsid w:val="005757D2"/>
    <w:rsid w:val="0057626F"/>
    <w:rsid w:val="005771C5"/>
    <w:rsid w:val="0057721B"/>
    <w:rsid w:val="005773BA"/>
    <w:rsid w:val="00577A3D"/>
    <w:rsid w:val="00577A8B"/>
    <w:rsid w:val="00577C59"/>
    <w:rsid w:val="00580308"/>
    <w:rsid w:val="00580310"/>
    <w:rsid w:val="00580A15"/>
    <w:rsid w:val="00580D15"/>
    <w:rsid w:val="0058125F"/>
    <w:rsid w:val="005814F6"/>
    <w:rsid w:val="0058153C"/>
    <w:rsid w:val="005824B3"/>
    <w:rsid w:val="0058278F"/>
    <w:rsid w:val="00583042"/>
    <w:rsid w:val="005831DC"/>
    <w:rsid w:val="00583415"/>
    <w:rsid w:val="0058395E"/>
    <w:rsid w:val="00583FD1"/>
    <w:rsid w:val="00584138"/>
    <w:rsid w:val="005845B5"/>
    <w:rsid w:val="0058543D"/>
    <w:rsid w:val="005856EC"/>
    <w:rsid w:val="00585C07"/>
    <w:rsid w:val="00585F32"/>
    <w:rsid w:val="0058608D"/>
    <w:rsid w:val="00586974"/>
    <w:rsid w:val="00586EEC"/>
    <w:rsid w:val="00587408"/>
    <w:rsid w:val="0058763F"/>
    <w:rsid w:val="005877D8"/>
    <w:rsid w:val="00587FC9"/>
    <w:rsid w:val="005902D2"/>
    <w:rsid w:val="00590355"/>
    <w:rsid w:val="00590389"/>
    <w:rsid w:val="00590691"/>
    <w:rsid w:val="0059091C"/>
    <w:rsid w:val="00590C5F"/>
    <w:rsid w:val="00590C8F"/>
    <w:rsid w:val="0059117A"/>
    <w:rsid w:val="0059152E"/>
    <w:rsid w:val="00591E39"/>
    <w:rsid w:val="00591FC9"/>
    <w:rsid w:val="00592B0D"/>
    <w:rsid w:val="00592B79"/>
    <w:rsid w:val="00593170"/>
    <w:rsid w:val="005933ED"/>
    <w:rsid w:val="00593B93"/>
    <w:rsid w:val="005947A4"/>
    <w:rsid w:val="00594C66"/>
    <w:rsid w:val="005950FF"/>
    <w:rsid w:val="00595212"/>
    <w:rsid w:val="00595AB7"/>
    <w:rsid w:val="00595AB9"/>
    <w:rsid w:val="00595B5F"/>
    <w:rsid w:val="00595DF3"/>
    <w:rsid w:val="00595F16"/>
    <w:rsid w:val="005963BE"/>
    <w:rsid w:val="005966FC"/>
    <w:rsid w:val="00596792"/>
    <w:rsid w:val="00597297"/>
    <w:rsid w:val="005974AE"/>
    <w:rsid w:val="00597515"/>
    <w:rsid w:val="005975B5"/>
    <w:rsid w:val="005977E0"/>
    <w:rsid w:val="005A00FA"/>
    <w:rsid w:val="005A03E5"/>
    <w:rsid w:val="005A0762"/>
    <w:rsid w:val="005A0969"/>
    <w:rsid w:val="005A0B65"/>
    <w:rsid w:val="005A0E9A"/>
    <w:rsid w:val="005A12CE"/>
    <w:rsid w:val="005A1594"/>
    <w:rsid w:val="005A15D6"/>
    <w:rsid w:val="005A18C8"/>
    <w:rsid w:val="005A1C1F"/>
    <w:rsid w:val="005A223E"/>
    <w:rsid w:val="005A2459"/>
    <w:rsid w:val="005A24AD"/>
    <w:rsid w:val="005A28C0"/>
    <w:rsid w:val="005A2A13"/>
    <w:rsid w:val="005A3101"/>
    <w:rsid w:val="005A32BC"/>
    <w:rsid w:val="005A3589"/>
    <w:rsid w:val="005A3BC2"/>
    <w:rsid w:val="005A490E"/>
    <w:rsid w:val="005A4A8B"/>
    <w:rsid w:val="005A4C35"/>
    <w:rsid w:val="005A4DC1"/>
    <w:rsid w:val="005A5227"/>
    <w:rsid w:val="005A58D7"/>
    <w:rsid w:val="005A5BE6"/>
    <w:rsid w:val="005A5C7B"/>
    <w:rsid w:val="005A5DC4"/>
    <w:rsid w:val="005A67EC"/>
    <w:rsid w:val="005A79AF"/>
    <w:rsid w:val="005A7EC7"/>
    <w:rsid w:val="005B01AB"/>
    <w:rsid w:val="005B046E"/>
    <w:rsid w:val="005B090C"/>
    <w:rsid w:val="005B0C2F"/>
    <w:rsid w:val="005B0E7D"/>
    <w:rsid w:val="005B1324"/>
    <w:rsid w:val="005B13EF"/>
    <w:rsid w:val="005B2399"/>
    <w:rsid w:val="005B2655"/>
    <w:rsid w:val="005B29A2"/>
    <w:rsid w:val="005B2AED"/>
    <w:rsid w:val="005B2B0D"/>
    <w:rsid w:val="005B2EF7"/>
    <w:rsid w:val="005B3297"/>
    <w:rsid w:val="005B37F2"/>
    <w:rsid w:val="005B3D4F"/>
    <w:rsid w:val="005B44D9"/>
    <w:rsid w:val="005B4819"/>
    <w:rsid w:val="005B51F7"/>
    <w:rsid w:val="005B5788"/>
    <w:rsid w:val="005B5AE8"/>
    <w:rsid w:val="005B5C58"/>
    <w:rsid w:val="005B5FDC"/>
    <w:rsid w:val="005B6C26"/>
    <w:rsid w:val="005B6C4C"/>
    <w:rsid w:val="005B6FAA"/>
    <w:rsid w:val="005B792B"/>
    <w:rsid w:val="005C0178"/>
    <w:rsid w:val="005C0191"/>
    <w:rsid w:val="005C02C6"/>
    <w:rsid w:val="005C0AC3"/>
    <w:rsid w:val="005C0D96"/>
    <w:rsid w:val="005C0F4D"/>
    <w:rsid w:val="005C1055"/>
    <w:rsid w:val="005C113E"/>
    <w:rsid w:val="005C130A"/>
    <w:rsid w:val="005C165A"/>
    <w:rsid w:val="005C22B2"/>
    <w:rsid w:val="005C28EF"/>
    <w:rsid w:val="005C29CD"/>
    <w:rsid w:val="005C29EB"/>
    <w:rsid w:val="005C3219"/>
    <w:rsid w:val="005C34ED"/>
    <w:rsid w:val="005C3F7B"/>
    <w:rsid w:val="005C4130"/>
    <w:rsid w:val="005C42C3"/>
    <w:rsid w:val="005C4C1A"/>
    <w:rsid w:val="005C4F2B"/>
    <w:rsid w:val="005C4F76"/>
    <w:rsid w:val="005C53B2"/>
    <w:rsid w:val="005C54A4"/>
    <w:rsid w:val="005C5858"/>
    <w:rsid w:val="005C5F5B"/>
    <w:rsid w:val="005C62A4"/>
    <w:rsid w:val="005C6353"/>
    <w:rsid w:val="005C6548"/>
    <w:rsid w:val="005C6883"/>
    <w:rsid w:val="005C68FA"/>
    <w:rsid w:val="005C6962"/>
    <w:rsid w:val="005C6A31"/>
    <w:rsid w:val="005C6ACC"/>
    <w:rsid w:val="005C6BCB"/>
    <w:rsid w:val="005C6D4C"/>
    <w:rsid w:val="005C6F1E"/>
    <w:rsid w:val="005C6FBD"/>
    <w:rsid w:val="005C7342"/>
    <w:rsid w:val="005C75B1"/>
    <w:rsid w:val="005C7907"/>
    <w:rsid w:val="005D0753"/>
    <w:rsid w:val="005D083D"/>
    <w:rsid w:val="005D09CA"/>
    <w:rsid w:val="005D0F9A"/>
    <w:rsid w:val="005D193F"/>
    <w:rsid w:val="005D21B6"/>
    <w:rsid w:val="005D24D2"/>
    <w:rsid w:val="005D2643"/>
    <w:rsid w:val="005D338D"/>
    <w:rsid w:val="005D394A"/>
    <w:rsid w:val="005D3F8D"/>
    <w:rsid w:val="005D4085"/>
    <w:rsid w:val="005D4CDB"/>
    <w:rsid w:val="005D4E10"/>
    <w:rsid w:val="005D4E85"/>
    <w:rsid w:val="005D525B"/>
    <w:rsid w:val="005D55C4"/>
    <w:rsid w:val="005D57C6"/>
    <w:rsid w:val="005D5878"/>
    <w:rsid w:val="005D5BAB"/>
    <w:rsid w:val="005D5DE2"/>
    <w:rsid w:val="005D6027"/>
    <w:rsid w:val="005D6A91"/>
    <w:rsid w:val="005D6BA9"/>
    <w:rsid w:val="005D6CC2"/>
    <w:rsid w:val="005D6D47"/>
    <w:rsid w:val="005D72F9"/>
    <w:rsid w:val="005D7930"/>
    <w:rsid w:val="005D7AC6"/>
    <w:rsid w:val="005D7B25"/>
    <w:rsid w:val="005D7BE7"/>
    <w:rsid w:val="005D7CD4"/>
    <w:rsid w:val="005D7E48"/>
    <w:rsid w:val="005E0138"/>
    <w:rsid w:val="005E0228"/>
    <w:rsid w:val="005E052F"/>
    <w:rsid w:val="005E0B86"/>
    <w:rsid w:val="005E0FF2"/>
    <w:rsid w:val="005E14CD"/>
    <w:rsid w:val="005E1F44"/>
    <w:rsid w:val="005E2190"/>
    <w:rsid w:val="005E3062"/>
    <w:rsid w:val="005E35B3"/>
    <w:rsid w:val="005E3F64"/>
    <w:rsid w:val="005E492A"/>
    <w:rsid w:val="005E4AC7"/>
    <w:rsid w:val="005E4B83"/>
    <w:rsid w:val="005E5827"/>
    <w:rsid w:val="005E5893"/>
    <w:rsid w:val="005E5CBC"/>
    <w:rsid w:val="005E5F85"/>
    <w:rsid w:val="005E6A13"/>
    <w:rsid w:val="005E6A94"/>
    <w:rsid w:val="005E6BA6"/>
    <w:rsid w:val="005E6EB7"/>
    <w:rsid w:val="005E765D"/>
    <w:rsid w:val="005E76A4"/>
    <w:rsid w:val="005E7BC0"/>
    <w:rsid w:val="005E7E03"/>
    <w:rsid w:val="005E7FC8"/>
    <w:rsid w:val="005F1444"/>
    <w:rsid w:val="005F1797"/>
    <w:rsid w:val="005F184C"/>
    <w:rsid w:val="005F201C"/>
    <w:rsid w:val="005F2299"/>
    <w:rsid w:val="005F2361"/>
    <w:rsid w:val="005F2512"/>
    <w:rsid w:val="005F2806"/>
    <w:rsid w:val="005F2880"/>
    <w:rsid w:val="005F3494"/>
    <w:rsid w:val="005F37E4"/>
    <w:rsid w:val="005F3972"/>
    <w:rsid w:val="005F3B78"/>
    <w:rsid w:val="005F3CF6"/>
    <w:rsid w:val="005F4156"/>
    <w:rsid w:val="005F43EF"/>
    <w:rsid w:val="005F4714"/>
    <w:rsid w:val="005F4D3D"/>
    <w:rsid w:val="005F4E57"/>
    <w:rsid w:val="005F5007"/>
    <w:rsid w:val="005F504E"/>
    <w:rsid w:val="005F5855"/>
    <w:rsid w:val="005F6F90"/>
    <w:rsid w:val="005F7635"/>
    <w:rsid w:val="006000B9"/>
    <w:rsid w:val="00600471"/>
    <w:rsid w:val="006004FF"/>
    <w:rsid w:val="0060071C"/>
    <w:rsid w:val="00600830"/>
    <w:rsid w:val="006008D5"/>
    <w:rsid w:val="0060138C"/>
    <w:rsid w:val="0060161F"/>
    <w:rsid w:val="00601774"/>
    <w:rsid w:val="0060179A"/>
    <w:rsid w:val="006020DD"/>
    <w:rsid w:val="00602591"/>
    <w:rsid w:val="00602AFF"/>
    <w:rsid w:val="0060312F"/>
    <w:rsid w:val="00603B54"/>
    <w:rsid w:val="0060444F"/>
    <w:rsid w:val="006044B8"/>
    <w:rsid w:val="00604CAF"/>
    <w:rsid w:val="00604D34"/>
    <w:rsid w:val="00604EE5"/>
    <w:rsid w:val="0060500B"/>
    <w:rsid w:val="00605A5E"/>
    <w:rsid w:val="00605C87"/>
    <w:rsid w:val="00605FBF"/>
    <w:rsid w:val="006064D2"/>
    <w:rsid w:val="00606F1C"/>
    <w:rsid w:val="006071A3"/>
    <w:rsid w:val="006074A1"/>
    <w:rsid w:val="006074ED"/>
    <w:rsid w:val="0061025B"/>
    <w:rsid w:val="00610295"/>
    <w:rsid w:val="0061055F"/>
    <w:rsid w:val="006105DE"/>
    <w:rsid w:val="006107A3"/>
    <w:rsid w:val="006107C7"/>
    <w:rsid w:val="006108FC"/>
    <w:rsid w:val="00610E80"/>
    <w:rsid w:val="0061111C"/>
    <w:rsid w:val="00611287"/>
    <w:rsid w:val="00611A16"/>
    <w:rsid w:val="00611BA4"/>
    <w:rsid w:val="00611D38"/>
    <w:rsid w:val="006121CD"/>
    <w:rsid w:val="0061220D"/>
    <w:rsid w:val="00612333"/>
    <w:rsid w:val="006126DF"/>
    <w:rsid w:val="00613062"/>
    <w:rsid w:val="006133E0"/>
    <w:rsid w:val="00613B96"/>
    <w:rsid w:val="006141FD"/>
    <w:rsid w:val="00614260"/>
    <w:rsid w:val="00614BCC"/>
    <w:rsid w:val="00614CD0"/>
    <w:rsid w:val="00614D33"/>
    <w:rsid w:val="00614E72"/>
    <w:rsid w:val="00615965"/>
    <w:rsid w:val="006159F2"/>
    <w:rsid w:val="00616206"/>
    <w:rsid w:val="00616535"/>
    <w:rsid w:val="006165A5"/>
    <w:rsid w:val="00616EBE"/>
    <w:rsid w:val="00616F16"/>
    <w:rsid w:val="00616F21"/>
    <w:rsid w:val="00617560"/>
    <w:rsid w:val="006176B6"/>
    <w:rsid w:val="0061783C"/>
    <w:rsid w:val="00617ED5"/>
    <w:rsid w:val="00620073"/>
    <w:rsid w:val="006200E9"/>
    <w:rsid w:val="006207B2"/>
    <w:rsid w:val="00620C83"/>
    <w:rsid w:val="00620E52"/>
    <w:rsid w:val="006213B9"/>
    <w:rsid w:val="00621423"/>
    <w:rsid w:val="00621965"/>
    <w:rsid w:val="006219D1"/>
    <w:rsid w:val="00622021"/>
    <w:rsid w:val="0062235B"/>
    <w:rsid w:val="00622D8B"/>
    <w:rsid w:val="00623217"/>
    <w:rsid w:val="00623330"/>
    <w:rsid w:val="006236F9"/>
    <w:rsid w:val="00623877"/>
    <w:rsid w:val="006238E3"/>
    <w:rsid w:val="00623BD7"/>
    <w:rsid w:val="00623FC3"/>
    <w:rsid w:val="0062499B"/>
    <w:rsid w:val="00624CCD"/>
    <w:rsid w:val="0062530A"/>
    <w:rsid w:val="00625508"/>
    <w:rsid w:val="00625AC4"/>
    <w:rsid w:val="00625DFD"/>
    <w:rsid w:val="006263B4"/>
    <w:rsid w:val="00626779"/>
    <w:rsid w:val="006271F4"/>
    <w:rsid w:val="0062729F"/>
    <w:rsid w:val="00627A78"/>
    <w:rsid w:val="00627B95"/>
    <w:rsid w:val="00630329"/>
    <w:rsid w:val="006305D2"/>
    <w:rsid w:val="00630C28"/>
    <w:rsid w:val="00630CA3"/>
    <w:rsid w:val="00630CBF"/>
    <w:rsid w:val="00630FCE"/>
    <w:rsid w:val="00631326"/>
    <w:rsid w:val="0063133F"/>
    <w:rsid w:val="00631697"/>
    <w:rsid w:val="00631FEE"/>
    <w:rsid w:val="006325B6"/>
    <w:rsid w:val="006327C6"/>
    <w:rsid w:val="006327FF"/>
    <w:rsid w:val="00632A75"/>
    <w:rsid w:val="00632C9A"/>
    <w:rsid w:val="00632F14"/>
    <w:rsid w:val="006331BF"/>
    <w:rsid w:val="00633373"/>
    <w:rsid w:val="00633894"/>
    <w:rsid w:val="00633CEC"/>
    <w:rsid w:val="00633FC5"/>
    <w:rsid w:val="00634386"/>
    <w:rsid w:val="00634777"/>
    <w:rsid w:val="00634817"/>
    <w:rsid w:val="006348FA"/>
    <w:rsid w:val="00634B22"/>
    <w:rsid w:val="00634C26"/>
    <w:rsid w:val="00634D6F"/>
    <w:rsid w:val="00634F5F"/>
    <w:rsid w:val="00634FCC"/>
    <w:rsid w:val="00634FCD"/>
    <w:rsid w:val="006350AF"/>
    <w:rsid w:val="0063590E"/>
    <w:rsid w:val="00635928"/>
    <w:rsid w:val="00635A9B"/>
    <w:rsid w:val="00635C15"/>
    <w:rsid w:val="006360DC"/>
    <w:rsid w:val="0063646B"/>
    <w:rsid w:val="006364F0"/>
    <w:rsid w:val="006370BC"/>
    <w:rsid w:val="006370D3"/>
    <w:rsid w:val="006373C8"/>
    <w:rsid w:val="00637A04"/>
    <w:rsid w:val="00637BFA"/>
    <w:rsid w:val="0064022C"/>
    <w:rsid w:val="006402F1"/>
    <w:rsid w:val="0064056A"/>
    <w:rsid w:val="00640579"/>
    <w:rsid w:val="006408F4"/>
    <w:rsid w:val="0064093E"/>
    <w:rsid w:val="00640AD3"/>
    <w:rsid w:val="00640E3A"/>
    <w:rsid w:val="00641047"/>
    <w:rsid w:val="00641E37"/>
    <w:rsid w:val="006420FB"/>
    <w:rsid w:val="00642873"/>
    <w:rsid w:val="006430BC"/>
    <w:rsid w:val="006430C8"/>
    <w:rsid w:val="00643105"/>
    <w:rsid w:val="00643AA1"/>
    <w:rsid w:val="00643AF0"/>
    <w:rsid w:val="00644218"/>
    <w:rsid w:val="0064422B"/>
    <w:rsid w:val="00644339"/>
    <w:rsid w:val="0064433F"/>
    <w:rsid w:val="006449F9"/>
    <w:rsid w:val="00644B18"/>
    <w:rsid w:val="00644FF1"/>
    <w:rsid w:val="0064510A"/>
    <w:rsid w:val="0064511B"/>
    <w:rsid w:val="006456AC"/>
    <w:rsid w:val="00645802"/>
    <w:rsid w:val="00645F64"/>
    <w:rsid w:val="00646088"/>
    <w:rsid w:val="006463C9"/>
    <w:rsid w:val="006471A1"/>
    <w:rsid w:val="006473D7"/>
    <w:rsid w:val="006476DC"/>
    <w:rsid w:val="00647772"/>
    <w:rsid w:val="0064786E"/>
    <w:rsid w:val="00647BCE"/>
    <w:rsid w:val="00647CFB"/>
    <w:rsid w:val="00647FEF"/>
    <w:rsid w:val="00650380"/>
    <w:rsid w:val="0065039A"/>
    <w:rsid w:val="00650958"/>
    <w:rsid w:val="006509C2"/>
    <w:rsid w:val="00650D7D"/>
    <w:rsid w:val="00651256"/>
    <w:rsid w:val="00651803"/>
    <w:rsid w:val="00651B2E"/>
    <w:rsid w:val="00651DD8"/>
    <w:rsid w:val="006526FA"/>
    <w:rsid w:val="00652815"/>
    <w:rsid w:val="00652883"/>
    <w:rsid w:val="00652ABF"/>
    <w:rsid w:val="00652B46"/>
    <w:rsid w:val="00652E4A"/>
    <w:rsid w:val="00653B92"/>
    <w:rsid w:val="00653C7F"/>
    <w:rsid w:val="00653CDF"/>
    <w:rsid w:val="00653F22"/>
    <w:rsid w:val="006540CD"/>
    <w:rsid w:val="006541DE"/>
    <w:rsid w:val="00654269"/>
    <w:rsid w:val="006544B3"/>
    <w:rsid w:val="0065479C"/>
    <w:rsid w:val="006554E4"/>
    <w:rsid w:val="00655572"/>
    <w:rsid w:val="00655669"/>
    <w:rsid w:val="00655D39"/>
    <w:rsid w:val="00655E55"/>
    <w:rsid w:val="00656279"/>
    <w:rsid w:val="0065640F"/>
    <w:rsid w:val="006568CF"/>
    <w:rsid w:val="00656FD6"/>
    <w:rsid w:val="006571BE"/>
    <w:rsid w:val="00657942"/>
    <w:rsid w:val="00657E82"/>
    <w:rsid w:val="006601F7"/>
    <w:rsid w:val="006605B7"/>
    <w:rsid w:val="00660654"/>
    <w:rsid w:val="00660FF0"/>
    <w:rsid w:val="00661514"/>
    <w:rsid w:val="0066163D"/>
    <w:rsid w:val="006619A1"/>
    <w:rsid w:val="00661A57"/>
    <w:rsid w:val="00661D84"/>
    <w:rsid w:val="0066213B"/>
    <w:rsid w:val="006626CB"/>
    <w:rsid w:val="006627C3"/>
    <w:rsid w:val="00662874"/>
    <w:rsid w:val="00662A3C"/>
    <w:rsid w:val="00663891"/>
    <w:rsid w:val="006643F8"/>
    <w:rsid w:val="00664636"/>
    <w:rsid w:val="00664949"/>
    <w:rsid w:val="00665250"/>
    <w:rsid w:val="00665FD7"/>
    <w:rsid w:val="00666010"/>
    <w:rsid w:val="006660D8"/>
    <w:rsid w:val="00666296"/>
    <w:rsid w:val="00666526"/>
    <w:rsid w:val="00666911"/>
    <w:rsid w:val="00667099"/>
    <w:rsid w:val="006671FE"/>
    <w:rsid w:val="00667BC8"/>
    <w:rsid w:val="006701BB"/>
    <w:rsid w:val="00670217"/>
    <w:rsid w:val="006706C3"/>
    <w:rsid w:val="006708B5"/>
    <w:rsid w:val="00670BCF"/>
    <w:rsid w:val="00670C07"/>
    <w:rsid w:val="00670F95"/>
    <w:rsid w:val="006712CD"/>
    <w:rsid w:val="006712D7"/>
    <w:rsid w:val="00671569"/>
    <w:rsid w:val="00671C52"/>
    <w:rsid w:val="0067246C"/>
    <w:rsid w:val="006724CC"/>
    <w:rsid w:val="0067263C"/>
    <w:rsid w:val="00672815"/>
    <w:rsid w:val="006729A0"/>
    <w:rsid w:val="00672EBA"/>
    <w:rsid w:val="006738E5"/>
    <w:rsid w:val="00673A56"/>
    <w:rsid w:val="00673AE2"/>
    <w:rsid w:val="006742F9"/>
    <w:rsid w:val="00674A08"/>
    <w:rsid w:val="00674AB5"/>
    <w:rsid w:val="00674D37"/>
    <w:rsid w:val="00674DF4"/>
    <w:rsid w:val="00674E50"/>
    <w:rsid w:val="00674FF8"/>
    <w:rsid w:val="00675027"/>
    <w:rsid w:val="00675191"/>
    <w:rsid w:val="006756EB"/>
    <w:rsid w:val="006760D0"/>
    <w:rsid w:val="0067627B"/>
    <w:rsid w:val="00676DBC"/>
    <w:rsid w:val="00676EE8"/>
    <w:rsid w:val="006774A6"/>
    <w:rsid w:val="006779A9"/>
    <w:rsid w:val="00677A16"/>
    <w:rsid w:val="00680011"/>
    <w:rsid w:val="00680215"/>
    <w:rsid w:val="00680BDB"/>
    <w:rsid w:val="00681079"/>
    <w:rsid w:val="00681D2B"/>
    <w:rsid w:val="00681D80"/>
    <w:rsid w:val="00681EFE"/>
    <w:rsid w:val="00682219"/>
    <w:rsid w:val="00682BBC"/>
    <w:rsid w:val="00682C83"/>
    <w:rsid w:val="00682E61"/>
    <w:rsid w:val="00683012"/>
    <w:rsid w:val="00683026"/>
    <w:rsid w:val="00683925"/>
    <w:rsid w:val="00683A4E"/>
    <w:rsid w:val="00683CE6"/>
    <w:rsid w:val="00683E22"/>
    <w:rsid w:val="00683F61"/>
    <w:rsid w:val="0068453C"/>
    <w:rsid w:val="00684DA0"/>
    <w:rsid w:val="00684DA3"/>
    <w:rsid w:val="00684E45"/>
    <w:rsid w:val="006853F5"/>
    <w:rsid w:val="00685A36"/>
    <w:rsid w:val="00685CEA"/>
    <w:rsid w:val="00685E79"/>
    <w:rsid w:val="006860CF"/>
    <w:rsid w:val="006861A1"/>
    <w:rsid w:val="006865D0"/>
    <w:rsid w:val="00686AB0"/>
    <w:rsid w:val="00686F7F"/>
    <w:rsid w:val="0068710C"/>
    <w:rsid w:val="006871DC"/>
    <w:rsid w:val="0068768C"/>
    <w:rsid w:val="0069054A"/>
    <w:rsid w:val="006905B4"/>
    <w:rsid w:val="00690603"/>
    <w:rsid w:val="006907F9"/>
    <w:rsid w:val="00690A11"/>
    <w:rsid w:val="00690AD3"/>
    <w:rsid w:val="006911E9"/>
    <w:rsid w:val="0069126D"/>
    <w:rsid w:val="006915C9"/>
    <w:rsid w:val="00691A69"/>
    <w:rsid w:val="00691DB9"/>
    <w:rsid w:val="00691EBB"/>
    <w:rsid w:val="0069232D"/>
    <w:rsid w:val="006923A3"/>
    <w:rsid w:val="006928DA"/>
    <w:rsid w:val="00692B34"/>
    <w:rsid w:val="00692DD4"/>
    <w:rsid w:val="00692FCF"/>
    <w:rsid w:val="00693117"/>
    <w:rsid w:val="006935D0"/>
    <w:rsid w:val="0069378C"/>
    <w:rsid w:val="00693E55"/>
    <w:rsid w:val="0069407C"/>
    <w:rsid w:val="0069428B"/>
    <w:rsid w:val="006943E2"/>
    <w:rsid w:val="006948ED"/>
    <w:rsid w:val="006949DA"/>
    <w:rsid w:val="00694A3A"/>
    <w:rsid w:val="0069532E"/>
    <w:rsid w:val="00695444"/>
    <w:rsid w:val="00695A0C"/>
    <w:rsid w:val="00695A9B"/>
    <w:rsid w:val="00695EFC"/>
    <w:rsid w:val="00695F68"/>
    <w:rsid w:val="00696091"/>
    <w:rsid w:val="0069651C"/>
    <w:rsid w:val="00696556"/>
    <w:rsid w:val="006966A4"/>
    <w:rsid w:val="0069687D"/>
    <w:rsid w:val="006970F9"/>
    <w:rsid w:val="00697593"/>
    <w:rsid w:val="00697ED3"/>
    <w:rsid w:val="006A023D"/>
    <w:rsid w:val="006A04E2"/>
    <w:rsid w:val="006A0559"/>
    <w:rsid w:val="006A060F"/>
    <w:rsid w:val="006A0B2E"/>
    <w:rsid w:val="006A0D7C"/>
    <w:rsid w:val="006A0FA0"/>
    <w:rsid w:val="006A1793"/>
    <w:rsid w:val="006A1DD1"/>
    <w:rsid w:val="006A2975"/>
    <w:rsid w:val="006A3AA7"/>
    <w:rsid w:val="006A3C0B"/>
    <w:rsid w:val="006A40E4"/>
    <w:rsid w:val="006A42A6"/>
    <w:rsid w:val="006A448C"/>
    <w:rsid w:val="006A4695"/>
    <w:rsid w:val="006A470A"/>
    <w:rsid w:val="006A4BFA"/>
    <w:rsid w:val="006A4EF5"/>
    <w:rsid w:val="006A59B4"/>
    <w:rsid w:val="006A6028"/>
    <w:rsid w:val="006A6660"/>
    <w:rsid w:val="006A75C2"/>
    <w:rsid w:val="006A77A0"/>
    <w:rsid w:val="006A7D7C"/>
    <w:rsid w:val="006B00B3"/>
    <w:rsid w:val="006B0820"/>
    <w:rsid w:val="006B087E"/>
    <w:rsid w:val="006B0907"/>
    <w:rsid w:val="006B0E25"/>
    <w:rsid w:val="006B0F67"/>
    <w:rsid w:val="006B18B5"/>
    <w:rsid w:val="006B19E8"/>
    <w:rsid w:val="006B2926"/>
    <w:rsid w:val="006B2E96"/>
    <w:rsid w:val="006B327E"/>
    <w:rsid w:val="006B3763"/>
    <w:rsid w:val="006B3C63"/>
    <w:rsid w:val="006B4018"/>
    <w:rsid w:val="006B423D"/>
    <w:rsid w:val="006B46E5"/>
    <w:rsid w:val="006B51E6"/>
    <w:rsid w:val="006B5546"/>
    <w:rsid w:val="006B59A4"/>
    <w:rsid w:val="006B5E28"/>
    <w:rsid w:val="006B6C94"/>
    <w:rsid w:val="006B701B"/>
    <w:rsid w:val="006B70F3"/>
    <w:rsid w:val="006B7157"/>
    <w:rsid w:val="006B79E7"/>
    <w:rsid w:val="006B7B35"/>
    <w:rsid w:val="006B7B88"/>
    <w:rsid w:val="006B7D5B"/>
    <w:rsid w:val="006B7F0C"/>
    <w:rsid w:val="006B7FE7"/>
    <w:rsid w:val="006C020F"/>
    <w:rsid w:val="006C02A7"/>
    <w:rsid w:val="006C037A"/>
    <w:rsid w:val="006C05FB"/>
    <w:rsid w:val="006C069B"/>
    <w:rsid w:val="006C0844"/>
    <w:rsid w:val="006C0958"/>
    <w:rsid w:val="006C0D2D"/>
    <w:rsid w:val="006C1380"/>
    <w:rsid w:val="006C1F1C"/>
    <w:rsid w:val="006C2208"/>
    <w:rsid w:val="006C22F7"/>
    <w:rsid w:val="006C3151"/>
    <w:rsid w:val="006C36A4"/>
    <w:rsid w:val="006C3909"/>
    <w:rsid w:val="006C3B2C"/>
    <w:rsid w:val="006C3BE3"/>
    <w:rsid w:val="006C3CC3"/>
    <w:rsid w:val="006C3CCB"/>
    <w:rsid w:val="006C4271"/>
    <w:rsid w:val="006C45D1"/>
    <w:rsid w:val="006C4B0A"/>
    <w:rsid w:val="006C4BBE"/>
    <w:rsid w:val="006C4BFE"/>
    <w:rsid w:val="006C4CE7"/>
    <w:rsid w:val="006C5152"/>
    <w:rsid w:val="006C51E0"/>
    <w:rsid w:val="006C548B"/>
    <w:rsid w:val="006C5B09"/>
    <w:rsid w:val="006C67DC"/>
    <w:rsid w:val="006C68FD"/>
    <w:rsid w:val="006C6CB6"/>
    <w:rsid w:val="006C70A1"/>
    <w:rsid w:val="006C72D3"/>
    <w:rsid w:val="006C7329"/>
    <w:rsid w:val="006C7B5A"/>
    <w:rsid w:val="006C7BE4"/>
    <w:rsid w:val="006C7BFC"/>
    <w:rsid w:val="006D0221"/>
    <w:rsid w:val="006D0312"/>
    <w:rsid w:val="006D0A2F"/>
    <w:rsid w:val="006D0A48"/>
    <w:rsid w:val="006D1326"/>
    <w:rsid w:val="006D1432"/>
    <w:rsid w:val="006D190E"/>
    <w:rsid w:val="006D20BE"/>
    <w:rsid w:val="006D2156"/>
    <w:rsid w:val="006D2232"/>
    <w:rsid w:val="006D22EF"/>
    <w:rsid w:val="006D2837"/>
    <w:rsid w:val="006D2E21"/>
    <w:rsid w:val="006D2F5D"/>
    <w:rsid w:val="006D300C"/>
    <w:rsid w:val="006D306E"/>
    <w:rsid w:val="006D359F"/>
    <w:rsid w:val="006D4038"/>
    <w:rsid w:val="006D4271"/>
    <w:rsid w:val="006D4535"/>
    <w:rsid w:val="006D4F03"/>
    <w:rsid w:val="006D51CD"/>
    <w:rsid w:val="006D5438"/>
    <w:rsid w:val="006D5E42"/>
    <w:rsid w:val="006D6702"/>
    <w:rsid w:val="006D6876"/>
    <w:rsid w:val="006D6B52"/>
    <w:rsid w:val="006D6B6F"/>
    <w:rsid w:val="006D6D82"/>
    <w:rsid w:val="006D744B"/>
    <w:rsid w:val="006D7B02"/>
    <w:rsid w:val="006E00F9"/>
    <w:rsid w:val="006E01D6"/>
    <w:rsid w:val="006E04F1"/>
    <w:rsid w:val="006E05FA"/>
    <w:rsid w:val="006E10B4"/>
    <w:rsid w:val="006E19B4"/>
    <w:rsid w:val="006E1FF1"/>
    <w:rsid w:val="006E2105"/>
    <w:rsid w:val="006E21C2"/>
    <w:rsid w:val="006E2204"/>
    <w:rsid w:val="006E2732"/>
    <w:rsid w:val="006E28E4"/>
    <w:rsid w:val="006E2C8E"/>
    <w:rsid w:val="006E330E"/>
    <w:rsid w:val="006E3802"/>
    <w:rsid w:val="006E38EC"/>
    <w:rsid w:val="006E3B2E"/>
    <w:rsid w:val="006E3D3A"/>
    <w:rsid w:val="006E3E2A"/>
    <w:rsid w:val="006E41F2"/>
    <w:rsid w:val="006E4718"/>
    <w:rsid w:val="006E4A8E"/>
    <w:rsid w:val="006E4AAA"/>
    <w:rsid w:val="006E4AD8"/>
    <w:rsid w:val="006E4CB8"/>
    <w:rsid w:val="006E4DC2"/>
    <w:rsid w:val="006E4E5F"/>
    <w:rsid w:val="006E4E96"/>
    <w:rsid w:val="006E5145"/>
    <w:rsid w:val="006E57D1"/>
    <w:rsid w:val="006E5BDA"/>
    <w:rsid w:val="006E5ED9"/>
    <w:rsid w:val="006E6072"/>
    <w:rsid w:val="006E6428"/>
    <w:rsid w:val="006E64B7"/>
    <w:rsid w:val="006E6702"/>
    <w:rsid w:val="006E7152"/>
    <w:rsid w:val="006E7284"/>
    <w:rsid w:val="006E740D"/>
    <w:rsid w:val="006E775E"/>
    <w:rsid w:val="006E7F5E"/>
    <w:rsid w:val="006F02B5"/>
    <w:rsid w:val="006F0A1A"/>
    <w:rsid w:val="006F0AB6"/>
    <w:rsid w:val="006F0FFF"/>
    <w:rsid w:val="006F10F7"/>
    <w:rsid w:val="006F1501"/>
    <w:rsid w:val="006F1CD1"/>
    <w:rsid w:val="006F1E7E"/>
    <w:rsid w:val="006F2012"/>
    <w:rsid w:val="006F208D"/>
    <w:rsid w:val="006F2BA4"/>
    <w:rsid w:val="006F3158"/>
    <w:rsid w:val="006F3A6F"/>
    <w:rsid w:val="006F3C9E"/>
    <w:rsid w:val="006F452C"/>
    <w:rsid w:val="006F45B4"/>
    <w:rsid w:val="006F4990"/>
    <w:rsid w:val="006F4C27"/>
    <w:rsid w:val="006F52A8"/>
    <w:rsid w:val="006F585B"/>
    <w:rsid w:val="006F5921"/>
    <w:rsid w:val="006F5F21"/>
    <w:rsid w:val="006F5F4B"/>
    <w:rsid w:val="006F5F94"/>
    <w:rsid w:val="006F5FE4"/>
    <w:rsid w:val="006F6339"/>
    <w:rsid w:val="006F63F0"/>
    <w:rsid w:val="006F6875"/>
    <w:rsid w:val="006F68DC"/>
    <w:rsid w:val="006F6D1C"/>
    <w:rsid w:val="006F6D5D"/>
    <w:rsid w:val="006F73A0"/>
    <w:rsid w:val="006F75BF"/>
    <w:rsid w:val="006F7B2E"/>
    <w:rsid w:val="007000D8"/>
    <w:rsid w:val="007003AB"/>
    <w:rsid w:val="0070068F"/>
    <w:rsid w:val="007006C7"/>
    <w:rsid w:val="00700706"/>
    <w:rsid w:val="007009C0"/>
    <w:rsid w:val="00700DA6"/>
    <w:rsid w:val="00700ED6"/>
    <w:rsid w:val="00701102"/>
    <w:rsid w:val="00701149"/>
    <w:rsid w:val="0070180E"/>
    <w:rsid w:val="00701B1E"/>
    <w:rsid w:val="00701F98"/>
    <w:rsid w:val="0070254B"/>
    <w:rsid w:val="00702854"/>
    <w:rsid w:val="00702D16"/>
    <w:rsid w:val="00702FAD"/>
    <w:rsid w:val="0070335C"/>
    <w:rsid w:val="00703373"/>
    <w:rsid w:val="00703416"/>
    <w:rsid w:val="007035F3"/>
    <w:rsid w:val="007036E9"/>
    <w:rsid w:val="0070441B"/>
    <w:rsid w:val="007054D4"/>
    <w:rsid w:val="007054FB"/>
    <w:rsid w:val="0070611A"/>
    <w:rsid w:val="00706180"/>
    <w:rsid w:val="00706345"/>
    <w:rsid w:val="007063F6"/>
    <w:rsid w:val="00706436"/>
    <w:rsid w:val="00706B52"/>
    <w:rsid w:val="00706CA7"/>
    <w:rsid w:val="00706D98"/>
    <w:rsid w:val="00706E1D"/>
    <w:rsid w:val="00706FC1"/>
    <w:rsid w:val="007070FD"/>
    <w:rsid w:val="00707203"/>
    <w:rsid w:val="00707328"/>
    <w:rsid w:val="00707334"/>
    <w:rsid w:val="00707458"/>
    <w:rsid w:val="007076DB"/>
    <w:rsid w:val="00707C0C"/>
    <w:rsid w:val="00707D2D"/>
    <w:rsid w:val="00710650"/>
    <w:rsid w:val="00710757"/>
    <w:rsid w:val="007107A3"/>
    <w:rsid w:val="00710B05"/>
    <w:rsid w:val="00710ED6"/>
    <w:rsid w:val="00711E18"/>
    <w:rsid w:val="00712184"/>
    <w:rsid w:val="0071258D"/>
    <w:rsid w:val="00712657"/>
    <w:rsid w:val="0071286B"/>
    <w:rsid w:val="00713543"/>
    <w:rsid w:val="00713896"/>
    <w:rsid w:val="007146A7"/>
    <w:rsid w:val="0071487D"/>
    <w:rsid w:val="00714C5F"/>
    <w:rsid w:val="00716502"/>
    <w:rsid w:val="00716712"/>
    <w:rsid w:val="0071673B"/>
    <w:rsid w:val="0071699A"/>
    <w:rsid w:val="00716B58"/>
    <w:rsid w:val="00716F72"/>
    <w:rsid w:val="00717175"/>
    <w:rsid w:val="00717C38"/>
    <w:rsid w:val="00717D07"/>
    <w:rsid w:val="00720418"/>
    <w:rsid w:val="0072046F"/>
    <w:rsid w:val="00720DB2"/>
    <w:rsid w:val="0072101A"/>
    <w:rsid w:val="00721AF8"/>
    <w:rsid w:val="00721DF6"/>
    <w:rsid w:val="0072214B"/>
    <w:rsid w:val="007226B0"/>
    <w:rsid w:val="00722BD0"/>
    <w:rsid w:val="00722E09"/>
    <w:rsid w:val="0072388C"/>
    <w:rsid w:val="00723D9E"/>
    <w:rsid w:val="0072474B"/>
    <w:rsid w:val="007249DB"/>
    <w:rsid w:val="00724BCC"/>
    <w:rsid w:val="00724D53"/>
    <w:rsid w:val="00724D63"/>
    <w:rsid w:val="00725142"/>
    <w:rsid w:val="0072584F"/>
    <w:rsid w:val="00725916"/>
    <w:rsid w:val="007260C5"/>
    <w:rsid w:val="007261F2"/>
    <w:rsid w:val="007270AD"/>
    <w:rsid w:val="007271EC"/>
    <w:rsid w:val="007274CB"/>
    <w:rsid w:val="007277DB"/>
    <w:rsid w:val="007305E0"/>
    <w:rsid w:val="007307A0"/>
    <w:rsid w:val="00730A5C"/>
    <w:rsid w:val="007314F8"/>
    <w:rsid w:val="007317AD"/>
    <w:rsid w:val="00731CC5"/>
    <w:rsid w:val="00732002"/>
    <w:rsid w:val="00732153"/>
    <w:rsid w:val="007321B2"/>
    <w:rsid w:val="00732698"/>
    <w:rsid w:val="0073269B"/>
    <w:rsid w:val="007327F1"/>
    <w:rsid w:val="0073298F"/>
    <w:rsid w:val="00732BA8"/>
    <w:rsid w:val="00732C16"/>
    <w:rsid w:val="00732F08"/>
    <w:rsid w:val="00733470"/>
    <w:rsid w:val="007338BE"/>
    <w:rsid w:val="00733A34"/>
    <w:rsid w:val="00733B73"/>
    <w:rsid w:val="00734316"/>
    <w:rsid w:val="00734438"/>
    <w:rsid w:val="00734A0B"/>
    <w:rsid w:val="00734DFA"/>
    <w:rsid w:val="007365A7"/>
    <w:rsid w:val="00736660"/>
    <w:rsid w:val="0073671B"/>
    <w:rsid w:val="00736739"/>
    <w:rsid w:val="00736E10"/>
    <w:rsid w:val="00736FDA"/>
    <w:rsid w:val="00736FDB"/>
    <w:rsid w:val="00737189"/>
    <w:rsid w:val="00737476"/>
    <w:rsid w:val="007377F2"/>
    <w:rsid w:val="00737AEA"/>
    <w:rsid w:val="007407AA"/>
    <w:rsid w:val="007407E8"/>
    <w:rsid w:val="00740967"/>
    <w:rsid w:val="00740D4E"/>
    <w:rsid w:val="0074156D"/>
    <w:rsid w:val="0074158B"/>
    <w:rsid w:val="0074232D"/>
    <w:rsid w:val="0074299A"/>
    <w:rsid w:val="00743316"/>
    <w:rsid w:val="00743624"/>
    <w:rsid w:val="00743825"/>
    <w:rsid w:val="007439CB"/>
    <w:rsid w:val="007439D8"/>
    <w:rsid w:val="00743A4D"/>
    <w:rsid w:val="00743F23"/>
    <w:rsid w:val="00744047"/>
    <w:rsid w:val="007449DE"/>
    <w:rsid w:val="007451DE"/>
    <w:rsid w:val="00745B9F"/>
    <w:rsid w:val="00745E3E"/>
    <w:rsid w:val="00745F12"/>
    <w:rsid w:val="007460D5"/>
    <w:rsid w:val="007468DC"/>
    <w:rsid w:val="00746A5C"/>
    <w:rsid w:val="00746C54"/>
    <w:rsid w:val="00746D4B"/>
    <w:rsid w:val="00746D52"/>
    <w:rsid w:val="00747494"/>
    <w:rsid w:val="00747830"/>
    <w:rsid w:val="00747B58"/>
    <w:rsid w:val="00747DD8"/>
    <w:rsid w:val="00747E39"/>
    <w:rsid w:val="0075029A"/>
    <w:rsid w:val="0075052D"/>
    <w:rsid w:val="00750569"/>
    <w:rsid w:val="007505FE"/>
    <w:rsid w:val="00750BA5"/>
    <w:rsid w:val="0075133F"/>
    <w:rsid w:val="0075183D"/>
    <w:rsid w:val="0075194A"/>
    <w:rsid w:val="00751BFE"/>
    <w:rsid w:val="00752C2F"/>
    <w:rsid w:val="00752DB9"/>
    <w:rsid w:val="00752FFB"/>
    <w:rsid w:val="007534E3"/>
    <w:rsid w:val="007535B7"/>
    <w:rsid w:val="00753695"/>
    <w:rsid w:val="00753999"/>
    <w:rsid w:val="00753C37"/>
    <w:rsid w:val="00753F3D"/>
    <w:rsid w:val="00754440"/>
    <w:rsid w:val="007547EE"/>
    <w:rsid w:val="00754864"/>
    <w:rsid w:val="007551A1"/>
    <w:rsid w:val="00755A74"/>
    <w:rsid w:val="00756A30"/>
    <w:rsid w:val="00756B70"/>
    <w:rsid w:val="00756E8B"/>
    <w:rsid w:val="007570FC"/>
    <w:rsid w:val="00757174"/>
    <w:rsid w:val="0075756B"/>
    <w:rsid w:val="007577C2"/>
    <w:rsid w:val="00757BFA"/>
    <w:rsid w:val="00757C0A"/>
    <w:rsid w:val="00757EA1"/>
    <w:rsid w:val="00760631"/>
    <w:rsid w:val="007606A0"/>
    <w:rsid w:val="007608D0"/>
    <w:rsid w:val="007609D1"/>
    <w:rsid w:val="00760ADC"/>
    <w:rsid w:val="00760BEF"/>
    <w:rsid w:val="00760C7D"/>
    <w:rsid w:val="007613B6"/>
    <w:rsid w:val="007615FE"/>
    <w:rsid w:val="00761740"/>
    <w:rsid w:val="007622B5"/>
    <w:rsid w:val="0076261E"/>
    <w:rsid w:val="00762BE6"/>
    <w:rsid w:val="0076345D"/>
    <w:rsid w:val="00763B9C"/>
    <w:rsid w:val="00764221"/>
    <w:rsid w:val="007642B8"/>
    <w:rsid w:val="007642D1"/>
    <w:rsid w:val="00764468"/>
    <w:rsid w:val="0076462B"/>
    <w:rsid w:val="00764C43"/>
    <w:rsid w:val="00764CD1"/>
    <w:rsid w:val="00764E91"/>
    <w:rsid w:val="00765325"/>
    <w:rsid w:val="007653DD"/>
    <w:rsid w:val="00765471"/>
    <w:rsid w:val="00765801"/>
    <w:rsid w:val="00765F0B"/>
    <w:rsid w:val="0076605C"/>
    <w:rsid w:val="00766776"/>
    <w:rsid w:val="0076678A"/>
    <w:rsid w:val="007669FC"/>
    <w:rsid w:val="007673EF"/>
    <w:rsid w:val="00767724"/>
    <w:rsid w:val="00767762"/>
    <w:rsid w:val="007703A0"/>
    <w:rsid w:val="0077054A"/>
    <w:rsid w:val="00770A06"/>
    <w:rsid w:val="00771370"/>
    <w:rsid w:val="0077138B"/>
    <w:rsid w:val="0077160E"/>
    <w:rsid w:val="007718F3"/>
    <w:rsid w:val="007720A5"/>
    <w:rsid w:val="007726C1"/>
    <w:rsid w:val="007729EA"/>
    <w:rsid w:val="00772FB8"/>
    <w:rsid w:val="00773127"/>
    <w:rsid w:val="0077416D"/>
    <w:rsid w:val="00774A98"/>
    <w:rsid w:val="00775055"/>
    <w:rsid w:val="00775CDC"/>
    <w:rsid w:val="00775FD4"/>
    <w:rsid w:val="00776797"/>
    <w:rsid w:val="00776C5C"/>
    <w:rsid w:val="0077736D"/>
    <w:rsid w:val="007777BC"/>
    <w:rsid w:val="0077784A"/>
    <w:rsid w:val="00777ED5"/>
    <w:rsid w:val="0078035A"/>
    <w:rsid w:val="0078041A"/>
    <w:rsid w:val="0078054E"/>
    <w:rsid w:val="00780A7D"/>
    <w:rsid w:val="00780C19"/>
    <w:rsid w:val="007811D6"/>
    <w:rsid w:val="007812E5"/>
    <w:rsid w:val="007814B7"/>
    <w:rsid w:val="007814C5"/>
    <w:rsid w:val="0078151F"/>
    <w:rsid w:val="007815A4"/>
    <w:rsid w:val="00781609"/>
    <w:rsid w:val="00781695"/>
    <w:rsid w:val="007817EF"/>
    <w:rsid w:val="00781996"/>
    <w:rsid w:val="00781D39"/>
    <w:rsid w:val="007820E5"/>
    <w:rsid w:val="007822FC"/>
    <w:rsid w:val="00782B31"/>
    <w:rsid w:val="00783289"/>
    <w:rsid w:val="0078435B"/>
    <w:rsid w:val="00785471"/>
    <w:rsid w:val="007856FC"/>
    <w:rsid w:val="0078589E"/>
    <w:rsid w:val="00786385"/>
    <w:rsid w:val="007863EC"/>
    <w:rsid w:val="00786AAF"/>
    <w:rsid w:val="00786BB2"/>
    <w:rsid w:val="00786C0C"/>
    <w:rsid w:val="00787456"/>
    <w:rsid w:val="0078745D"/>
    <w:rsid w:val="0078755D"/>
    <w:rsid w:val="00787825"/>
    <w:rsid w:val="00787FDB"/>
    <w:rsid w:val="00790375"/>
    <w:rsid w:val="0079063A"/>
    <w:rsid w:val="00790892"/>
    <w:rsid w:val="00790CCA"/>
    <w:rsid w:val="00790F1E"/>
    <w:rsid w:val="00791298"/>
    <w:rsid w:val="007912D8"/>
    <w:rsid w:val="007913DB"/>
    <w:rsid w:val="0079182F"/>
    <w:rsid w:val="00791905"/>
    <w:rsid w:val="00791A54"/>
    <w:rsid w:val="007924F4"/>
    <w:rsid w:val="0079292E"/>
    <w:rsid w:val="0079332F"/>
    <w:rsid w:val="00793402"/>
    <w:rsid w:val="0079346A"/>
    <w:rsid w:val="00794627"/>
    <w:rsid w:val="00794814"/>
    <w:rsid w:val="00794E04"/>
    <w:rsid w:val="00794F0F"/>
    <w:rsid w:val="007954D7"/>
    <w:rsid w:val="00795637"/>
    <w:rsid w:val="00795E95"/>
    <w:rsid w:val="0079628E"/>
    <w:rsid w:val="0079667D"/>
    <w:rsid w:val="0079671C"/>
    <w:rsid w:val="007968AD"/>
    <w:rsid w:val="00796C2B"/>
    <w:rsid w:val="00796C59"/>
    <w:rsid w:val="00796E0E"/>
    <w:rsid w:val="00797202"/>
    <w:rsid w:val="00797517"/>
    <w:rsid w:val="00797722"/>
    <w:rsid w:val="007977DA"/>
    <w:rsid w:val="0079783C"/>
    <w:rsid w:val="00797917"/>
    <w:rsid w:val="00797D5E"/>
    <w:rsid w:val="00797DF6"/>
    <w:rsid w:val="00797E4E"/>
    <w:rsid w:val="007A05E1"/>
    <w:rsid w:val="007A0C13"/>
    <w:rsid w:val="007A0CA8"/>
    <w:rsid w:val="007A0EEA"/>
    <w:rsid w:val="007A1284"/>
    <w:rsid w:val="007A1ADE"/>
    <w:rsid w:val="007A1D82"/>
    <w:rsid w:val="007A2444"/>
    <w:rsid w:val="007A2A0B"/>
    <w:rsid w:val="007A3092"/>
    <w:rsid w:val="007A356A"/>
    <w:rsid w:val="007A3857"/>
    <w:rsid w:val="007A3C8C"/>
    <w:rsid w:val="007A4601"/>
    <w:rsid w:val="007A4B9C"/>
    <w:rsid w:val="007A56B7"/>
    <w:rsid w:val="007A5776"/>
    <w:rsid w:val="007A5895"/>
    <w:rsid w:val="007A5C5C"/>
    <w:rsid w:val="007A6B53"/>
    <w:rsid w:val="007A6C72"/>
    <w:rsid w:val="007A6D21"/>
    <w:rsid w:val="007A7021"/>
    <w:rsid w:val="007A74B8"/>
    <w:rsid w:val="007A7602"/>
    <w:rsid w:val="007A7801"/>
    <w:rsid w:val="007A790D"/>
    <w:rsid w:val="007A7E19"/>
    <w:rsid w:val="007B001D"/>
    <w:rsid w:val="007B0293"/>
    <w:rsid w:val="007B08CB"/>
    <w:rsid w:val="007B0A9C"/>
    <w:rsid w:val="007B0C04"/>
    <w:rsid w:val="007B0C3E"/>
    <w:rsid w:val="007B0ECD"/>
    <w:rsid w:val="007B0FBF"/>
    <w:rsid w:val="007B18A5"/>
    <w:rsid w:val="007B19DA"/>
    <w:rsid w:val="007B1D83"/>
    <w:rsid w:val="007B1DEC"/>
    <w:rsid w:val="007B241C"/>
    <w:rsid w:val="007B2A4F"/>
    <w:rsid w:val="007B2A6D"/>
    <w:rsid w:val="007B2C64"/>
    <w:rsid w:val="007B3402"/>
    <w:rsid w:val="007B3BD4"/>
    <w:rsid w:val="007B3D85"/>
    <w:rsid w:val="007B41A4"/>
    <w:rsid w:val="007B4476"/>
    <w:rsid w:val="007B46CD"/>
    <w:rsid w:val="007B4859"/>
    <w:rsid w:val="007B61BA"/>
    <w:rsid w:val="007B6B6E"/>
    <w:rsid w:val="007B6C6B"/>
    <w:rsid w:val="007B6D86"/>
    <w:rsid w:val="007B71E8"/>
    <w:rsid w:val="007B757B"/>
    <w:rsid w:val="007B781E"/>
    <w:rsid w:val="007B7982"/>
    <w:rsid w:val="007B7F74"/>
    <w:rsid w:val="007C0084"/>
    <w:rsid w:val="007C04DD"/>
    <w:rsid w:val="007C0BF3"/>
    <w:rsid w:val="007C0F05"/>
    <w:rsid w:val="007C13AE"/>
    <w:rsid w:val="007C1A4C"/>
    <w:rsid w:val="007C22EC"/>
    <w:rsid w:val="007C2766"/>
    <w:rsid w:val="007C2F83"/>
    <w:rsid w:val="007C346B"/>
    <w:rsid w:val="007C34BB"/>
    <w:rsid w:val="007C3F1C"/>
    <w:rsid w:val="007C3F4B"/>
    <w:rsid w:val="007C401E"/>
    <w:rsid w:val="007C5555"/>
    <w:rsid w:val="007C61F4"/>
    <w:rsid w:val="007C6305"/>
    <w:rsid w:val="007C647D"/>
    <w:rsid w:val="007C6AEC"/>
    <w:rsid w:val="007C6F59"/>
    <w:rsid w:val="007C6FED"/>
    <w:rsid w:val="007C708F"/>
    <w:rsid w:val="007C7420"/>
    <w:rsid w:val="007C7D80"/>
    <w:rsid w:val="007D014D"/>
    <w:rsid w:val="007D053D"/>
    <w:rsid w:val="007D07AB"/>
    <w:rsid w:val="007D0DFD"/>
    <w:rsid w:val="007D0F81"/>
    <w:rsid w:val="007D1250"/>
    <w:rsid w:val="007D13CA"/>
    <w:rsid w:val="007D16FA"/>
    <w:rsid w:val="007D1722"/>
    <w:rsid w:val="007D181A"/>
    <w:rsid w:val="007D18A3"/>
    <w:rsid w:val="007D1A7D"/>
    <w:rsid w:val="007D1CC3"/>
    <w:rsid w:val="007D1F1F"/>
    <w:rsid w:val="007D2187"/>
    <w:rsid w:val="007D25D5"/>
    <w:rsid w:val="007D263E"/>
    <w:rsid w:val="007D2CA2"/>
    <w:rsid w:val="007D2DC1"/>
    <w:rsid w:val="007D31F7"/>
    <w:rsid w:val="007D3630"/>
    <w:rsid w:val="007D3CE0"/>
    <w:rsid w:val="007D48E7"/>
    <w:rsid w:val="007D4D05"/>
    <w:rsid w:val="007D564A"/>
    <w:rsid w:val="007D60F8"/>
    <w:rsid w:val="007D6352"/>
    <w:rsid w:val="007D6A2D"/>
    <w:rsid w:val="007D707D"/>
    <w:rsid w:val="007D7181"/>
    <w:rsid w:val="007D7357"/>
    <w:rsid w:val="007D7431"/>
    <w:rsid w:val="007D76F3"/>
    <w:rsid w:val="007D7F0E"/>
    <w:rsid w:val="007D7F34"/>
    <w:rsid w:val="007E06CF"/>
    <w:rsid w:val="007E0757"/>
    <w:rsid w:val="007E07F9"/>
    <w:rsid w:val="007E0819"/>
    <w:rsid w:val="007E0943"/>
    <w:rsid w:val="007E0AF1"/>
    <w:rsid w:val="007E0D97"/>
    <w:rsid w:val="007E0F60"/>
    <w:rsid w:val="007E1A97"/>
    <w:rsid w:val="007E1AA9"/>
    <w:rsid w:val="007E1FB8"/>
    <w:rsid w:val="007E2629"/>
    <w:rsid w:val="007E2A82"/>
    <w:rsid w:val="007E2E9A"/>
    <w:rsid w:val="007E3584"/>
    <w:rsid w:val="007E3B57"/>
    <w:rsid w:val="007E45C9"/>
    <w:rsid w:val="007E4C5D"/>
    <w:rsid w:val="007E5BE6"/>
    <w:rsid w:val="007E6AB3"/>
    <w:rsid w:val="007E6F35"/>
    <w:rsid w:val="007E6FD4"/>
    <w:rsid w:val="007E75F8"/>
    <w:rsid w:val="007E77AD"/>
    <w:rsid w:val="007E7A6D"/>
    <w:rsid w:val="007E7D53"/>
    <w:rsid w:val="007F00D3"/>
    <w:rsid w:val="007F00FF"/>
    <w:rsid w:val="007F0133"/>
    <w:rsid w:val="007F03FF"/>
    <w:rsid w:val="007F05E3"/>
    <w:rsid w:val="007F07B5"/>
    <w:rsid w:val="007F0EAD"/>
    <w:rsid w:val="007F0FAA"/>
    <w:rsid w:val="007F1376"/>
    <w:rsid w:val="007F1833"/>
    <w:rsid w:val="007F1AC5"/>
    <w:rsid w:val="007F1BFD"/>
    <w:rsid w:val="007F1D68"/>
    <w:rsid w:val="007F2400"/>
    <w:rsid w:val="007F269A"/>
    <w:rsid w:val="007F27F2"/>
    <w:rsid w:val="007F28D5"/>
    <w:rsid w:val="007F28FB"/>
    <w:rsid w:val="007F2A95"/>
    <w:rsid w:val="007F2BF3"/>
    <w:rsid w:val="007F2D7A"/>
    <w:rsid w:val="007F3D5E"/>
    <w:rsid w:val="007F4487"/>
    <w:rsid w:val="007F44AB"/>
    <w:rsid w:val="007F490C"/>
    <w:rsid w:val="007F4B36"/>
    <w:rsid w:val="007F593C"/>
    <w:rsid w:val="007F59DC"/>
    <w:rsid w:val="007F5EA5"/>
    <w:rsid w:val="007F67D5"/>
    <w:rsid w:val="007F68DA"/>
    <w:rsid w:val="007F692B"/>
    <w:rsid w:val="007F6A37"/>
    <w:rsid w:val="007F6BC4"/>
    <w:rsid w:val="007F7162"/>
    <w:rsid w:val="007F72DC"/>
    <w:rsid w:val="007F77C2"/>
    <w:rsid w:val="007F7A9A"/>
    <w:rsid w:val="008009FD"/>
    <w:rsid w:val="00800E27"/>
    <w:rsid w:val="0080113B"/>
    <w:rsid w:val="00801189"/>
    <w:rsid w:val="0080178E"/>
    <w:rsid w:val="00801A53"/>
    <w:rsid w:val="00801AB0"/>
    <w:rsid w:val="00801EE2"/>
    <w:rsid w:val="00802842"/>
    <w:rsid w:val="00802A7C"/>
    <w:rsid w:val="0080367F"/>
    <w:rsid w:val="0080387B"/>
    <w:rsid w:val="008039AD"/>
    <w:rsid w:val="00803A2D"/>
    <w:rsid w:val="00803A86"/>
    <w:rsid w:val="00803DD5"/>
    <w:rsid w:val="0080417F"/>
    <w:rsid w:val="008042B4"/>
    <w:rsid w:val="008042C3"/>
    <w:rsid w:val="00804362"/>
    <w:rsid w:val="00804769"/>
    <w:rsid w:val="00804BC3"/>
    <w:rsid w:val="00804DE6"/>
    <w:rsid w:val="008050AC"/>
    <w:rsid w:val="008050F7"/>
    <w:rsid w:val="00805394"/>
    <w:rsid w:val="00805754"/>
    <w:rsid w:val="00805BC4"/>
    <w:rsid w:val="0080633B"/>
    <w:rsid w:val="00806969"/>
    <w:rsid w:val="00806A32"/>
    <w:rsid w:val="00806A64"/>
    <w:rsid w:val="00806D32"/>
    <w:rsid w:val="00807079"/>
    <w:rsid w:val="00807555"/>
    <w:rsid w:val="0080765C"/>
    <w:rsid w:val="008076DA"/>
    <w:rsid w:val="00807D5C"/>
    <w:rsid w:val="00807E14"/>
    <w:rsid w:val="00810531"/>
    <w:rsid w:val="0081081B"/>
    <w:rsid w:val="00810AAF"/>
    <w:rsid w:val="00810B4A"/>
    <w:rsid w:val="00810D07"/>
    <w:rsid w:val="00810E67"/>
    <w:rsid w:val="00811BE1"/>
    <w:rsid w:val="00811DFB"/>
    <w:rsid w:val="00811F6F"/>
    <w:rsid w:val="00812613"/>
    <w:rsid w:val="0081289A"/>
    <w:rsid w:val="00812905"/>
    <w:rsid w:val="00812CAE"/>
    <w:rsid w:val="00813391"/>
    <w:rsid w:val="00813410"/>
    <w:rsid w:val="008142A6"/>
    <w:rsid w:val="00814678"/>
    <w:rsid w:val="00814CDD"/>
    <w:rsid w:val="00814FE8"/>
    <w:rsid w:val="00815DB5"/>
    <w:rsid w:val="0081600F"/>
    <w:rsid w:val="00816059"/>
    <w:rsid w:val="008161A0"/>
    <w:rsid w:val="00816360"/>
    <w:rsid w:val="008164BB"/>
    <w:rsid w:val="00816711"/>
    <w:rsid w:val="0081774D"/>
    <w:rsid w:val="00817750"/>
    <w:rsid w:val="00817782"/>
    <w:rsid w:val="00817926"/>
    <w:rsid w:val="00817C30"/>
    <w:rsid w:val="00817EEB"/>
    <w:rsid w:val="00817F18"/>
    <w:rsid w:val="00817F69"/>
    <w:rsid w:val="00817FB0"/>
    <w:rsid w:val="008202A4"/>
    <w:rsid w:val="00820380"/>
    <w:rsid w:val="008203FF"/>
    <w:rsid w:val="0082050A"/>
    <w:rsid w:val="00820533"/>
    <w:rsid w:val="0082089D"/>
    <w:rsid w:val="00820E45"/>
    <w:rsid w:val="00820F59"/>
    <w:rsid w:val="00821910"/>
    <w:rsid w:val="00821C27"/>
    <w:rsid w:val="00821CC5"/>
    <w:rsid w:val="0082221F"/>
    <w:rsid w:val="0082250C"/>
    <w:rsid w:val="00822AE0"/>
    <w:rsid w:val="00822B78"/>
    <w:rsid w:val="00823E1A"/>
    <w:rsid w:val="00823E76"/>
    <w:rsid w:val="00823FC4"/>
    <w:rsid w:val="008243CA"/>
    <w:rsid w:val="0082484F"/>
    <w:rsid w:val="0082500B"/>
    <w:rsid w:val="00825900"/>
    <w:rsid w:val="00825CCF"/>
    <w:rsid w:val="0082624F"/>
    <w:rsid w:val="008266DE"/>
    <w:rsid w:val="00826A73"/>
    <w:rsid w:val="00826A80"/>
    <w:rsid w:val="00826E50"/>
    <w:rsid w:val="00827159"/>
    <w:rsid w:val="00827303"/>
    <w:rsid w:val="00827560"/>
    <w:rsid w:val="00827907"/>
    <w:rsid w:val="00827C7E"/>
    <w:rsid w:val="008303E0"/>
    <w:rsid w:val="0083040E"/>
    <w:rsid w:val="008308B8"/>
    <w:rsid w:val="00830EE1"/>
    <w:rsid w:val="008314E4"/>
    <w:rsid w:val="00831808"/>
    <w:rsid w:val="00831863"/>
    <w:rsid w:val="00831974"/>
    <w:rsid w:val="00831B4F"/>
    <w:rsid w:val="00831D3E"/>
    <w:rsid w:val="0083233B"/>
    <w:rsid w:val="0083234B"/>
    <w:rsid w:val="00832BED"/>
    <w:rsid w:val="00832DAC"/>
    <w:rsid w:val="00832FD2"/>
    <w:rsid w:val="00832FE9"/>
    <w:rsid w:val="008331ED"/>
    <w:rsid w:val="00833877"/>
    <w:rsid w:val="008338AB"/>
    <w:rsid w:val="00833A06"/>
    <w:rsid w:val="00833E45"/>
    <w:rsid w:val="0083408C"/>
    <w:rsid w:val="00834380"/>
    <w:rsid w:val="008343FE"/>
    <w:rsid w:val="008345FB"/>
    <w:rsid w:val="008348ED"/>
    <w:rsid w:val="00834CE8"/>
    <w:rsid w:val="0083522C"/>
    <w:rsid w:val="00835390"/>
    <w:rsid w:val="008354B9"/>
    <w:rsid w:val="00835640"/>
    <w:rsid w:val="0083577D"/>
    <w:rsid w:val="00835B3E"/>
    <w:rsid w:val="00835BD7"/>
    <w:rsid w:val="00835D5E"/>
    <w:rsid w:val="00835EC6"/>
    <w:rsid w:val="00835F47"/>
    <w:rsid w:val="00836B27"/>
    <w:rsid w:val="00836C1C"/>
    <w:rsid w:val="00836DA6"/>
    <w:rsid w:val="00836DE8"/>
    <w:rsid w:val="008373EA"/>
    <w:rsid w:val="008374B6"/>
    <w:rsid w:val="00837A88"/>
    <w:rsid w:val="00837F9F"/>
    <w:rsid w:val="008402C3"/>
    <w:rsid w:val="008404E6"/>
    <w:rsid w:val="0084059A"/>
    <w:rsid w:val="008405DF"/>
    <w:rsid w:val="00840FCA"/>
    <w:rsid w:val="00841027"/>
    <w:rsid w:val="00841F9B"/>
    <w:rsid w:val="008422F4"/>
    <w:rsid w:val="0084232A"/>
    <w:rsid w:val="008424F3"/>
    <w:rsid w:val="008424F8"/>
    <w:rsid w:val="0084264F"/>
    <w:rsid w:val="00842A36"/>
    <w:rsid w:val="00842CBA"/>
    <w:rsid w:val="00842F64"/>
    <w:rsid w:val="00843450"/>
    <w:rsid w:val="008435DF"/>
    <w:rsid w:val="00843A23"/>
    <w:rsid w:val="00843A76"/>
    <w:rsid w:val="0084443B"/>
    <w:rsid w:val="0084469C"/>
    <w:rsid w:val="00844AC5"/>
    <w:rsid w:val="00844BC1"/>
    <w:rsid w:val="00844F25"/>
    <w:rsid w:val="00845732"/>
    <w:rsid w:val="00846025"/>
    <w:rsid w:val="00847077"/>
    <w:rsid w:val="00847127"/>
    <w:rsid w:val="008471E1"/>
    <w:rsid w:val="00847271"/>
    <w:rsid w:val="00847628"/>
    <w:rsid w:val="00847C3E"/>
    <w:rsid w:val="00847CF1"/>
    <w:rsid w:val="008503C6"/>
    <w:rsid w:val="008504B6"/>
    <w:rsid w:val="008504D3"/>
    <w:rsid w:val="00851181"/>
    <w:rsid w:val="00851286"/>
    <w:rsid w:val="00851429"/>
    <w:rsid w:val="008516E0"/>
    <w:rsid w:val="0085177F"/>
    <w:rsid w:val="00852480"/>
    <w:rsid w:val="00852597"/>
    <w:rsid w:val="00852732"/>
    <w:rsid w:val="00852A3E"/>
    <w:rsid w:val="00852D73"/>
    <w:rsid w:val="00853324"/>
    <w:rsid w:val="00853378"/>
    <w:rsid w:val="0085393B"/>
    <w:rsid w:val="00853BCB"/>
    <w:rsid w:val="00853E50"/>
    <w:rsid w:val="00853E58"/>
    <w:rsid w:val="0085405A"/>
    <w:rsid w:val="00854081"/>
    <w:rsid w:val="00854188"/>
    <w:rsid w:val="008544A4"/>
    <w:rsid w:val="008547CD"/>
    <w:rsid w:val="0085527A"/>
    <w:rsid w:val="00855928"/>
    <w:rsid w:val="00855D95"/>
    <w:rsid w:val="00856162"/>
    <w:rsid w:val="008565E8"/>
    <w:rsid w:val="008567C4"/>
    <w:rsid w:val="00856873"/>
    <w:rsid w:val="00857548"/>
    <w:rsid w:val="00857B88"/>
    <w:rsid w:val="00857D45"/>
    <w:rsid w:val="00860551"/>
    <w:rsid w:val="00860717"/>
    <w:rsid w:val="008608D4"/>
    <w:rsid w:val="00860955"/>
    <w:rsid w:val="00860B76"/>
    <w:rsid w:val="008610E5"/>
    <w:rsid w:val="00861A14"/>
    <w:rsid w:val="00861D42"/>
    <w:rsid w:val="00861DF9"/>
    <w:rsid w:val="00862CFE"/>
    <w:rsid w:val="00863584"/>
    <w:rsid w:val="00863D70"/>
    <w:rsid w:val="00863E31"/>
    <w:rsid w:val="008640F1"/>
    <w:rsid w:val="00864410"/>
    <w:rsid w:val="008644CA"/>
    <w:rsid w:val="0086491C"/>
    <w:rsid w:val="00864BF7"/>
    <w:rsid w:val="00864CF6"/>
    <w:rsid w:val="00865793"/>
    <w:rsid w:val="00866130"/>
    <w:rsid w:val="00866870"/>
    <w:rsid w:val="008669E7"/>
    <w:rsid w:val="00866C33"/>
    <w:rsid w:val="00866D2C"/>
    <w:rsid w:val="00867177"/>
    <w:rsid w:val="0086728B"/>
    <w:rsid w:val="00870225"/>
    <w:rsid w:val="0087033F"/>
    <w:rsid w:val="00870789"/>
    <w:rsid w:val="0087084A"/>
    <w:rsid w:val="00870F9C"/>
    <w:rsid w:val="0087152B"/>
    <w:rsid w:val="0087172E"/>
    <w:rsid w:val="00871E75"/>
    <w:rsid w:val="00872039"/>
    <w:rsid w:val="008727DC"/>
    <w:rsid w:val="008727DE"/>
    <w:rsid w:val="00873153"/>
    <w:rsid w:val="0087372A"/>
    <w:rsid w:val="008738D7"/>
    <w:rsid w:val="00873DA0"/>
    <w:rsid w:val="00873F2F"/>
    <w:rsid w:val="00874400"/>
    <w:rsid w:val="008747BE"/>
    <w:rsid w:val="00874AF0"/>
    <w:rsid w:val="00874CFA"/>
    <w:rsid w:val="008752A7"/>
    <w:rsid w:val="00875769"/>
    <w:rsid w:val="008757AA"/>
    <w:rsid w:val="008759C7"/>
    <w:rsid w:val="00875B62"/>
    <w:rsid w:val="00875F0E"/>
    <w:rsid w:val="008761A4"/>
    <w:rsid w:val="008762C7"/>
    <w:rsid w:val="008763D2"/>
    <w:rsid w:val="00876719"/>
    <w:rsid w:val="00876A5F"/>
    <w:rsid w:val="00876D6B"/>
    <w:rsid w:val="00877073"/>
    <w:rsid w:val="00877F80"/>
    <w:rsid w:val="00880179"/>
    <w:rsid w:val="00880189"/>
    <w:rsid w:val="008803F8"/>
    <w:rsid w:val="00880433"/>
    <w:rsid w:val="008804B6"/>
    <w:rsid w:val="008804ED"/>
    <w:rsid w:val="00880625"/>
    <w:rsid w:val="0088098B"/>
    <w:rsid w:val="00880A26"/>
    <w:rsid w:val="0088157D"/>
    <w:rsid w:val="008818C4"/>
    <w:rsid w:val="00881CB8"/>
    <w:rsid w:val="00881CCD"/>
    <w:rsid w:val="008824AC"/>
    <w:rsid w:val="00883018"/>
    <w:rsid w:val="008831DD"/>
    <w:rsid w:val="0088401F"/>
    <w:rsid w:val="00884079"/>
    <w:rsid w:val="0088425E"/>
    <w:rsid w:val="008844F0"/>
    <w:rsid w:val="008845CA"/>
    <w:rsid w:val="008845F9"/>
    <w:rsid w:val="008846B5"/>
    <w:rsid w:val="00884860"/>
    <w:rsid w:val="00885414"/>
    <w:rsid w:val="008854C1"/>
    <w:rsid w:val="008859D8"/>
    <w:rsid w:val="00885B34"/>
    <w:rsid w:val="00885CFC"/>
    <w:rsid w:val="00885DF6"/>
    <w:rsid w:val="00885E07"/>
    <w:rsid w:val="0088643B"/>
    <w:rsid w:val="00886688"/>
    <w:rsid w:val="008866A5"/>
    <w:rsid w:val="0088686B"/>
    <w:rsid w:val="00886A5A"/>
    <w:rsid w:val="00886B4E"/>
    <w:rsid w:val="00886B6E"/>
    <w:rsid w:val="00886C95"/>
    <w:rsid w:val="00886DCB"/>
    <w:rsid w:val="008872BC"/>
    <w:rsid w:val="00887300"/>
    <w:rsid w:val="0088747B"/>
    <w:rsid w:val="008878E6"/>
    <w:rsid w:val="00887AFF"/>
    <w:rsid w:val="00887C53"/>
    <w:rsid w:val="00887E6D"/>
    <w:rsid w:val="00891061"/>
    <w:rsid w:val="00891390"/>
    <w:rsid w:val="00891481"/>
    <w:rsid w:val="00892207"/>
    <w:rsid w:val="00892241"/>
    <w:rsid w:val="008922CC"/>
    <w:rsid w:val="008923EC"/>
    <w:rsid w:val="008925A6"/>
    <w:rsid w:val="008927DF"/>
    <w:rsid w:val="0089291F"/>
    <w:rsid w:val="0089299A"/>
    <w:rsid w:val="00892B2E"/>
    <w:rsid w:val="00892FF0"/>
    <w:rsid w:val="0089307E"/>
    <w:rsid w:val="00893993"/>
    <w:rsid w:val="00893F82"/>
    <w:rsid w:val="00894114"/>
    <w:rsid w:val="0089433B"/>
    <w:rsid w:val="00894549"/>
    <w:rsid w:val="00894904"/>
    <w:rsid w:val="0089494D"/>
    <w:rsid w:val="00894DE0"/>
    <w:rsid w:val="0089602E"/>
    <w:rsid w:val="008960BD"/>
    <w:rsid w:val="00896839"/>
    <w:rsid w:val="00896993"/>
    <w:rsid w:val="00896A51"/>
    <w:rsid w:val="00897492"/>
    <w:rsid w:val="008978F9"/>
    <w:rsid w:val="00897C23"/>
    <w:rsid w:val="00897ED7"/>
    <w:rsid w:val="008A044B"/>
    <w:rsid w:val="008A04E3"/>
    <w:rsid w:val="008A0E52"/>
    <w:rsid w:val="008A1065"/>
    <w:rsid w:val="008A139C"/>
    <w:rsid w:val="008A183C"/>
    <w:rsid w:val="008A19D6"/>
    <w:rsid w:val="008A1DFB"/>
    <w:rsid w:val="008A26A5"/>
    <w:rsid w:val="008A26F4"/>
    <w:rsid w:val="008A2AD3"/>
    <w:rsid w:val="008A2D84"/>
    <w:rsid w:val="008A2DA1"/>
    <w:rsid w:val="008A3237"/>
    <w:rsid w:val="008A360F"/>
    <w:rsid w:val="008A41C0"/>
    <w:rsid w:val="008A44EA"/>
    <w:rsid w:val="008A469D"/>
    <w:rsid w:val="008A5A22"/>
    <w:rsid w:val="008A5CD2"/>
    <w:rsid w:val="008A5DBD"/>
    <w:rsid w:val="008A5E03"/>
    <w:rsid w:val="008A5EDF"/>
    <w:rsid w:val="008A6234"/>
    <w:rsid w:val="008A66D9"/>
    <w:rsid w:val="008A6DCE"/>
    <w:rsid w:val="008A7A01"/>
    <w:rsid w:val="008A7A54"/>
    <w:rsid w:val="008A7D2A"/>
    <w:rsid w:val="008A7EC7"/>
    <w:rsid w:val="008B02B9"/>
    <w:rsid w:val="008B05AB"/>
    <w:rsid w:val="008B0643"/>
    <w:rsid w:val="008B0C80"/>
    <w:rsid w:val="008B1021"/>
    <w:rsid w:val="008B1175"/>
    <w:rsid w:val="008B1E78"/>
    <w:rsid w:val="008B20A9"/>
    <w:rsid w:val="008B262A"/>
    <w:rsid w:val="008B2631"/>
    <w:rsid w:val="008B2E7E"/>
    <w:rsid w:val="008B3075"/>
    <w:rsid w:val="008B329E"/>
    <w:rsid w:val="008B34ED"/>
    <w:rsid w:val="008B3A60"/>
    <w:rsid w:val="008B3CCF"/>
    <w:rsid w:val="008B4375"/>
    <w:rsid w:val="008B43FC"/>
    <w:rsid w:val="008B4D0A"/>
    <w:rsid w:val="008B51AF"/>
    <w:rsid w:val="008B525C"/>
    <w:rsid w:val="008B5416"/>
    <w:rsid w:val="008B55B1"/>
    <w:rsid w:val="008B5646"/>
    <w:rsid w:val="008B5ABE"/>
    <w:rsid w:val="008B5AD0"/>
    <w:rsid w:val="008B689D"/>
    <w:rsid w:val="008B6935"/>
    <w:rsid w:val="008B6999"/>
    <w:rsid w:val="008B6B70"/>
    <w:rsid w:val="008B72CC"/>
    <w:rsid w:val="008B786F"/>
    <w:rsid w:val="008B7923"/>
    <w:rsid w:val="008B7BE9"/>
    <w:rsid w:val="008B7F06"/>
    <w:rsid w:val="008C0314"/>
    <w:rsid w:val="008C0354"/>
    <w:rsid w:val="008C05CC"/>
    <w:rsid w:val="008C067A"/>
    <w:rsid w:val="008C0EC1"/>
    <w:rsid w:val="008C10CE"/>
    <w:rsid w:val="008C12E3"/>
    <w:rsid w:val="008C191B"/>
    <w:rsid w:val="008C26AF"/>
    <w:rsid w:val="008C2770"/>
    <w:rsid w:val="008C2BBA"/>
    <w:rsid w:val="008C2C48"/>
    <w:rsid w:val="008C2C55"/>
    <w:rsid w:val="008C2DC8"/>
    <w:rsid w:val="008C2DDF"/>
    <w:rsid w:val="008C2E01"/>
    <w:rsid w:val="008C2EFF"/>
    <w:rsid w:val="008C3D9E"/>
    <w:rsid w:val="008C41C1"/>
    <w:rsid w:val="008C4271"/>
    <w:rsid w:val="008C4365"/>
    <w:rsid w:val="008C44CB"/>
    <w:rsid w:val="008C47B0"/>
    <w:rsid w:val="008C497A"/>
    <w:rsid w:val="008C4FB6"/>
    <w:rsid w:val="008C5306"/>
    <w:rsid w:val="008C54D0"/>
    <w:rsid w:val="008C577E"/>
    <w:rsid w:val="008C58DD"/>
    <w:rsid w:val="008C5B1B"/>
    <w:rsid w:val="008C5C2E"/>
    <w:rsid w:val="008C5F4E"/>
    <w:rsid w:val="008C6098"/>
    <w:rsid w:val="008C65BC"/>
    <w:rsid w:val="008C68C9"/>
    <w:rsid w:val="008C72ED"/>
    <w:rsid w:val="008C76B7"/>
    <w:rsid w:val="008C77A8"/>
    <w:rsid w:val="008C7F78"/>
    <w:rsid w:val="008D00A8"/>
    <w:rsid w:val="008D0FC5"/>
    <w:rsid w:val="008D133F"/>
    <w:rsid w:val="008D1D53"/>
    <w:rsid w:val="008D1DF1"/>
    <w:rsid w:val="008D1FE9"/>
    <w:rsid w:val="008D2082"/>
    <w:rsid w:val="008D24E0"/>
    <w:rsid w:val="008D26AE"/>
    <w:rsid w:val="008D2765"/>
    <w:rsid w:val="008D2B10"/>
    <w:rsid w:val="008D2C27"/>
    <w:rsid w:val="008D3284"/>
    <w:rsid w:val="008D32AE"/>
    <w:rsid w:val="008D3747"/>
    <w:rsid w:val="008D3D53"/>
    <w:rsid w:val="008D3DED"/>
    <w:rsid w:val="008D43EF"/>
    <w:rsid w:val="008D4635"/>
    <w:rsid w:val="008D47BC"/>
    <w:rsid w:val="008D49CF"/>
    <w:rsid w:val="008D4D29"/>
    <w:rsid w:val="008D4F08"/>
    <w:rsid w:val="008D5211"/>
    <w:rsid w:val="008D5C3C"/>
    <w:rsid w:val="008D5DBF"/>
    <w:rsid w:val="008D65D2"/>
    <w:rsid w:val="008D6787"/>
    <w:rsid w:val="008D6830"/>
    <w:rsid w:val="008D6963"/>
    <w:rsid w:val="008D6DAA"/>
    <w:rsid w:val="008D7064"/>
    <w:rsid w:val="008D715B"/>
    <w:rsid w:val="008D7168"/>
    <w:rsid w:val="008E0AE8"/>
    <w:rsid w:val="008E0B15"/>
    <w:rsid w:val="008E0CF5"/>
    <w:rsid w:val="008E0E9A"/>
    <w:rsid w:val="008E0EE6"/>
    <w:rsid w:val="008E1495"/>
    <w:rsid w:val="008E164A"/>
    <w:rsid w:val="008E18A0"/>
    <w:rsid w:val="008E2486"/>
    <w:rsid w:val="008E2698"/>
    <w:rsid w:val="008E2B2A"/>
    <w:rsid w:val="008E2C1D"/>
    <w:rsid w:val="008E34C6"/>
    <w:rsid w:val="008E357B"/>
    <w:rsid w:val="008E3E2C"/>
    <w:rsid w:val="008E3EDA"/>
    <w:rsid w:val="008E422E"/>
    <w:rsid w:val="008E4293"/>
    <w:rsid w:val="008E43A9"/>
    <w:rsid w:val="008E470C"/>
    <w:rsid w:val="008E487B"/>
    <w:rsid w:val="008E4A3A"/>
    <w:rsid w:val="008E4B09"/>
    <w:rsid w:val="008E4F34"/>
    <w:rsid w:val="008E5672"/>
    <w:rsid w:val="008E584D"/>
    <w:rsid w:val="008E5C42"/>
    <w:rsid w:val="008E5F33"/>
    <w:rsid w:val="008E620B"/>
    <w:rsid w:val="008E687D"/>
    <w:rsid w:val="008E6BD7"/>
    <w:rsid w:val="008E6FE0"/>
    <w:rsid w:val="008E73B3"/>
    <w:rsid w:val="008E778B"/>
    <w:rsid w:val="008E77A5"/>
    <w:rsid w:val="008E788F"/>
    <w:rsid w:val="008F0B77"/>
    <w:rsid w:val="008F0BF7"/>
    <w:rsid w:val="008F0E84"/>
    <w:rsid w:val="008F1099"/>
    <w:rsid w:val="008F1774"/>
    <w:rsid w:val="008F18A2"/>
    <w:rsid w:val="008F1D63"/>
    <w:rsid w:val="008F2086"/>
    <w:rsid w:val="008F20B7"/>
    <w:rsid w:val="008F211B"/>
    <w:rsid w:val="008F2180"/>
    <w:rsid w:val="008F26D1"/>
    <w:rsid w:val="008F2C25"/>
    <w:rsid w:val="008F2F17"/>
    <w:rsid w:val="008F3137"/>
    <w:rsid w:val="008F36F3"/>
    <w:rsid w:val="008F38A3"/>
    <w:rsid w:val="008F3C0D"/>
    <w:rsid w:val="008F4A0E"/>
    <w:rsid w:val="008F4C9E"/>
    <w:rsid w:val="008F529A"/>
    <w:rsid w:val="008F578F"/>
    <w:rsid w:val="008F6475"/>
    <w:rsid w:val="008F69F7"/>
    <w:rsid w:val="008F6AC2"/>
    <w:rsid w:val="008F6ACE"/>
    <w:rsid w:val="008F6EA5"/>
    <w:rsid w:val="008F6EE0"/>
    <w:rsid w:val="008F7649"/>
    <w:rsid w:val="008F76A2"/>
    <w:rsid w:val="008F7966"/>
    <w:rsid w:val="009002D9"/>
    <w:rsid w:val="00900A5B"/>
    <w:rsid w:val="00901BD8"/>
    <w:rsid w:val="00902025"/>
    <w:rsid w:val="009022CB"/>
    <w:rsid w:val="009022F0"/>
    <w:rsid w:val="00902485"/>
    <w:rsid w:val="00902798"/>
    <w:rsid w:val="00902913"/>
    <w:rsid w:val="00902BF1"/>
    <w:rsid w:val="00902FD4"/>
    <w:rsid w:val="00903114"/>
    <w:rsid w:val="00903217"/>
    <w:rsid w:val="0090357E"/>
    <w:rsid w:val="00903ABB"/>
    <w:rsid w:val="00903BC9"/>
    <w:rsid w:val="00903C64"/>
    <w:rsid w:val="009045C3"/>
    <w:rsid w:val="0090462E"/>
    <w:rsid w:val="00904ECB"/>
    <w:rsid w:val="00905326"/>
    <w:rsid w:val="0090570D"/>
    <w:rsid w:val="009057A6"/>
    <w:rsid w:val="009057CD"/>
    <w:rsid w:val="00905922"/>
    <w:rsid w:val="00905A05"/>
    <w:rsid w:val="0090675C"/>
    <w:rsid w:val="009069FE"/>
    <w:rsid w:val="00906ED3"/>
    <w:rsid w:val="00907322"/>
    <w:rsid w:val="00907353"/>
    <w:rsid w:val="009076F1"/>
    <w:rsid w:val="00907A03"/>
    <w:rsid w:val="00907C27"/>
    <w:rsid w:val="00907C58"/>
    <w:rsid w:val="00907CB4"/>
    <w:rsid w:val="00910529"/>
    <w:rsid w:val="00910978"/>
    <w:rsid w:val="00910CBF"/>
    <w:rsid w:val="00910D3D"/>
    <w:rsid w:val="00911704"/>
    <w:rsid w:val="009117F5"/>
    <w:rsid w:val="00911835"/>
    <w:rsid w:val="00911D13"/>
    <w:rsid w:val="00912316"/>
    <w:rsid w:val="0091281D"/>
    <w:rsid w:val="00912F57"/>
    <w:rsid w:val="00913100"/>
    <w:rsid w:val="00913639"/>
    <w:rsid w:val="00913EB7"/>
    <w:rsid w:val="00913F94"/>
    <w:rsid w:val="0091405B"/>
    <w:rsid w:val="009141D5"/>
    <w:rsid w:val="009143C5"/>
    <w:rsid w:val="00915353"/>
    <w:rsid w:val="009153CF"/>
    <w:rsid w:val="0091556F"/>
    <w:rsid w:val="00915B03"/>
    <w:rsid w:val="00915CFE"/>
    <w:rsid w:val="00915DAA"/>
    <w:rsid w:val="00915EE1"/>
    <w:rsid w:val="0091661D"/>
    <w:rsid w:val="00916C61"/>
    <w:rsid w:val="00916CF5"/>
    <w:rsid w:val="00917025"/>
    <w:rsid w:val="009176D7"/>
    <w:rsid w:val="0091782B"/>
    <w:rsid w:val="009178B0"/>
    <w:rsid w:val="00917A26"/>
    <w:rsid w:val="00917ED4"/>
    <w:rsid w:val="009205C3"/>
    <w:rsid w:val="0092063D"/>
    <w:rsid w:val="0092090C"/>
    <w:rsid w:val="00920BA9"/>
    <w:rsid w:val="00920BE3"/>
    <w:rsid w:val="00921217"/>
    <w:rsid w:val="009216C5"/>
    <w:rsid w:val="00921E78"/>
    <w:rsid w:val="00922579"/>
    <w:rsid w:val="009228C1"/>
    <w:rsid w:val="00922978"/>
    <w:rsid w:val="00922C99"/>
    <w:rsid w:val="00922D30"/>
    <w:rsid w:val="00923399"/>
    <w:rsid w:val="0092385B"/>
    <w:rsid w:val="0092385E"/>
    <w:rsid w:val="00923A83"/>
    <w:rsid w:val="00923C2E"/>
    <w:rsid w:val="00923E12"/>
    <w:rsid w:val="00923E28"/>
    <w:rsid w:val="00924497"/>
    <w:rsid w:val="00924705"/>
    <w:rsid w:val="00924B9B"/>
    <w:rsid w:val="009252B5"/>
    <w:rsid w:val="0092555D"/>
    <w:rsid w:val="00926B40"/>
    <w:rsid w:val="00926C63"/>
    <w:rsid w:val="009273CC"/>
    <w:rsid w:val="00927845"/>
    <w:rsid w:val="00927B2D"/>
    <w:rsid w:val="00927B8E"/>
    <w:rsid w:val="0093055C"/>
    <w:rsid w:val="009305FB"/>
    <w:rsid w:val="00930AEA"/>
    <w:rsid w:val="00930E7E"/>
    <w:rsid w:val="00930F5F"/>
    <w:rsid w:val="0093198F"/>
    <w:rsid w:val="00931C7C"/>
    <w:rsid w:val="00932442"/>
    <w:rsid w:val="00932C8C"/>
    <w:rsid w:val="00932EEA"/>
    <w:rsid w:val="009336EF"/>
    <w:rsid w:val="009337AE"/>
    <w:rsid w:val="0093385A"/>
    <w:rsid w:val="00933DAD"/>
    <w:rsid w:val="00933E2B"/>
    <w:rsid w:val="0093411A"/>
    <w:rsid w:val="0093422E"/>
    <w:rsid w:val="009343D0"/>
    <w:rsid w:val="009348BB"/>
    <w:rsid w:val="00934E7B"/>
    <w:rsid w:val="00934ED5"/>
    <w:rsid w:val="00935055"/>
    <w:rsid w:val="00935888"/>
    <w:rsid w:val="00935D57"/>
    <w:rsid w:val="00935F7B"/>
    <w:rsid w:val="0093609D"/>
    <w:rsid w:val="009364CE"/>
    <w:rsid w:val="00937223"/>
    <w:rsid w:val="009376AC"/>
    <w:rsid w:val="009379BC"/>
    <w:rsid w:val="00940285"/>
    <w:rsid w:val="00940F8A"/>
    <w:rsid w:val="009410F8"/>
    <w:rsid w:val="00941221"/>
    <w:rsid w:val="009418B4"/>
    <w:rsid w:val="00941A8B"/>
    <w:rsid w:val="00941B5D"/>
    <w:rsid w:val="009421AF"/>
    <w:rsid w:val="0094267C"/>
    <w:rsid w:val="00942799"/>
    <w:rsid w:val="00942EA0"/>
    <w:rsid w:val="00942FE1"/>
    <w:rsid w:val="0094373D"/>
    <w:rsid w:val="009439F6"/>
    <w:rsid w:val="00943BD1"/>
    <w:rsid w:val="00943F09"/>
    <w:rsid w:val="009443A2"/>
    <w:rsid w:val="00944526"/>
    <w:rsid w:val="00945023"/>
    <w:rsid w:val="00945257"/>
    <w:rsid w:val="009453A8"/>
    <w:rsid w:val="009457C2"/>
    <w:rsid w:val="009457C8"/>
    <w:rsid w:val="00945827"/>
    <w:rsid w:val="00945CF3"/>
    <w:rsid w:val="009462AE"/>
    <w:rsid w:val="00946808"/>
    <w:rsid w:val="00946905"/>
    <w:rsid w:val="00947AC6"/>
    <w:rsid w:val="009506AF"/>
    <w:rsid w:val="009507A5"/>
    <w:rsid w:val="00950B9F"/>
    <w:rsid w:val="0095120A"/>
    <w:rsid w:val="009513B0"/>
    <w:rsid w:val="009513EA"/>
    <w:rsid w:val="0095140C"/>
    <w:rsid w:val="0095147A"/>
    <w:rsid w:val="00951CBB"/>
    <w:rsid w:val="009523C2"/>
    <w:rsid w:val="00952758"/>
    <w:rsid w:val="009534E0"/>
    <w:rsid w:val="0095356F"/>
    <w:rsid w:val="00953832"/>
    <w:rsid w:val="0095409F"/>
    <w:rsid w:val="00954647"/>
    <w:rsid w:val="00954822"/>
    <w:rsid w:val="00954C57"/>
    <w:rsid w:val="00954C8D"/>
    <w:rsid w:val="009553CF"/>
    <w:rsid w:val="00955BD1"/>
    <w:rsid w:val="009560DB"/>
    <w:rsid w:val="00956730"/>
    <w:rsid w:val="0095674D"/>
    <w:rsid w:val="00957233"/>
    <w:rsid w:val="0095788C"/>
    <w:rsid w:val="00960722"/>
    <w:rsid w:val="00961114"/>
    <w:rsid w:val="00961374"/>
    <w:rsid w:val="009614DF"/>
    <w:rsid w:val="009616EE"/>
    <w:rsid w:val="009619CA"/>
    <w:rsid w:val="00961AA8"/>
    <w:rsid w:val="00961C21"/>
    <w:rsid w:val="009622F6"/>
    <w:rsid w:val="009622F9"/>
    <w:rsid w:val="009625E6"/>
    <w:rsid w:val="009627AD"/>
    <w:rsid w:val="00962ADD"/>
    <w:rsid w:val="00962CB2"/>
    <w:rsid w:val="00962D64"/>
    <w:rsid w:val="0096307C"/>
    <w:rsid w:val="0096316E"/>
    <w:rsid w:val="0096347B"/>
    <w:rsid w:val="00963540"/>
    <w:rsid w:val="00963E1B"/>
    <w:rsid w:val="00963EA7"/>
    <w:rsid w:val="009641F5"/>
    <w:rsid w:val="00964341"/>
    <w:rsid w:val="00964D7C"/>
    <w:rsid w:val="00964F94"/>
    <w:rsid w:val="00965766"/>
    <w:rsid w:val="009658E2"/>
    <w:rsid w:val="009659B7"/>
    <w:rsid w:val="00965DFC"/>
    <w:rsid w:val="009661DC"/>
    <w:rsid w:val="00966A36"/>
    <w:rsid w:val="00966B59"/>
    <w:rsid w:val="00966F78"/>
    <w:rsid w:val="00967167"/>
    <w:rsid w:val="009673C6"/>
    <w:rsid w:val="00967670"/>
    <w:rsid w:val="00967D44"/>
    <w:rsid w:val="00967D73"/>
    <w:rsid w:val="00967E66"/>
    <w:rsid w:val="009702D1"/>
    <w:rsid w:val="00970301"/>
    <w:rsid w:val="0097059B"/>
    <w:rsid w:val="0097094B"/>
    <w:rsid w:val="00970EA8"/>
    <w:rsid w:val="009710E5"/>
    <w:rsid w:val="0097129E"/>
    <w:rsid w:val="00971441"/>
    <w:rsid w:val="00971A66"/>
    <w:rsid w:val="00972725"/>
    <w:rsid w:val="00973145"/>
    <w:rsid w:val="0097321C"/>
    <w:rsid w:val="00973586"/>
    <w:rsid w:val="00973D61"/>
    <w:rsid w:val="0097414E"/>
    <w:rsid w:val="009746D0"/>
    <w:rsid w:val="009748D2"/>
    <w:rsid w:val="00975288"/>
    <w:rsid w:val="0097531F"/>
    <w:rsid w:val="00975475"/>
    <w:rsid w:val="00975838"/>
    <w:rsid w:val="0097597F"/>
    <w:rsid w:val="00975A01"/>
    <w:rsid w:val="00975BD4"/>
    <w:rsid w:val="00975E6D"/>
    <w:rsid w:val="00976454"/>
    <w:rsid w:val="00976543"/>
    <w:rsid w:val="009765DC"/>
    <w:rsid w:val="00976773"/>
    <w:rsid w:val="00977618"/>
    <w:rsid w:val="009777D4"/>
    <w:rsid w:val="00977A91"/>
    <w:rsid w:val="00977B64"/>
    <w:rsid w:val="00977BF8"/>
    <w:rsid w:val="00977D4A"/>
    <w:rsid w:val="00977D50"/>
    <w:rsid w:val="00977DD6"/>
    <w:rsid w:val="00980566"/>
    <w:rsid w:val="00980B76"/>
    <w:rsid w:val="00981027"/>
    <w:rsid w:val="00981444"/>
    <w:rsid w:val="00981615"/>
    <w:rsid w:val="009816A4"/>
    <w:rsid w:val="009817D0"/>
    <w:rsid w:val="00981DA1"/>
    <w:rsid w:val="00982250"/>
    <w:rsid w:val="0098258D"/>
    <w:rsid w:val="009827B0"/>
    <w:rsid w:val="00982880"/>
    <w:rsid w:val="00982A48"/>
    <w:rsid w:val="00982AC7"/>
    <w:rsid w:val="00982B3F"/>
    <w:rsid w:val="00982EC8"/>
    <w:rsid w:val="00982EEA"/>
    <w:rsid w:val="00982F4F"/>
    <w:rsid w:val="00983E02"/>
    <w:rsid w:val="00984B12"/>
    <w:rsid w:val="00985056"/>
    <w:rsid w:val="0098507A"/>
    <w:rsid w:val="0098547A"/>
    <w:rsid w:val="00985613"/>
    <w:rsid w:val="00985680"/>
    <w:rsid w:val="00985713"/>
    <w:rsid w:val="00986392"/>
    <w:rsid w:val="0098661D"/>
    <w:rsid w:val="0098749D"/>
    <w:rsid w:val="00987BD9"/>
    <w:rsid w:val="00987F04"/>
    <w:rsid w:val="00987F79"/>
    <w:rsid w:val="00990494"/>
    <w:rsid w:val="009904EB"/>
    <w:rsid w:val="0099098A"/>
    <w:rsid w:val="00990E31"/>
    <w:rsid w:val="00990E4B"/>
    <w:rsid w:val="00990FCA"/>
    <w:rsid w:val="0099122D"/>
    <w:rsid w:val="00991952"/>
    <w:rsid w:val="0099199F"/>
    <w:rsid w:val="00992402"/>
    <w:rsid w:val="009927CE"/>
    <w:rsid w:val="009928B7"/>
    <w:rsid w:val="0099322D"/>
    <w:rsid w:val="009935F0"/>
    <w:rsid w:val="0099367A"/>
    <w:rsid w:val="00993B7A"/>
    <w:rsid w:val="00993C5A"/>
    <w:rsid w:val="0099408B"/>
    <w:rsid w:val="009940F7"/>
    <w:rsid w:val="00994500"/>
    <w:rsid w:val="009955E1"/>
    <w:rsid w:val="0099564B"/>
    <w:rsid w:val="00995BDF"/>
    <w:rsid w:val="00995C38"/>
    <w:rsid w:val="00995CA4"/>
    <w:rsid w:val="00995F8D"/>
    <w:rsid w:val="00996251"/>
    <w:rsid w:val="009964F7"/>
    <w:rsid w:val="00996673"/>
    <w:rsid w:val="009969F2"/>
    <w:rsid w:val="00996E03"/>
    <w:rsid w:val="00996F49"/>
    <w:rsid w:val="009973C2"/>
    <w:rsid w:val="00997923"/>
    <w:rsid w:val="00997C36"/>
    <w:rsid w:val="009A0569"/>
    <w:rsid w:val="009A0E71"/>
    <w:rsid w:val="009A0EF4"/>
    <w:rsid w:val="009A1D48"/>
    <w:rsid w:val="009A20F4"/>
    <w:rsid w:val="009A2422"/>
    <w:rsid w:val="009A28E1"/>
    <w:rsid w:val="009A2911"/>
    <w:rsid w:val="009A29CC"/>
    <w:rsid w:val="009A2B3C"/>
    <w:rsid w:val="009A315A"/>
    <w:rsid w:val="009A3547"/>
    <w:rsid w:val="009A3ECA"/>
    <w:rsid w:val="009A3F5F"/>
    <w:rsid w:val="009A4079"/>
    <w:rsid w:val="009A40AB"/>
    <w:rsid w:val="009A454D"/>
    <w:rsid w:val="009A4E5E"/>
    <w:rsid w:val="009A521F"/>
    <w:rsid w:val="009A54B2"/>
    <w:rsid w:val="009A563C"/>
    <w:rsid w:val="009A6166"/>
    <w:rsid w:val="009A6169"/>
    <w:rsid w:val="009A67D5"/>
    <w:rsid w:val="009A6C94"/>
    <w:rsid w:val="009A71D1"/>
    <w:rsid w:val="009A74C9"/>
    <w:rsid w:val="009A7758"/>
    <w:rsid w:val="009A7986"/>
    <w:rsid w:val="009B0012"/>
    <w:rsid w:val="009B0C84"/>
    <w:rsid w:val="009B0DEB"/>
    <w:rsid w:val="009B0E55"/>
    <w:rsid w:val="009B1B09"/>
    <w:rsid w:val="009B1FF6"/>
    <w:rsid w:val="009B2414"/>
    <w:rsid w:val="009B29FD"/>
    <w:rsid w:val="009B3181"/>
    <w:rsid w:val="009B361C"/>
    <w:rsid w:val="009B36E6"/>
    <w:rsid w:val="009B36FE"/>
    <w:rsid w:val="009B3916"/>
    <w:rsid w:val="009B4022"/>
    <w:rsid w:val="009B47BE"/>
    <w:rsid w:val="009B4D88"/>
    <w:rsid w:val="009B5734"/>
    <w:rsid w:val="009B5861"/>
    <w:rsid w:val="009B5A9A"/>
    <w:rsid w:val="009B5AEE"/>
    <w:rsid w:val="009B5D13"/>
    <w:rsid w:val="009B6A2D"/>
    <w:rsid w:val="009B6B54"/>
    <w:rsid w:val="009B7426"/>
    <w:rsid w:val="009B7DF7"/>
    <w:rsid w:val="009C0275"/>
    <w:rsid w:val="009C0891"/>
    <w:rsid w:val="009C09FB"/>
    <w:rsid w:val="009C0A8F"/>
    <w:rsid w:val="009C0BF2"/>
    <w:rsid w:val="009C108E"/>
    <w:rsid w:val="009C12C9"/>
    <w:rsid w:val="009C130D"/>
    <w:rsid w:val="009C1343"/>
    <w:rsid w:val="009C150F"/>
    <w:rsid w:val="009C176D"/>
    <w:rsid w:val="009C1A84"/>
    <w:rsid w:val="009C1B61"/>
    <w:rsid w:val="009C2060"/>
    <w:rsid w:val="009C2621"/>
    <w:rsid w:val="009C3771"/>
    <w:rsid w:val="009C3F13"/>
    <w:rsid w:val="009C400E"/>
    <w:rsid w:val="009C4375"/>
    <w:rsid w:val="009C4959"/>
    <w:rsid w:val="009C4D64"/>
    <w:rsid w:val="009C4E34"/>
    <w:rsid w:val="009C4FFB"/>
    <w:rsid w:val="009C507E"/>
    <w:rsid w:val="009C52D9"/>
    <w:rsid w:val="009C56D9"/>
    <w:rsid w:val="009C599B"/>
    <w:rsid w:val="009C5D08"/>
    <w:rsid w:val="009C6000"/>
    <w:rsid w:val="009C65EC"/>
    <w:rsid w:val="009C6AB0"/>
    <w:rsid w:val="009C6EB6"/>
    <w:rsid w:val="009C78FE"/>
    <w:rsid w:val="009C7AA8"/>
    <w:rsid w:val="009C7AE7"/>
    <w:rsid w:val="009D0317"/>
    <w:rsid w:val="009D0513"/>
    <w:rsid w:val="009D051F"/>
    <w:rsid w:val="009D11A2"/>
    <w:rsid w:val="009D1251"/>
    <w:rsid w:val="009D135F"/>
    <w:rsid w:val="009D17A0"/>
    <w:rsid w:val="009D1835"/>
    <w:rsid w:val="009D1845"/>
    <w:rsid w:val="009D19B2"/>
    <w:rsid w:val="009D2085"/>
    <w:rsid w:val="009D26BD"/>
    <w:rsid w:val="009D29FA"/>
    <w:rsid w:val="009D2BB6"/>
    <w:rsid w:val="009D2CB9"/>
    <w:rsid w:val="009D2DCD"/>
    <w:rsid w:val="009D2DE1"/>
    <w:rsid w:val="009D2FC0"/>
    <w:rsid w:val="009D31DF"/>
    <w:rsid w:val="009D39AA"/>
    <w:rsid w:val="009D39E8"/>
    <w:rsid w:val="009D3AF2"/>
    <w:rsid w:val="009D3B0E"/>
    <w:rsid w:val="009D3EFE"/>
    <w:rsid w:val="009D42D3"/>
    <w:rsid w:val="009D4465"/>
    <w:rsid w:val="009D477C"/>
    <w:rsid w:val="009D48A0"/>
    <w:rsid w:val="009D4D8C"/>
    <w:rsid w:val="009D4E04"/>
    <w:rsid w:val="009D4EB5"/>
    <w:rsid w:val="009D5037"/>
    <w:rsid w:val="009D5293"/>
    <w:rsid w:val="009D539C"/>
    <w:rsid w:val="009D53AD"/>
    <w:rsid w:val="009D5D27"/>
    <w:rsid w:val="009D63D9"/>
    <w:rsid w:val="009D64BF"/>
    <w:rsid w:val="009D6A6E"/>
    <w:rsid w:val="009D6DEB"/>
    <w:rsid w:val="009D7055"/>
    <w:rsid w:val="009D7277"/>
    <w:rsid w:val="009E0265"/>
    <w:rsid w:val="009E084F"/>
    <w:rsid w:val="009E0AFE"/>
    <w:rsid w:val="009E0D8D"/>
    <w:rsid w:val="009E142E"/>
    <w:rsid w:val="009E155C"/>
    <w:rsid w:val="009E1C45"/>
    <w:rsid w:val="009E1CC5"/>
    <w:rsid w:val="009E1EF8"/>
    <w:rsid w:val="009E1F7C"/>
    <w:rsid w:val="009E21F7"/>
    <w:rsid w:val="009E238A"/>
    <w:rsid w:val="009E27EE"/>
    <w:rsid w:val="009E2AEB"/>
    <w:rsid w:val="009E2F76"/>
    <w:rsid w:val="009E395A"/>
    <w:rsid w:val="009E43AC"/>
    <w:rsid w:val="009E44A0"/>
    <w:rsid w:val="009E47B1"/>
    <w:rsid w:val="009E5707"/>
    <w:rsid w:val="009E5810"/>
    <w:rsid w:val="009E5BCA"/>
    <w:rsid w:val="009E6000"/>
    <w:rsid w:val="009E6528"/>
    <w:rsid w:val="009E6750"/>
    <w:rsid w:val="009E73A2"/>
    <w:rsid w:val="009E7516"/>
    <w:rsid w:val="009E78AA"/>
    <w:rsid w:val="009E7B1A"/>
    <w:rsid w:val="009E7FA8"/>
    <w:rsid w:val="009F0057"/>
    <w:rsid w:val="009F0268"/>
    <w:rsid w:val="009F0833"/>
    <w:rsid w:val="009F118A"/>
    <w:rsid w:val="009F14CB"/>
    <w:rsid w:val="009F152A"/>
    <w:rsid w:val="009F1CE3"/>
    <w:rsid w:val="009F1DB6"/>
    <w:rsid w:val="009F1DE9"/>
    <w:rsid w:val="009F21EE"/>
    <w:rsid w:val="009F22C4"/>
    <w:rsid w:val="009F26EB"/>
    <w:rsid w:val="009F30E0"/>
    <w:rsid w:val="009F32B6"/>
    <w:rsid w:val="009F36F9"/>
    <w:rsid w:val="009F3761"/>
    <w:rsid w:val="009F38DE"/>
    <w:rsid w:val="009F3BD4"/>
    <w:rsid w:val="009F3F66"/>
    <w:rsid w:val="009F4030"/>
    <w:rsid w:val="009F4718"/>
    <w:rsid w:val="009F4AFE"/>
    <w:rsid w:val="009F4BB4"/>
    <w:rsid w:val="009F4C1B"/>
    <w:rsid w:val="009F4F71"/>
    <w:rsid w:val="009F5075"/>
    <w:rsid w:val="009F5975"/>
    <w:rsid w:val="009F5CB4"/>
    <w:rsid w:val="009F6230"/>
    <w:rsid w:val="009F62E4"/>
    <w:rsid w:val="009F68F3"/>
    <w:rsid w:val="009F6C0E"/>
    <w:rsid w:val="009F72E4"/>
    <w:rsid w:val="009F744D"/>
    <w:rsid w:val="009F757C"/>
    <w:rsid w:val="009F770B"/>
    <w:rsid w:val="009F77DE"/>
    <w:rsid w:val="009F7F41"/>
    <w:rsid w:val="009F7F7F"/>
    <w:rsid w:val="00A00208"/>
    <w:rsid w:val="00A005BD"/>
    <w:rsid w:val="00A008B2"/>
    <w:rsid w:val="00A009C6"/>
    <w:rsid w:val="00A01A74"/>
    <w:rsid w:val="00A0213A"/>
    <w:rsid w:val="00A02280"/>
    <w:rsid w:val="00A022BB"/>
    <w:rsid w:val="00A027C0"/>
    <w:rsid w:val="00A03569"/>
    <w:rsid w:val="00A03DB2"/>
    <w:rsid w:val="00A03EF2"/>
    <w:rsid w:val="00A0448D"/>
    <w:rsid w:val="00A04628"/>
    <w:rsid w:val="00A048EA"/>
    <w:rsid w:val="00A04C5D"/>
    <w:rsid w:val="00A04DEA"/>
    <w:rsid w:val="00A04DFE"/>
    <w:rsid w:val="00A05153"/>
    <w:rsid w:val="00A0575C"/>
    <w:rsid w:val="00A05760"/>
    <w:rsid w:val="00A05C16"/>
    <w:rsid w:val="00A05C40"/>
    <w:rsid w:val="00A06527"/>
    <w:rsid w:val="00A06547"/>
    <w:rsid w:val="00A066D9"/>
    <w:rsid w:val="00A06A79"/>
    <w:rsid w:val="00A07139"/>
    <w:rsid w:val="00A07692"/>
    <w:rsid w:val="00A0793D"/>
    <w:rsid w:val="00A07B75"/>
    <w:rsid w:val="00A10C09"/>
    <w:rsid w:val="00A113A5"/>
    <w:rsid w:val="00A114AD"/>
    <w:rsid w:val="00A11721"/>
    <w:rsid w:val="00A11801"/>
    <w:rsid w:val="00A11C8B"/>
    <w:rsid w:val="00A11D68"/>
    <w:rsid w:val="00A125DF"/>
    <w:rsid w:val="00A127BE"/>
    <w:rsid w:val="00A13739"/>
    <w:rsid w:val="00A1380C"/>
    <w:rsid w:val="00A13AB2"/>
    <w:rsid w:val="00A13BC2"/>
    <w:rsid w:val="00A13D1A"/>
    <w:rsid w:val="00A13E1D"/>
    <w:rsid w:val="00A13ED4"/>
    <w:rsid w:val="00A1458B"/>
    <w:rsid w:val="00A1466B"/>
    <w:rsid w:val="00A149F9"/>
    <w:rsid w:val="00A14B82"/>
    <w:rsid w:val="00A15504"/>
    <w:rsid w:val="00A15847"/>
    <w:rsid w:val="00A159FD"/>
    <w:rsid w:val="00A15C62"/>
    <w:rsid w:val="00A15DDA"/>
    <w:rsid w:val="00A16264"/>
    <w:rsid w:val="00A16641"/>
    <w:rsid w:val="00A16646"/>
    <w:rsid w:val="00A16C5B"/>
    <w:rsid w:val="00A16E7A"/>
    <w:rsid w:val="00A16EF8"/>
    <w:rsid w:val="00A179B3"/>
    <w:rsid w:val="00A17DE3"/>
    <w:rsid w:val="00A17F2C"/>
    <w:rsid w:val="00A17FF9"/>
    <w:rsid w:val="00A20297"/>
    <w:rsid w:val="00A20426"/>
    <w:rsid w:val="00A20B4D"/>
    <w:rsid w:val="00A20D17"/>
    <w:rsid w:val="00A210FC"/>
    <w:rsid w:val="00A211B3"/>
    <w:rsid w:val="00A2160E"/>
    <w:rsid w:val="00A2168D"/>
    <w:rsid w:val="00A21877"/>
    <w:rsid w:val="00A21A8D"/>
    <w:rsid w:val="00A21ABA"/>
    <w:rsid w:val="00A21AFB"/>
    <w:rsid w:val="00A21FF5"/>
    <w:rsid w:val="00A2244F"/>
    <w:rsid w:val="00A22A98"/>
    <w:rsid w:val="00A22F7E"/>
    <w:rsid w:val="00A230C9"/>
    <w:rsid w:val="00A23249"/>
    <w:rsid w:val="00A2373E"/>
    <w:rsid w:val="00A23BB5"/>
    <w:rsid w:val="00A23BD1"/>
    <w:rsid w:val="00A23D88"/>
    <w:rsid w:val="00A24272"/>
    <w:rsid w:val="00A2485E"/>
    <w:rsid w:val="00A24875"/>
    <w:rsid w:val="00A24D65"/>
    <w:rsid w:val="00A24D97"/>
    <w:rsid w:val="00A24DF0"/>
    <w:rsid w:val="00A24EEB"/>
    <w:rsid w:val="00A251C8"/>
    <w:rsid w:val="00A2572C"/>
    <w:rsid w:val="00A25B5F"/>
    <w:rsid w:val="00A25EA9"/>
    <w:rsid w:val="00A260D3"/>
    <w:rsid w:val="00A26165"/>
    <w:rsid w:val="00A2627C"/>
    <w:rsid w:val="00A26290"/>
    <w:rsid w:val="00A26376"/>
    <w:rsid w:val="00A265C0"/>
    <w:rsid w:val="00A26BDE"/>
    <w:rsid w:val="00A26D30"/>
    <w:rsid w:val="00A26D9D"/>
    <w:rsid w:val="00A27242"/>
    <w:rsid w:val="00A27291"/>
    <w:rsid w:val="00A272AD"/>
    <w:rsid w:val="00A277AB"/>
    <w:rsid w:val="00A2796D"/>
    <w:rsid w:val="00A279C0"/>
    <w:rsid w:val="00A27A97"/>
    <w:rsid w:val="00A27CE2"/>
    <w:rsid w:val="00A30B01"/>
    <w:rsid w:val="00A30C4A"/>
    <w:rsid w:val="00A311F1"/>
    <w:rsid w:val="00A3164D"/>
    <w:rsid w:val="00A317C8"/>
    <w:rsid w:val="00A31A8D"/>
    <w:rsid w:val="00A32117"/>
    <w:rsid w:val="00A32140"/>
    <w:rsid w:val="00A3243C"/>
    <w:rsid w:val="00A32967"/>
    <w:rsid w:val="00A329FC"/>
    <w:rsid w:val="00A32B24"/>
    <w:rsid w:val="00A32F0E"/>
    <w:rsid w:val="00A32F42"/>
    <w:rsid w:val="00A33186"/>
    <w:rsid w:val="00A33657"/>
    <w:rsid w:val="00A3365E"/>
    <w:rsid w:val="00A3383D"/>
    <w:rsid w:val="00A339A0"/>
    <w:rsid w:val="00A33BC9"/>
    <w:rsid w:val="00A343FD"/>
    <w:rsid w:val="00A34418"/>
    <w:rsid w:val="00A34493"/>
    <w:rsid w:val="00A34A65"/>
    <w:rsid w:val="00A34F71"/>
    <w:rsid w:val="00A35206"/>
    <w:rsid w:val="00A353DE"/>
    <w:rsid w:val="00A3570F"/>
    <w:rsid w:val="00A35CBA"/>
    <w:rsid w:val="00A35D3F"/>
    <w:rsid w:val="00A36023"/>
    <w:rsid w:val="00A36189"/>
    <w:rsid w:val="00A361A2"/>
    <w:rsid w:val="00A36396"/>
    <w:rsid w:val="00A36D8D"/>
    <w:rsid w:val="00A36E66"/>
    <w:rsid w:val="00A3725A"/>
    <w:rsid w:val="00A372E4"/>
    <w:rsid w:val="00A37427"/>
    <w:rsid w:val="00A376FC"/>
    <w:rsid w:val="00A37C3E"/>
    <w:rsid w:val="00A37F92"/>
    <w:rsid w:val="00A40136"/>
    <w:rsid w:val="00A40807"/>
    <w:rsid w:val="00A40C5B"/>
    <w:rsid w:val="00A40C99"/>
    <w:rsid w:val="00A410B9"/>
    <w:rsid w:val="00A41C26"/>
    <w:rsid w:val="00A41D14"/>
    <w:rsid w:val="00A41E84"/>
    <w:rsid w:val="00A41FDE"/>
    <w:rsid w:val="00A421C4"/>
    <w:rsid w:val="00A427EE"/>
    <w:rsid w:val="00A43677"/>
    <w:rsid w:val="00A43995"/>
    <w:rsid w:val="00A43BE2"/>
    <w:rsid w:val="00A43E95"/>
    <w:rsid w:val="00A43F91"/>
    <w:rsid w:val="00A446EA"/>
    <w:rsid w:val="00A45758"/>
    <w:rsid w:val="00A45AB0"/>
    <w:rsid w:val="00A45B17"/>
    <w:rsid w:val="00A45DD9"/>
    <w:rsid w:val="00A45EB4"/>
    <w:rsid w:val="00A46354"/>
    <w:rsid w:val="00A46D9D"/>
    <w:rsid w:val="00A46E4C"/>
    <w:rsid w:val="00A47671"/>
    <w:rsid w:val="00A50442"/>
    <w:rsid w:val="00A508E8"/>
    <w:rsid w:val="00A508FD"/>
    <w:rsid w:val="00A50DAB"/>
    <w:rsid w:val="00A50E90"/>
    <w:rsid w:val="00A51109"/>
    <w:rsid w:val="00A517AF"/>
    <w:rsid w:val="00A52618"/>
    <w:rsid w:val="00A52839"/>
    <w:rsid w:val="00A52976"/>
    <w:rsid w:val="00A529ED"/>
    <w:rsid w:val="00A52A2E"/>
    <w:rsid w:val="00A53677"/>
    <w:rsid w:val="00A53AB7"/>
    <w:rsid w:val="00A53F21"/>
    <w:rsid w:val="00A54410"/>
    <w:rsid w:val="00A54AF7"/>
    <w:rsid w:val="00A54FE8"/>
    <w:rsid w:val="00A557C6"/>
    <w:rsid w:val="00A55BA1"/>
    <w:rsid w:val="00A55F60"/>
    <w:rsid w:val="00A55F63"/>
    <w:rsid w:val="00A562FF"/>
    <w:rsid w:val="00A56B03"/>
    <w:rsid w:val="00A56C29"/>
    <w:rsid w:val="00A56DE8"/>
    <w:rsid w:val="00A570D1"/>
    <w:rsid w:val="00A57410"/>
    <w:rsid w:val="00A5760F"/>
    <w:rsid w:val="00A57743"/>
    <w:rsid w:val="00A5786A"/>
    <w:rsid w:val="00A578C8"/>
    <w:rsid w:val="00A57FB3"/>
    <w:rsid w:val="00A60398"/>
    <w:rsid w:val="00A60939"/>
    <w:rsid w:val="00A60990"/>
    <w:rsid w:val="00A60E95"/>
    <w:rsid w:val="00A60EDF"/>
    <w:rsid w:val="00A616FD"/>
    <w:rsid w:val="00A6174A"/>
    <w:rsid w:val="00A617B7"/>
    <w:rsid w:val="00A617F0"/>
    <w:rsid w:val="00A61ADF"/>
    <w:rsid w:val="00A61B79"/>
    <w:rsid w:val="00A61D9B"/>
    <w:rsid w:val="00A62219"/>
    <w:rsid w:val="00A6256B"/>
    <w:rsid w:val="00A62802"/>
    <w:rsid w:val="00A62987"/>
    <w:rsid w:val="00A634CF"/>
    <w:rsid w:val="00A638A9"/>
    <w:rsid w:val="00A638E3"/>
    <w:rsid w:val="00A63EB9"/>
    <w:rsid w:val="00A64013"/>
    <w:rsid w:val="00A6416D"/>
    <w:rsid w:val="00A644A3"/>
    <w:rsid w:val="00A64523"/>
    <w:rsid w:val="00A64776"/>
    <w:rsid w:val="00A650E2"/>
    <w:rsid w:val="00A6510E"/>
    <w:rsid w:val="00A6542A"/>
    <w:rsid w:val="00A65680"/>
    <w:rsid w:val="00A65D59"/>
    <w:rsid w:val="00A664D4"/>
    <w:rsid w:val="00A66613"/>
    <w:rsid w:val="00A66679"/>
    <w:rsid w:val="00A66E49"/>
    <w:rsid w:val="00A66E80"/>
    <w:rsid w:val="00A674D2"/>
    <w:rsid w:val="00A679D0"/>
    <w:rsid w:val="00A67D45"/>
    <w:rsid w:val="00A67E2B"/>
    <w:rsid w:val="00A67FD4"/>
    <w:rsid w:val="00A7023E"/>
    <w:rsid w:val="00A703AB"/>
    <w:rsid w:val="00A704FC"/>
    <w:rsid w:val="00A70511"/>
    <w:rsid w:val="00A707A9"/>
    <w:rsid w:val="00A709E7"/>
    <w:rsid w:val="00A70D44"/>
    <w:rsid w:val="00A70EE9"/>
    <w:rsid w:val="00A70EEC"/>
    <w:rsid w:val="00A70F21"/>
    <w:rsid w:val="00A71C21"/>
    <w:rsid w:val="00A71F88"/>
    <w:rsid w:val="00A72247"/>
    <w:rsid w:val="00A725BA"/>
    <w:rsid w:val="00A7282B"/>
    <w:rsid w:val="00A72B79"/>
    <w:rsid w:val="00A72D6C"/>
    <w:rsid w:val="00A732CD"/>
    <w:rsid w:val="00A73346"/>
    <w:rsid w:val="00A73625"/>
    <w:rsid w:val="00A7386E"/>
    <w:rsid w:val="00A73E2C"/>
    <w:rsid w:val="00A73E6B"/>
    <w:rsid w:val="00A7422A"/>
    <w:rsid w:val="00A74462"/>
    <w:rsid w:val="00A74505"/>
    <w:rsid w:val="00A74580"/>
    <w:rsid w:val="00A74A48"/>
    <w:rsid w:val="00A74B29"/>
    <w:rsid w:val="00A74EEC"/>
    <w:rsid w:val="00A752A7"/>
    <w:rsid w:val="00A75D7F"/>
    <w:rsid w:val="00A76154"/>
    <w:rsid w:val="00A76485"/>
    <w:rsid w:val="00A764DD"/>
    <w:rsid w:val="00A765E8"/>
    <w:rsid w:val="00A768FB"/>
    <w:rsid w:val="00A76D81"/>
    <w:rsid w:val="00A804C7"/>
    <w:rsid w:val="00A80831"/>
    <w:rsid w:val="00A80B19"/>
    <w:rsid w:val="00A80B3B"/>
    <w:rsid w:val="00A80BCE"/>
    <w:rsid w:val="00A80F13"/>
    <w:rsid w:val="00A81A66"/>
    <w:rsid w:val="00A81B0E"/>
    <w:rsid w:val="00A821F1"/>
    <w:rsid w:val="00A825D9"/>
    <w:rsid w:val="00A826A2"/>
    <w:rsid w:val="00A82BD7"/>
    <w:rsid w:val="00A82E49"/>
    <w:rsid w:val="00A839DE"/>
    <w:rsid w:val="00A83CA8"/>
    <w:rsid w:val="00A83F7C"/>
    <w:rsid w:val="00A848AF"/>
    <w:rsid w:val="00A84D70"/>
    <w:rsid w:val="00A84D8D"/>
    <w:rsid w:val="00A84DB2"/>
    <w:rsid w:val="00A84EDC"/>
    <w:rsid w:val="00A85269"/>
    <w:rsid w:val="00A86018"/>
    <w:rsid w:val="00A861A1"/>
    <w:rsid w:val="00A8668F"/>
    <w:rsid w:val="00A8669C"/>
    <w:rsid w:val="00A86B0E"/>
    <w:rsid w:val="00A86D06"/>
    <w:rsid w:val="00A87098"/>
    <w:rsid w:val="00A87933"/>
    <w:rsid w:val="00A87B17"/>
    <w:rsid w:val="00A902F8"/>
    <w:rsid w:val="00A9068F"/>
    <w:rsid w:val="00A90B37"/>
    <w:rsid w:val="00A90EE6"/>
    <w:rsid w:val="00A9103E"/>
    <w:rsid w:val="00A916F3"/>
    <w:rsid w:val="00A9258E"/>
    <w:rsid w:val="00A92880"/>
    <w:rsid w:val="00A92CA9"/>
    <w:rsid w:val="00A933AB"/>
    <w:rsid w:val="00A93D64"/>
    <w:rsid w:val="00A93E05"/>
    <w:rsid w:val="00A9479A"/>
    <w:rsid w:val="00A954CB"/>
    <w:rsid w:val="00A95F3D"/>
    <w:rsid w:val="00A95FFD"/>
    <w:rsid w:val="00A961F5"/>
    <w:rsid w:val="00A96CB2"/>
    <w:rsid w:val="00A9737F"/>
    <w:rsid w:val="00A973F7"/>
    <w:rsid w:val="00A9761B"/>
    <w:rsid w:val="00A977DB"/>
    <w:rsid w:val="00A978E7"/>
    <w:rsid w:val="00A979B9"/>
    <w:rsid w:val="00A97DAF"/>
    <w:rsid w:val="00A97DFF"/>
    <w:rsid w:val="00A97E08"/>
    <w:rsid w:val="00AA0310"/>
    <w:rsid w:val="00AA0BCA"/>
    <w:rsid w:val="00AA0ED5"/>
    <w:rsid w:val="00AA1D36"/>
    <w:rsid w:val="00AA2359"/>
    <w:rsid w:val="00AA25A2"/>
    <w:rsid w:val="00AA266E"/>
    <w:rsid w:val="00AA2BD1"/>
    <w:rsid w:val="00AA2CEB"/>
    <w:rsid w:val="00AA3B74"/>
    <w:rsid w:val="00AA3F42"/>
    <w:rsid w:val="00AA4411"/>
    <w:rsid w:val="00AA4672"/>
    <w:rsid w:val="00AA4B36"/>
    <w:rsid w:val="00AA4DB9"/>
    <w:rsid w:val="00AA4E20"/>
    <w:rsid w:val="00AA4ED0"/>
    <w:rsid w:val="00AA546D"/>
    <w:rsid w:val="00AA554B"/>
    <w:rsid w:val="00AA567C"/>
    <w:rsid w:val="00AA57F8"/>
    <w:rsid w:val="00AA588D"/>
    <w:rsid w:val="00AA5C18"/>
    <w:rsid w:val="00AA5FBF"/>
    <w:rsid w:val="00AA610B"/>
    <w:rsid w:val="00AA6352"/>
    <w:rsid w:val="00AA6982"/>
    <w:rsid w:val="00AA699C"/>
    <w:rsid w:val="00AA6B41"/>
    <w:rsid w:val="00AA6C61"/>
    <w:rsid w:val="00AA6F88"/>
    <w:rsid w:val="00AA6FCF"/>
    <w:rsid w:val="00AA7261"/>
    <w:rsid w:val="00AA739F"/>
    <w:rsid w:val="00AA7999"/>
    <w:rsid w:val="00AA7B9C"/>
    <w:rsid w:val="00AA7C61"/>
    <w:rsid w:val="00AA7D38"/>
    <w:rsid w:val="00AB08D6"/>
    <w:rsid w:val="00AB0BB2"/>
    <w:rsid w:val="00AB0C24"/>
    <w:rsid w:val="00AB0F0D"/>
    <w:rsid w:val="00AB10C4"/>
    <w:rsid w:val="00AB11A0"/>
    <w:rsid w:val="00AB12AF"/>
    <w:rsid w:val="00AB1E4F"/>
    <w:rsid w:val="00AB20B1"/>
    <w:rsid w:val="00AB2461"/>
    <w:rsid w:val="00AB2655"/>
    <w:rsid w:val="00AB2918"/>
    <w:rsid w:val="00AB2A5A"/>
    <w:rsid w:val="00AB2EFC"/>
    <w:rsid w:val="00AB349C"/>
    <w:rsid w:val="00AB389A"/>
    <w:rsid w:val="00AB3F8B"/>
    <w:rsid w:val="00AB460F"/>
    <w:rsid w:val="00AB4D27"/>
    <w:rsid w:val="00AB4D8B"/>
    <w:rsid w:val="00AB4D9C"/>
    <w:rsid w:val="00AB5592"/>
    <w:rsid w:val="00AB5C1B"/>
    <w:rsid w:val="00AB5C98"/>
    <w:rsid w:val="00AB5FC8"/>
    <w:rsid w:val="00AB6363"/>
    <w:rsid w:val="00AB6C72"/>
    <w:rsid w:val="00AB6CB6"/>
    <w:rsid w:val="00AB6F03"/>
    <w:rsid w:val="00AB7018"/>
    <w:rsid w:val="00AB706C"/>
    <w:rsid w:val="00AB7444"/>
    <w:rsid w:val="00AB77CE"/>
    <w:rsid w:val="00AB7BD8"/>
    <w:rsid w:val="00AC0350"/>
    <w:rsid w:val="00AC088A"/>
    <w:rsid w:val="00AC0E66"/>
    <w:rsid w:val="00AC115E"/>
    <w:rsid w:val="00AC19C0"/>
    <w:rsid w:val="00AC1AB5"/>
    <w:rsid w:val="00AC3DBA"/>
    <w:rsid w:val="00AC4172"/>
    <w:rsid w:val="00AC42F1"/>
    <w:rsid w:val="00AC4D9E"/>
    <w:rsid w:val="00AC4E4D"/>
    <w:rsid w:val="00AC6387"/>
    <w:rsid w:val="00AC691F"/>
    <w:rsid w:val="00AC6D67"/>
    <w:rsid w:val="00AC710E"/>
    <w:rsid w:val="00AC733F"/>
    <w:rsid w:val="00AC77B2"/>
    <w:rsid w:val="00AC77B8"/>
    <w:rsid w:val="00AC7DCA"/>
    <w:rsid w:val="00AD029C"/>
    <w:rsid w:val="00AD032C"/>
    <w:rsid w:val="00AD03B3"/>
    <w:rsid w:val="00AD0442"/>
    <w:rsid w:val="00AD070B"/>
    <w:rsid w:val="00AD0A78"/>
    <w:rsid w:val="00AD0BFB"/>
    <w:rsid w:val="00AD0E37"/>
    <w:rsid w:val="00AD0E84"/>
    <w:rsid w:val="00AD0EBE"/>
    <w:rsid w:val="00AD1642"/>
    <w:rsid w:val="00AD18A4"/>
    <w:rsid w:val="00AD1FEF"/>
    <w:rsid w:val="00AD2756"/>
    <w:rsid w:val="00AD2AB9"/>
    <w:rsid w:val="00AD2D10"/>
    <w:rsid w:val="00AD2D83"/>
    <w:rsid w:val="00AD307E"/>
    <w:rsid w:val="00AD319E"/>
    <w:rsid w:val="00AD36BC"/>
    <w:rsid w:val="00AD3816"/>
    <w:rsid w:val="00AD38E2"/>
    <w:rsid w:val="00AD3950"/>
    <w:rsid w:val="00AD3E1D"/>
    <w:rsid w:val="00AD4740"/>
    <w:rsid w:val="00AD478A"/>
    <w:rsid w:val="00AD47FF"/>
    <w:rsid w:val="00AD48CA"/>
    <w:rsid w:val="00AD4AC8"/>
    <w:rsid w:val="00AD4B5E"/>
    <w:rsid w:val="00AD4F10"/>
    <w:rsid w:val="00AD59C5"/>
    <w:rsid w:val="00AD5A49"/>
    <w:rsid w:val="00AD5A8D"/>
    <w:rsid w:val="00AD6152"/>
    <w:rsid w:val="00AD6239"/>
    <w:rsid w:val="00AD636D"/>
    <w:rsid w:val="00AD69BD"/>
    <w:rsid w:val="00AD6CB4"/>
    <w:rsid w:val="00AD73DB"/>
    <w:rsid w:val="00AD7458"/>
    <w:rsid w:val="00AD74B5"/>
    <w:rsid w:val="00AD786C"/>
    <w:rsid w:val="00AE066C"/>
    <w:rsid w:val="00AE07CE"/>
    <w:rsid w:val="00AE08FD"/>
    <w:rsid w:val="00AE09EE"/>
    <w:rsid w:val="00AE0AE0"/>
    <w:rsid w:val="00AE0BB3"/>
    <w:rsid w:val="00AE0E80"/>
    <w:rsid w:val="00AE124C"/>
    <w:rsid w:val="00AE1C93"/>
    <w:rsid w:val="00AE22F7"/>
    <w:rsid w:val="00AE2475"/>
    <w:rsid w:val="00AE2653"/>
    <w:rsid w:val="00AE2735"/>
    <w:rsid w:val="00AE47CC"/>
    <w:rsid w:val="00AE481C"/>
    <w:rsid w:val="00AE4AB5"/>
    <w:rsid w:val="00AE59C5"/>
    <w:rsid w:val="00AE62BC"/>
    <w:rsid w:val="00AE6521"/>
    <w:rsid w:val="00AE686B"/>
    <w:rsid w:val="00AE6C66"/>
    <w:rsid w:val="00AE6E7A"/>
    <w:rsid w:val="00AE72E8"/>
    <w:rsid w:val="00AE7436"/>
    <w:rsid w:val="00AE7723"/>
    <w:rsid w:val="00AE7AE6"/>
    <w:rsid w:val="00AE7E6E"/>
    <w:rsid w:val="00AF0041"/>
    <w:rsid w:val="00AF0601"/>
    <w:rsid w:val="00AF06D4"/>
    <w:rsid w:val="00AF0CBE"/>
    <w:rsid w:val="00AF0D2E"/>
    <w:rsid w:val="00AF0E44"/>
    <w:rsid w:val="00AF1059"/>
    <w:rsid w:val="00AF1443"/>
    <w:rsid w:val="00AF18DF"/>
    <w:rsid w:val="00AF1A37"/>
    <w:rsid w:val="00AF1F35"/>
    <w:rsid w:val="00AF2040"/>
    <w:rsid w:val="00AF2381"/>
    <w:rsid w:val="00AF23EA"/>
    <w:rsid w:val="00AF248B"/>
    <w:rsid w:val="00AF2509"/>
    <w:rsid w:val="00AF256D"/>
    <w:rsid w:val="00AF28D2"/>
    <w:rsid w:val="00AF2C2F"/>
    <w:rsid w:val="00AF2CF1"/>
    <w:rsid w:val="00AF3237"/>
    <w:rsid w:val="00AF415C"/>
    <w:rsid w:val="00AF428D"/>
    <w:rsid w:val="00AF49E4"/>
    <w:rsid w:val="00AF4AFE"/>
    <w:rsid w:val="00AF4B04"/>
    <w:rsid w:val="00AF4C6E"/>
    <w:rsid w:val="00AF4DA7"/>
    <w:rsid w:val="00AF4F32"/>
    <w:rsid w:val="00AF52A6"/>
    <w:rsid w:val="00AF53CB"/>
    <w:rsid w:val="00AF53ED"/>
    <w:rsid w:val="00AF5641"/>
    <w:rsid w:val="00AF6126"/>
    <w:rsid w:val="00AF6DDF"/>
    <w:rsid w:val="00AF6FFA"/>
    <w:rsid w:val="00AF748C"/>
    <w:rsid w:val="00AF75E5"/>
    <w:rsid w:val="00AF762D"/>
    <w:rsid w:val="00B00133"/>
    <w:rsid w:val="00B0031C"/>
    <w:rsid w:val="00B00A3B"/>
    <w:rsid w:val="00B01948"/>
    <w:rsid w:val="00B01C49"/>
    <w:rsid w:val="00B01D94"/>
    <w:rsid w:val="00B02023"/>
    <w:rsid w:val="00B022C9"/>
    <w:rsid w:val="00B022D5"/>
    <w:rsid w:val="00B02346"/>
    <w:rsid w:val="00B02562"/>
    <w:rsid w:val="00B025E5"/>
    <w:rsid w:val="00B029FD"/>
    <w:rsid w:val="00B02B51"/>
    <w:rsid w:val="00B03604"/>
    <w:rsid w:val="00B03D01"/>
    <w:rsid w:val="00B04240"/>
    <w:rsid w:val="00B04443"/>
    <w:rsid w:val="00B04BFB"/>
    <w:rsid w:val="00B04CD0"/>
    <w:rsid w:val="00B04D06"/>
    <w:rsid w:val="00B04F17"/>
    <w:rsid w:val="00B05320"/>
    <w:rsid w:val="00B056A8"/>
    <w:rsid w:val="00B05E30"/>
    <w:rsid w:val="00B0607F"/>
    <w:rsid w:val="00B0628E"/>
    <w:rsid w:val="00B062CD"/>
    <w:rsid w:val="00B0664C"/>
    <w:rsid w:val="00B06988"/>
    <w:rsid w:val="00B06AA4"/>
    <w:rsid w:val="00B06D54"/>
    <w:rsid w:val="00B06D80"/>
    <w:rsid w:val="00B06E72"/>
    <w:rsid w:val="00B07435"/>
    <w:rsid w:val="00B07442"/>
    <w:rsid w:val="00B074F1"/>
    <w:rsid w:val="00B10A11"/>
    <w:rsid w:val="00B10F45"/>
    <w:rsid w:val="00B1121C"/>
    <w:rsid w:val="00B11691"/>
    <w:rsid w:val="00B128B0"/>
    <w:rsid w:val="00B12C07"/>
    <w:rsid w:val="00B12E20"/>
    <w:rsid w:val="00B130E8"/>
    <w:rsid w:val="00B13ECF"/>
    <w:rsid w:val="00B146E2"/>
    <w:rsid w:val="00B150E7"/>
    <w:rsid w:val="00B15585"/>
    <w:rsid w:val="00B15596"/>
    <w:rsid w:val="00B16AA8"/>
    <w:rsid w:val="00B16FB4"/>
    <w:rsid w:val="00B17127"/>
    <w:rsid w:val="00B17226"/>
    <w:rsid w:val="00B1725E"/>
    <w:rsid w:val="00B17450"/>
    <w:rsid w:val="00B17775"/>
    <w:rsid w:val="00B17AF6"/>
    <w:rsid w:val="00B20625"/>
    <w:rsid w:val="00B20D3A"/>
    <w:rsid w:val="00B21274"/>
    <w:rsid w:val="00B21492"/>
    <w:rsid w:val="00B21510"/>
    <w:rsid w:val="00B21678"/>
    <w:rsid w:val="00B216AF"/>
    <w:rsid w:val="00B217EF"/>
    <w:rsid w:val="00B22473"/>
    <w:rsid w:val="00B22673"/>
    <w:rsid w:val="00B226FF"/>
    <w:rsid w:val="00B227D8"/>
    <w:rsid w:val="00B2296F"/>
    <w:rsid w:val="00B230E6"/>
    <w:rsid w:val="00B23604"/>
    <w:rsid w:val="00B23651"/>
    <w:rsid w:val="00B239C4"/>
    <w:rsid w:val="00B23DF4"/>
    <w:rsid w:val="00B2440C"/>
    <w:rsid w:val="00B24605"/>
    <w:rsid w:val="00B247AD"/>
    <w:rsid w:val="00B248FF"/>
    <w:rsid w:val="00B25127"/>
    <w:rsid w:val="00B25602"/>
    <w:rsid w:val="00B256BE"/>
    <w:rsid w:val="00B25B63"/>
    <w:rsid w:val="00B25C1B"/>
    <w:rsid w:val="00B260C0"/>
    <w:rsid w:val="00B268ED"/>
    <w:rsid w:val="00B26C22"/>
    <w:rsid w:val="00B26EA2"/>
    <w:rsid w:val="00B26EA3"/>
    <w:rsid w:val="00B2732B"/>
    <w:rsid w:val="00B27E1F"/>
    <w:rsid w:val="00B27E24"/>
    <w:rsid w:val="00B300CE"/>
    <w:rsid w:val="00B3059A"/>
    <w:rsid w:val="00B30A0F"/>
    <w:rsid w:val="00B30A1A"/>
    <w:rsid w:val="00B30E1D"/>
    <w:rsid w:val="00B31A50"/>
    <w:rsid w:val="00B31ABC"/>
    <w:rsid w:val="00B31E9A"/>
    <w:rsid w:val="00B32515"/>
    <w:rsid w:val="00B32614"/>
    <w:rsid w:val="00B3276E"/>
    <w:rsid w:val="00B328F1"/>
    <w:rsid w:val="00B3294E"/>
    <w:rsid w:val="00B335C6"/>
    <w:rsid w:val="00B33A70"/>
    <w:rsid w:val="00B33BA0"/>
    <w:rsid w:val="00B346A3"/>
    <w:rsid w:val="00B3479E"/>
    <w:rsid w:val="00B34DB9"/>
    <w:rsid w:val="00B353C7"/>
    <w:rsid w:val="00B353F6"/>
    <w:rsid w:val="00B354D6"/>
    <w:rsid w:val="00B35891"/>
    <w:rsid w:val="00B359EF"/>
    <w:rsid w:val="00B35E83"/>
    <w:rsid w:val="00B35F6A"/>
    <w:rsid w:val="00B3607C"/>
    <w:rsid w:val="00B36183"/>
    <w:rsid w:val="00B3644E"/>
    <w:rsid w:val="00B37050"/>
    <w:rsid w:val="00B37864"/>
    <w:rsid w:val="00B40306"/>
    <w:rsid w:val="00B407B9"/>
    <w:rsid w:val="00B40A6C"/>
    <w:rsid w:val="00B40AB6"/>
    <w:rsid w:val="00B4136D"/>
    <w:rsid w:val="00B4191D"/>
    <w:rsid w:val="00B4198D"/>
    <w:rsid w:val="00B41FE3"/>
    <w:rsid w:val="00B42B40"/>
    <w:rsid w:val="00B42C9A"/>
    <w:rsid w:val="00B4314A"/>
    <w:rsid w:val="00B43538"/>
    <w:rsid w:val="00B437C8"/>
    <w:rsid w:val="00B438F6"/>
    <w:rsid w:val="00B439EB"/>
    <w:rsid w:val="00B43BDD"/>
    <w:rsid w:val="00B43C1A"/>
    <w:rsid w:val="00B44081"/>
    <w:rsid w:val="00B441DF"/>
    <w:rsid w:val="00B444AC"/>
    <w:rsid w:val="00B44DE7"/>
    <w:rsid w:val="00B450E8"/>
    <w:rsid w:val="00B452C6"/>
    <w:rsid w:val="00B456C4"/>
    <w:rsid w:val="00B45C28"/>
    <w:rsid w:val="00B46113"/>
    <w:rsid w:val="00B463FF"/>
    <w:rsid w:val="00B465E0"/>
    <w:rsid w:val="00B46634"/>
    <w:rsid w:val="00B46669"/>
    <w:rsid w:val="00B469D2"/>
    <w:rsid w:val="00B46A1D"/>
    <w:rsid w:val="00B475A9"/>
    <w:rsid w:val="00B5031C"/>
    <w:rsid w:val="00B506FD"/>
    <w:rsid w:val="00B50B07"/>
    <w:rsid w:val="00B50B66"/>
    <w:rsid w:val="00B50EA9"/>
    <w:rsid w:val="00B513C4"/>
    <w:rsid w:val="00B514DD"/>
    <w:rsid w:val="00B51557"/>
    <w:rsid w:val="00B5160D"/>
    <w:rsid w:val="00B51DFE"/>
    <w:rsid w:val="00B522AC"/>
    <w:rsid w:val="00B5234F"/>
    <w:rsid w:val="00B52357"/>
    <w:rsid w:val="00B52AB2"/>
    <w:rsid w:val="00B52B37"/>
    <w:rsid w:val="00B52B7F"/>
    <w:rsid w:val="00B52B83"/>
    <w:rsid w:val="00B52DCD"/>
    <w:rsid w:val="00B530AC"/>
    <w:rsid w:val="00B53241"/>
    <w:rsid w:val="00B5340F"/>
    <w:rsid w:val="00B53455"/>
    <w:rsid w:val="00B5366B"/>
    <w:rsid w:val="00B537D2"/>
    <w:rsid w:val="00B53896"/>
    <w:rsid w:val="00B5397E"/>
    <w:rsid w:val="00B53A16"/>
    <w:rsid w:val="00B53A67"/>
    <w:rsid w:val="00B54085"/>
    <w:rsid w:val="00B54ACE"/>
    <w:rsid w:val="00B54CCC"/>
    <w:rsid w:val="00B54DF9"/>
    <w:rsid w:val="00B54E65"/>
    <w:rsid w:val="00B553A2"/>
    <w:rsid w:val="00B563A2"/>
    <w:rsid w:val="00B56D0C"/>
    <w:rsid w:val="00B56F5E"/>
    <w:rsid w:val="00B5703F"/>
    <w:rsid w:val="00B57300"/>
    <w:rsid w:val="00B57345"/>
    <w:rsid w:val="00B57380"/>
    <w:rsid w:val="00B576D3"/>
    <w:rsid w:val="00B5786B"/>
    <w:rsid w:val="00B578E1"/>
    <w:rsid w:val="00B57FED"/>
    <w:rsid w:val="00B6006D"/>
    <w:rsid w:val="00B60164"/>
    <w:rsid w:val="00B60342"/>
    <w:rsid w:val="00B60BDD"/>
    <w:rsid w:val="00B60CB9"/>
    <w:rsid w:val="00B61000"/>
    <w:rsid w:val="00B615A1"/>
    <w:rsid w:val="00B61A3B"/>
    <w:rsid w:val="00B61A7F"/>
    <w:rsid w:val="00B61FA2"/>
    <w:rsid w:val="00B62137"/>
    <w:rsid w:val="00B62215"/>
    <w:rsid w:val="00B62264"/>
    <w:rsid w:val="00B627E8"/>
    <w:rsid w:val="00B628F3"/>
    <w:rsid w:val="00B62FA9"/>
    <w:rsid w:val="00B63094"/>
    <w:rsid w:val="00B635D7"/>
    <w:rsid w:val="00B63A7B"/>
    <w:rsid w:val="00B63E80"/>
    <w:rsid w:val="00B64083"/>
    <w:rsid w:val="00B6421C"/>
    <w:rsid w:val="00B644EA"/>
    <w:rsid w:val="00B6478B"/>
    <w:rsid w:val="00B647C7"/>
    <w:rsid w:val="00B6568A"/>
    <w:rsid w:val="00B65767"/>
    <w:rsid w:val="00B6588F"/>
    <w:rsid w:val="00B65A20"/>
    <w:rsid w:val="00B65A29"/>
    <w:rsid w:val="00B65A86"/>
    <w:rsid w:val="00B65D44"/>
    <w:rsid w:val="00B6618B"/>
    <w:rsid w:val="00B6625A"/>
    <w:rsid w:val="00B6666B"/>
    <w:rsid w:val="00B66988"/>
    <w:rsid w:val="00B66DC6"/>
    <w:rsid w:val="00B66FB2"/>
    <w:rsid w:val="00B671E5"/>
    <w:rsid w:val="00B67507"/>
    <w:rsid w:val="00B676B1"/>
    <w:rsid w:val="00B6781A"/>
    <w:rsid w:val="00B71036"/>
    <w:rsid w:val="00B71487"/>
    <w:rsid w:val="00B7153A"/>
    <w:rsid w:val="00B72126"/>
    <w:rsid w:val="00B722FA"/>
    <w:rsid w:val="00B724B5"/>
    <w:rsid w:val="00B72A74"/>
    <w:rsid w:val="00B72B09"/>
    <w:rsid w:val="00B72C53"/>
    <w:rsid w:val="00B72D67"/>
    <w:rsid w:val="00B7338F"/>
    <w:rsid w:val="00B73AB4"/>
    <w:rsid w:val="00B73B80"/>
    <w:rsid w:val="00B73C39"/>
    <w:rsid w:val="00B73FD3"/>
    <w:rsid w:val="00B7409F"/>
    <w:rsid w:val="00B743AE"/>
    <w:rsid w:val="00B74508"/>
    <w:rsid w:val="00B745DF"/>
    <w:rsid w:val="00B74821"/>
    <w:rsid w:val="00B74B42"/>
    <w:rsid w:val="00B74F73"/>
    <w:rsid w:val="00B752B2"/>
    <w:rsid w:val="00B75634"/>
    <w:rsid w:val="00B75D1B"/>
    <w:rsid w:val="00B75E4B"/>
    <w:rsid w:val="00B76275"/>
    <w:rsid w:val="00B766C3"/>
    <w:rsid w:val="00B7701E"/>
    <w:rsid w:val="00B773DE"/>
    <w:rsid w:val="00B77529"/>
    <w:rsid w:val="00B778BA"/>
    <w:rsid w:val="00B778DD"/>
    <w:rsid w:val="00B77994"/>
    <w:rsid w:val="00B77E00"/>
    <w:rsid w:val="00B803E8"/>
    <w:rsid w:val="00B80C6E"/>
    <w:rsid w:val="00B80DA5"/>
    <w:rsid w:val="00B812BA"/>
    <w:rsid w:val="00B81350"/>
    <w:rsid w:val="00B81E58"/>
    <w:rsid w:val="00B820F8"/>
    <w:rsid w:val="00B82301"/>
    <w:rsid w:val="00B825E4"/>
    <w:rsid w:val="00B825FE"/>
    <w:rsid w:val="00B826CA"/>
    <w:rsid w:val="00B829B2"/>
    <w:rsid w:val="00B835B2"/>
    <w:rsid w:val="00B83AEE"/>
    <w:rsid w:val="00B83C13"/>
    <w:rsid w:val="00B83C63"/>
    <w:rsid w:val="00B841F4"/>
    <w:rsid w:val="00B84271"/>
    <w:rsid w:val="00B844B3"/>
    <w:rsid w:val="00B844DA"/>
    <w:rsid w:val="00B8454C"/>
    <w:rsid w:val="00B848D5"/>
    <w:rsid w:val="00B84AC8"/>
    <w:rsid w:val="00B85846"/>
    <w:rsid w:val="00B85902"/>
    <w:rsid w:val="00B85AE8"/>
    <w:rsid w:val="00B85DB7"/>
    <w:rsid w:val="00B85DF5"/>
    <w:rsid w:val="00B86C80"/>
    <w:rsid w:val="00B86FDC"/>
    <w:rsid w:val="00B87144"/>
    <w:rsid w:val="00B87A9B"/>
    <w:rsid w:val="00B87EF6"/>
    <w:rsid w:val="00B904F9"/>
    <w:rsid w:val="00B90766"/>
    <w:rsid w:val="00B90783"/>
    <w:rsid w:val="00B90A56"/>
    <w:rsid w:val="00B90E29"/>
    <w:rsid w:val="00B91158"/>
    <w:rsid w:val="00B917E4"/>
    <w:rsid w:val="00B91B35"/>
    <w:rsid w:val="00B9220F"/>
    <w:rsid w:val="00B928A1"/>
    <w:rsid w:val="00B92B18"/>
    <w:rsid w:val="00B92C13"/>
    <w:rsid w:val="00B92C5F"/>
    <w:rsid w:val="00B92D36"/>
    <w:rsid w:val="00B931B1"/>
    <w:rsid w:val="00B933A3"/>
    <w:rsid w:val="00B9340B"/>
    <w:rsid w:val="00B93595"/>
    <w:rsid w:val="00B94740"/>
    <w:rsid w:val="00B948B4"/>
    <w:rsid w:val="00B948DC"/>
    <w:rsid w:val="00B95522"/>
    <w:rsid w:val="00B95C37"/>
    <w:rsid w:val="00B95EF6"/>
    <w:rsid w:val="00B96030"/>
    <w:rsid w:val="00B96523"/>
    <w:rsid w:val="00B96C0F"/>
    <w:rsid w:val="00B96C59"/>
    <w:rsid w:val="00B96CFC"/>
    <w:rsid w:val="00B96D19"/>
    <w:rsid w:val="00B96E11"/>
    <w:rsid w:val="00B96EEE"/>
    <w:rsid w:val="00B9711D"/>
    <w:rsid w:val="00B972F8"/>
    <w:rsid w:val="00B973B8"/>
    <w:rsid w:val="00B976B0"/>
    <w:rsid w:val="00B976F6"/>
    <w:rsid w:val="00B977DB"/>
    <w:rsid w:val="00B97A25"/>
    <w:rsid w:val="00B97E9D"/>
    <w:rsid w:val="00BA03CA"/>
    <w:rsid w:val="00BA08B8"/>
    <w:rsid w:val="00BA0FC1"/>
    <w:rsid w:val="00BA165D"/>
    <w:rsid w:val="00BA1830"/>
    <w:rsid w:val="00BA1C51"/>
    <w:rsid w:val="00BA2209"/>
    <w:rsid w:val="00BA2AFE"/>
    <w:rsid w:val="00BA2F49"/>
    <w:rsid w:val="00BA3297"/>
    <w:rsid w:val="00BA378D"/>
    <w:rsid w:val="00BA3AAD"/>
    <w:rsid w:val="00BA3CE1"/>
    <w:rsid w:val="00BA406C"/>
    <w:rsid w:val="00BA45E4"/>
    <w:rsid w:val="00BA4A6E"/>
    <w:rsid w:val="00BA4C89"/>
    <w:rsid w:val="00BA4E4B"/>
    <w:rsid w:val="00BA5229"/>
    <w:rsid w:val="00BA587B"/>
    <w:rsid w:val="00BA589D"/>
    <w:rsid w:val="00BA5945"/>
    <w:rsid w:val="00BA5BB7"/>
    <w:rsid w:val="00BA5BC0"/>
    <w:rsid w:val="00BA5BE6"/>
    <w:rsid w:val="00BA5CE1"/>
    <w:rsid w:val="00BA63A8"/>
    <w:rsid w:val="00BA6C32"/>
    <w:rsid w:val="00BA6D04"/>
    <w:rsid w:val="00BA6D72"/>
    <w:rsid w:val="00BA6D7D"/>
    <w:rsid w:val="00BA711B"/>
    <w:rsid w:val="00BA7C0D"/>
    <w:rsid w:val="00BA7DE6"/>
    <w:rsid w:val="00BA7FA9"/>
    <w:rsid w:val="00BB00D2"/>
    <w:rsid w:val="00BB010A"/>
    <w:rsid w:val="00BB0165"/>
    <w:rsid w:val="00BB03A9"/>
    <w:rsid w:val="00BB0569"/>
    <w:rsid w:val="00BB0999"/>
    <w:rsid w:val="00BB0ED9"/>
    <w:rsid w:val="00BB10E3"/>
    <w:rsid w:val="00BB115F"/>
    <w:rsid w:val="00BB120F"/>
    <w:rsid w:val="00BB130F"/>
    <w:rsid w:val="00BB19BC"/>
    <w:rsid w:val="00BB28A2"/>
    <w:rsid w:val="00BB2E6C"/>
    <w:rsid w:val="00BB3A3C"/>
    <w:rsid w:val="00BB3B05"/>
    <w:rsid w:val="00BB3C97"/>
    <w:rsid w:val="00BB3DF1"/>
    <w:rsid w:val="00BB40E8"/>
    <w:rsid w:val="00BB43E8"/>
    <w:rsid w:val="00BB4597"/>
    <w:rsid w:val="00BB477E"/>
    <w:rsid w:val="00BB48ED"/>
    <w:rsid w:val="00BB4AE8"/>
    <w:rsid w:val="00BB4C86"/>
    <w:rsid w:val="00BB5B13"/>
    <w:rsid w:val="00BB5B6C"/>
    <w:rsid w:val="00BB5D72"/>
    <w:rsid w:val="00BB5F25"/>
    <w:rsid w:val="00BB5FD6"/>
    <w:rsid w:val="00BB61B0"/>
    <w:rsid w:val="00BB6A86"/>
    <w:rsid w:val="00BB6C68"/>
    <w:rsid w:val="00BB6F5D"/>
    <w:rsid w:val="00BB70B4"/>
    <w:rsid w:val="00BB78C2"/>
    <w:rsid w:val="00BB7D26"/>
    <w:rsid w:val="00BC061A"/>
    <w:rsid w:val="00BC0769"/>
    <w:rsid w:val="00BC0E47"/>
    <w:rsid w:val="00BC0EF7"/>
    <w:rsid w:val="00BC1090"/>
    <w:rsid w:val="00BC12D7"/>
    <w:rsid w:val="00BC144F"/>
    <w:rsid w:val="00BC14A0"/>
    <w:rsid w:val="00BC17ED"/>
    <w:rsid w:val="00BC1A14"/>
    <w:rsid w:val="00BC1D67"/>
    <w:rsid w:val="00BC2594"/>
    <w:rsid w:val="00BC259A"/>
    <w:rsid w:val="00BC2A97"/>
    <w:rsid w:val="00BC3151"/>
    <w:rsid w:val="00BC323D"/>
    <w:rsid w:val="00BC38E9"/>
    <w:rsid w:val="00BC3A96"/>
    <w:rsid w:val="00BC3AE1"/>
    <w:rsid w:val="00BC3D9A"/>
    <w:rsid w:val="00BC4029"/>
    <w:rsid w:val="00BC42BD"/>
    <w:rsid w:val="00BC46BC"/>
    <w:rsid w:val="00BC4D79"/>
    <w:rsid w:val="00BC5424"/>
    <w:rsid w:val="00BC550C"/>
    <w:rsid w:val="00BC5A3B"/>
    <w:rsid w:val="00BC60A9"/>
    <w:rsid w:val="00BC6184"/>
    <w:rsid w:val="00BC63DE"/>
    <w:rsid w:val="00BC6881"/>
    <w:rsid w:val="00BC6D81"/>
    <w:rsid w:val="00BC6FAB"/>
    <w:rsid w:val="00BC7294"/>
    <w:rsid w:val="00BC7432"/>
    <w:rsid w:val="00BC74B6"/>
    <w:rsid w:val="00BC7705"/>
    <w:rsid w:val="00BC7717"/>
    <w:rsid w:val="00BC7729"/>
    <w:rsid w:val="00BC77E3"/>
    <w:rsid w:val="00BC78D1"/>
    <w:rsid w:val="00BD09EB"/>
    <w:rsid w:val="00BD0BE1"/>
    <w:rsid w:val="00BD0DFB"/>
    <w:rsid w:val="00BD0E8C"/>
    <w:rsid w:val="00BD0EE3"/>
    <w:rsid w:val="00BD10E5"/>
    <w:rsid w:val="00BD1109"/>
    <w:rsid w:val="00BD18B8"/>
    <w:rsid w:val="00BD1CED"/>
    <w:rsid w:val="00BD1D4F"/>
    <w:rsid w:val="00BD1DA0"/>
    <w:rsid w:val="00BD2013"/>
    <w:rsid w:val="00BD21C1"/>
    <w:rsid w:val="00BD25E0"/>
    <w:rsid w:val="00BD26B9"/>
    <w:rsid w:val="00BD27FB"/>
    <w:rsid w:val="00BD2A3E"/>
    <w:rsid w:val="00BD2CF6"/>
    <w:rsid w:val="00BD2D2B"/>
    <w:rsid w:val="00BD2DB9"/>
    <w:rsid w:val="00BD30A3"/>
    <w:rsid w:val="00BD32B1"/>
    <w:rsid w:val="00BD3D0B"/>
    <w:rsid w:val="00BD42D4"/>
    <w:rsid w:val="00BD43EE"/>
    <w:rsid w:val="00BD498E"/>
    <w:rsid w:val="00BD4CAA"/>
    <w:rsid w:val="00BD5424"/>
    <w:rsid w:val="00BD5686"/>
    <w:rsid w:val="00BD61C8"/>
    <w:rsid w:val="00BD628C"/>
    <w:rsid w:val="00BD674C"/>
    <w:rsid w:val="00BD6881"/>
    <w:rsid w:val="00BD6A46"/>
    <w:rsid w:val="00BD6BF9"/>
    <w:rsid w:val="00BD707A"/>
    <w:rsid w:val="00BD79F3"/>
    <w:rsid w:val="00BD7BF9"/>
    <w:rsid w:val="00BD7C39"/>
    <w:rsid w:val="00BD7D27"/>
    <w:rsid w:val="00BD7DCE"/>
    <w:rsid w:val="00BD7E4C"/>
    <w:rsid w:val="00BE0211"/>
    <w:rsid w:val="00BE0901"/>
    <w:rsid w:val="00BE0C9E"/>
    <w:rsid w:val="00BE0DFF"/>
    <w:rsid w:val="00BE1703"/>
    <w:rsid w:val="00BE1823"/>
    <w:rsid w:val="00BE1AF9"/>
    <w:rsid w:val="00BE1F9A"/>
    <w:rsid w:val="00BE2452"/>
    <w:rsid w:val="00BE24B2"/>
    <w:rsid w:val="00BE2570"/>
    <w:rsid w:val="00BE26F7"/>
    <w:rsid w:val="00BE2712"/>
    <w:rsid w:val="00BE27FE"/>
    <w:rsid w:val="00BE2960"/>
    <w:rsid w:val="00BE3101"/>
    <w:rsid w:val="00BE3407"/>
    <w:rsid w:val="00BE423C"/>
    <w:rsid w:val="00BE492D"/>
    <w:rsid w:val="00BE4B10"/>
    <w:rsid w:val="00BE4BDB"/>
    <w:rsid w:val="00BE529F"/>
    <w:rsid w:val="00BE5A28"/>
    <w:rsid w:val="00BE5B25"/>
    <w:rsid w:val="00BE6404"/>
    <w:rsid w:val="00BE66E2"/>
    <w:rsid w:val="00BE68EA"/>
    <w:rsid w:val="00BE6B9D"/>
    <w:rsid w:val="00BE6D0C"/>
    <w:rsid w:val="00BE6D4F"/>
    <w:rsid w:val="00BE7045"/>
    <w:rsid w:val="00BE7257"/>
    <w:rsid w:val="00BE7379"/>
    <w:rsid w:val="00BF01C2"/>
    <w:rsid w:val="00BF0C22"/>
    <w:rsid w:val="00BF0D6B"/>
    <w:rsid w:val="00BF0EF4"/>
    <w:rsid w:val="00BF105D"/>
    <w:rsid w:val="00BF1345"/>
    <w:rsid w:val="00BF13C4"/>
    <w:rsid w:val="00BF1455"/>
    <w:rsid w:val="00BF14D1"/>
    <w:rsid w:val="00BF1744"/>
    <w:rsid w:val="00BF18F9"/>
    <w:rsid w:val="00BF1A71"/>
    <w:rsid w:val="00BF2054"/>
    <w:rsid w:val="00BF2291"/>
    <w:rsid w:val="00BF25F0"/>
    <w:rsid w:val="00BF2881"/>
    <w:rsid w:val="00BF2967"/>
    <w:rsid w:val="00BF31D5"/>
    <w:rsid w:val="00BF321F"/>
    <w:rsid w:val="00BF337C"/>
    <w:rsid w:val="00BF34CD"/>
    <w:rsid w:val="00BF3712"/>
    <w:rsid w:val="00BF3953"/>
    <w:rsid w:val="00BF3B20"/>
    <w:rsid w:val="00BF3E4D"/>
    <w:rsid w:val="00BF3E79"/>
    <w:rsid w:val="00BF3F4E"/>
    <w:rsid w:val="00BF3F88"/>
    <w:rsid w:val="00BF4123"/>
    <w:rsid w:val="00BF42E7"/>
    <w:rsid w:val="00BF4532"/>
    <w:rsid w:val="00BF471A"/>
    <w:rsid w:val="00BF4926"/>
    <w:rsid w:val="00BF4AC8"/>
    <w:rsid w:val="00BF4ACD"/>
    <w:rsid w:val="00BF4C8F"/>
    <w:rsid w:val="00BF4DE5"/>
    <w:rsid w:val="00BF504E"/>
    <w:rsid w:val="00BF58ED"/>
    <w:rsid w:val="00BF5C5A"/>
    <w:rsid w:val="00BF62EA"/>
    <w:rsid w:val="00BF6422"/>
    <w:rsid w:val="00BF699C"/>
    <w:rsid w:val="00BF6A7A"/>
    <w:rsid w:val="00BF6D32"/>
    <w:rsid w:val="00BF6DF7"/>
    <w:rsid w:val="00BF7076"/>
    <w:rsid w:val="00BF70AE"/>
    <w:rsid w:val="00BF7313"/>
    <w:rsid w:val="00BF7546"/>
    <w:rsid w:val="00BF7667"/>
    <w:rsid w:val="00BF7A0D"/>
    <w:rsid w:val="00C00147"/>
    <w:rsid w:val="00C001A8"/>
    <w:rsid w:val="00C00289"/>
    <w:rsid w:val="00C00291"/>
    <w:rsid w:val="00C002C0"/>
    <w:rsid w:val="00C00A99"/>
    <w:rsid w:val="00C00F03"/>
    <w:rsid w:val="00C00F2A"/>
    <w:rsid w:val="00C011B3"/>
    <w:rsid w:val="00C01227"/>
    <w:rsid w:val="00C01676"/>
    <w:rsid w:val="00C016E4"/>
    <w:rsid w:val="00C01829"/>
    <w:rsid w:val="00C01B58"/>
    <w:rsid w:val="00C01CF6"/>
    <w:rsid w:val="00C0296A"/>
    <w:rsid w:val="00C029B3"/>
    <w:rsid w:val="00C02A69"/>
    <w:rsid w:val="00C02C11"/>
    <w:rsid w:val="00C02CC3"/>
    <w:rsid w:val="00C0302E"/>
    <w:rsid w:val="00C03430"/>
    <w:rsid w:val="00C03BCC"/>
    <w:rsid w:val="00C03EE9"/>
    <w:rsid w:val="00C03FE2"/>
    <w:rsid w:val="00C03FF2"/>
    <w:rsid w:val="00C042AA"/>
    <w:rsid w:val="00C04404"/>
    <w:rsid w:val="00C04698"/>
    <w:rsid w:val="00C04BF9"/>
    <w:rsid w:val="00C04D5D"/>
    <w:rsid w:val="00C05B6F"/>
    <w:rsid w:val="00C05F02"/>
    <w:rsid w:val="00C0642B"/>
    <w:rsid w:val="00C06679"/>
    <w:rsid w:val="00C06CC0"/>
    <w:rsid w:val="00C0731C"/>
    <w:rsid w:val="00C10881"/>
    <w:rsid w:val="00C10D0D"/>
    <w:rsid w:val="00C10F85"/>
    <w:rsid w:val="00C11279"/>
    <w:rsid w:val="00C11934"/>
    <w:rsid w:val="00C119D3"/>
    <w:rsid w:val="00C11B9B"/>
    <w:rsid w:val="00C1234D"/>
    <w:rsid w:val="00C12390"/>
    <w:rsid w:val="00C12426"/>
    <w:rsid w:val="00C12691"/>
    <w:rsid w:val="00C12A27"/>
    <w:rsid w:val="00C12CD8"/>
    <w:rsid w:val="00C12E21"/>
    <w:rsid w:val="00C13B6B"/>
    <w:rsid w:val="00C13E7C"/>
    <w:rsid w:val="00C1444C"/>
    <w:rsid w:val="00C1457D"/>
    <w:rsid w:val="00C14624"/>
    <w:rsid w:val="00C146EC"/>
    <w:rsid w:val="00C1494F"/>
    <w:rsid w:val="00C14A90"/>
    <w:rsid w:val="00C153B1"/>
    <w:rsid w:val="00C15962"/>
    <w:rsid w:val="00C15CA5"/>
    <w:rsid w:val="00C15CD8"/>
    <w:rsid w:val="00C15D9C"/>
    <w:rsid w:val="00C15EF8"/>
    <w:rsid w:val="00C15F27"/>
    <w:rsid w:val="00C16A72"/>
    <w:rsid w:val="00C16A75"/>
    <w:rsid w:val="00C16AA8"/>
    <w:rsid w:val="00C16CFE"/>
    <w:rsid w:val="00C16D02"/>
    <w:rsid w:val="00C174AD"/>
    <w:rsid w:val="00C178EB"/>
    <w:rsid w:val="00C17F98"/>
    <w:rsid w:val="00C17FAD"/>
    <w:rsid w:val="00C204A9"/>
    <w:rsid w:val="00C204E1"/>
    <w:rsid w:val="00C211FC"/>
    <w:rsid w:val="00C21604"/>
    <w:rsid w:val="00C21776"/>
    <w:rsid w:val="00C21A2A"/>
    <w:rsid w:val="00C21C8B"/>
    <w:rsid w:val="00C22C75"/>
    <w:rsid w:val="00C22EAD"/>
    <w:rsid w:val="00C2308E"/>
    <w:rsid w:val="00C23229"/>
    <w:rsid w:val="00C23521"/>
    <w:rsid w:val="00C23639"/>
    <w:rsid w:val="00C23A8A"/>
    <w:rsid w:val="00C2438A"/>
    <w:rsid w:val="00C245DA"/>
    <w:rsid w:val="00C246AC"/>
    <w:rsid w:val="00C24782"/>
    <w:rsid w:val="00C24D97"/>
    <w:rsid w:val="00C25351"/>
    <w:rsid w:val="00C25838"/>
    <w:rsid w:val="00C25EFE"/>
    <w:rsid w:val="00C2607A"/>
    <w:rsid w:val="00C26223"/>
    <w:rsid w:val="00C2622B"/>
    <w:rsid w:val="00C263FC"/>
    <w:rsid w:val="00C26571"/>
    <w:rsid w:val="00C2690F"/>
    <w:rsid w:val="00C26B33"/>
    <w:rsid w:val="00C26C96"/>
    <w:rsid w:val="00C2713D"/>
    <w:rsid w:val="00C2714B"/>
    <w:rsid w:val="00C27B02"/>
    <w:rsid w:val="00C27C99"/>
    <w:rsid w:val="00C27E1D"/>
    <w:rsid w:val="00C27E37"/>
    <w:rsid w:val="00C30474"/>
    <w:rsid w:val="00C30570"/>
    <w:rsid w:val="00C305D1"/>
    <w:rsid w:val="00C30617"/>
    <w:rsid w:val="00C30B62"/>
    <w:rsid w:val="00C30D24"/>
    <w:rsid w:val="00C310D8"/>
    <w:rsid w:val="00C31854"/>
    <w:rsid w:val="00C32135"/>
    <w:rsid w:val="00C327E7"/>
    <w:rsid w:val="00C32924"/>
    <w:rsid w:val="00C335F3"/>
    <w:rsid w:val="00C337D1"/>
    <w:rsid w:val="00C33CDF"/>
    <w:rsid w:val="00C33EBD"/>
    <w:rsid w:val="00C33F62"/>
    <w:rsid w:val="00C34292"/>
    <w:rsid w:val="00C3483C"/>
    <w:rsid w:val="00C34EF2"/>
    <w:rsid w:val="00C35213"/>
    <w:rsid w:val="00C3582B"/>
    <w:rsid w:val="00C35B64"/>
    <w:rsid w:val="00C35D3F"/>
    <w:rsid w:val="00C35FD7"/>
    <w:rsid w:val="00C36B76"/>
    <w:rsid w:val="00C36EF6"/>
    <w:rsid w:val="00C36EF7"/>
    <w:rsid w:val="00C37646"/>
    <w:rsid w:val="00C3776B"/>
    <w:rsid w:val="00C377AE"/>
    <w:rsid w:val="00C378D3"/>
    <w:rsid w:val="00C37C0A"/>
    <w:rsid w:val="00C37CFD"/>
    <w:rsid w:val="00C37F64"/>
    <w:rsid w:val="00C402F8"/>
    <w:rsid w:val="00C40333"/>
    <w:rsid w:val="00C40E3B"/>
    <w:rsid w:val="00C40FF9"/>
    <w:rsid w:val="00C418DF"/>
    <w:rsid w:val="00C41B8F"/>
    <w:rsid w:val="00C41BD8"/>
    <w:rsid w:val="00C41CB3"/>
    <w:rsid w:val="00C41CBB"/>
    <w:rsid w:val="00C42051"/>
    <w:rsid w:val="00C4221F"/>
    <w:rsid w:val="00C42286"/>
    <w:rsid w:val="00C422AA"/>
    <w:rsid w:val="00C423E7"/>
    <w:rsid w:val="00C426BE"/>
    <w:rsid w:val="00C42798"/>
    <w:rsid w:val="00C4302C"/>
    <w:rsid w:val="00C43C96"/>
    <w:rsid w:val="00C43CBF"/>
    <w:rsid w:val="00C43E35"/>
    <w:rsid w:val="00C44670"/>
    <w:rsid w:val="00C44957"/>
    <w:rsid w:val="00C456C5"/>
    <w:rsid w:val="00C4588B"/>
    <w:rsid w:val="00C45EA6"/>
    <w:rsid w:val="00C463B6"/>
    <w:rsid w:val="00C46501"/>
    <w:rsid w:val="00C4675C"/>
    <w:rsid w:val="00C46D84"/>
    <w:rsid w:val="00C475A5"/>
    <w:rsid w:val="00C47E76"/>
    <w:rsid w:val="00C5009E"/>
    <w:rsid w:val="00C50176"/>
    <w:rsid w:val="00C50306"/>
    <w:rsid w:val="00C5074E"/>
    <w:rsid w:val="00C507C0"/>
    <w:rsid w:val="00C50B01"/>
    <w:rsid w:val="00C50B97"/>
    <w:rsid w:val="00C51171"/>
    <w:rsid w:val="00C519BB"/>
    <w:rsid w:val="00C51F69"/>
    <w:rsid w:val="00C5209A"/>
    <w:rsid w:val="00C531F3"/>
    <w:rsid w:val="00C53657"/>
    <w:rsid w:val="00C537BD"/>
    <w:rsid w:val="00C53943"/>
    <w:rsid w:val="00C54071"/>
    <w:rsid w:val="00C54592"/>
    <w:rsid w:val="00C54683"/>
    <w:rsid w:val="00C54C1F"/>
    <w:rsid w:val="00C552CA"/>
    <w:rsid w:val="00C555EF"/>
    <w:rsid w:val="00C55B30"/>
    <w:rsid w:val="00C55CA2"/>
    <w:rsid w:val="00C55D81"/>
    <w:rsid w:val="00C56778"/>
    <w:rsid w:val="00C56BA5"/>
    <w:rsid w:val="00C56BF7"/>
    <w:rsid w:val="00C571F9"/>
    <w:rsid w:val="00C5766C"/>
    <w:rsid w:val="00C57E32"/>
    <w:rsid w:val="00C600DD"/>
    <w:rsid w:val="00C60109"/>
    <w:rsid w:val="00C6084A"/>
    <w:rsid w:val="00C60BAF"/>
    <w:rsid w:val="00C61103"/>
    <w:rsid w:val="00C619D1"/>
    <w:rsid w:val="00C619EA"/>
    <w:rsid w:val="00C61A50"/>
    <w:rsid w:val="00C61B9D"/>
    <w:rsid w:val="00C61CED"/>
    <w:rsid w:val="00C61EC5"/>
    <w:rsid w:val="00C621E1"/>
    <w:rsid w:val="00C6253C"/>
    <w:rsid w:val="00C62596"/>
    <w:rsid w:val="00C627A2"/>
    <w:rsid w:val="00C627DB"/>
    <w:rsid w:val="00C628D4"/>
    <w:rsid w:val="00C62F0C"/>
    <w:rsid w:val="00C638E1"/>
    <w:rsid w:val="00C639BD"/>
    <w:rsid w:val="00C63B07"/>
    <w:rsid w:val="00C63B5E"/>
    <w:rsid w:val="00C63C32"/>
    <w:rsid w:val="00C64012"/>
    <w:rsid w:val="00C640F9"/>
    <w:rsid w:val="00C6422B"/>
    <w:rsid w:val="00C6456B"/>
    <w:rsid w:val="00C647FD"/>
    <w:rsid w:val="00C64C08"/>
    <w:rsid w:val="00C650B7"/>
    <w:rsid w:val="00C65145"/>
    <w:rsid w:val="00C65165"/>
    <w:rsid w:val="00C654EA"/>
    <w:rsid w:val="00C65574"/>
    <w:rsid w:val="00C65919"/>
    <w:rsid w:val="00C65D38"/>
    <w:rsid w:val="00C66080"/>
    <w:rsid w:val="00C66093"/>
    <w:rsid w:val="00C6628B"/>
    <w:rsid w:val="00C669CD"/>
    <w:rsid w:val="00C670B6"/>
    <w:rsid w:val="00C6728C"/>
    <w:rsid w:val="00C673F7"/>
    <w:rsid w:val="00C67ACB"/>
    <w:rsid w:val="00C67E28"/>
    <w:rsid w:val="00C70032"/>
    <w:rsid w:val="00C70264"/>
    <w:rsid w:val="00C7048C"/>
    <w:rsid w:val="00C7061A"/>
    <w:rsid w:val="00C706E4"/>
    <w:rsid w:val="00C709C1"/>
    <w:rsid w:val="00C713B2"/>
    <w:rsid w:val="00C713BA"/>
    <w:rsid w:val="00C71971"/>
    <w:rsid w:val="00C720DA"/>
    <w:rsid w:val="00C72448"/>
    <w:rsid w:val="00C72760"/>
    <w:rsid w:val="00C72822"/>
    <w:rsid w:val="00C72829"/>
    <w:rsid w:val="00C72938"/>
    <w:rsid w:val="00C72BC4"/>
    <w:rsid w:val="00C73014"/>
    <w:rsid w:val="00C7304D"/>
    <w:rsid w:val="00C73C3D"/>
    <w:rsid w:val="00C73C8E"/>
    <w:rsid w:val="00C73D13"/>
    <w:rsid w:val="00C73F87"/>
    <w:rsid w:val="00C74030"/>
    <w:rsid w:val="00C74113"/>
    <w:rsid w:val="00C74317"/>
    <w:rsid w:val="00C7454C"/>
    <w:rsid w:val="00C748BD"/>
    <w:rsid w:val="00C7497C"/>
    <w:rsid w:val="00C749E2"/>
    <w:rsid w:val="00C75295"/>
    <w:rsid w:val="00C7529E"/>
    <w:rsid w:val="00C75A06"/>
    <w:rsid w:val="00C76204"/>
    <w:rsid w:val="00C7688A"/>
    <w:rsid w:val="00C76DC8"/>
    <w:rsid w:val="00C76EDC"/>
    <w:rsid w:val="00C7702C"/>
    <w:rsid w:val="00C774CE"/>
    <w:rsid w:val="00C77BE0"/>
    <w:rsid w:val="00C80754"/>
    <w:rsid w:val="00C80F83"/>
    <w:rsid w:val="00C81238"/>
    <w:rsid w:val="00C812C8"/>
    <w:rsid w:val="00C81761"/>
    <w:rsid w:val="00C817FA"/>
    <w:rsid w:val="00C81CDE"/>
    <w:rsid w:val="00C81E68"/>
    <w:rsid w:val="00C822E3"/>
    <w:rsid w:val="00C82578"/>
    <w:rsid w:val="00C82604"/>
    <w:rsid w:val="00C826FF"/>
    <w:rsid w:val="00C827BD"/>
    <w:rsid w:val="00C82ACB"/>
    <w:rsid w:val="00C82B0F"/>
    <w:rsid w:val="00C830B6"/>
    <w:rsid w:val="00C83300"/>
    <w:rsid w:val="00C83587"/>
    <w:rsid w:val="00C837C7"/>
    <w:rsid w:val="00C838FB"/>
    <w:rsid w:val="00C83AEA"/>
    <w:rsid w:val="00C83CA6"/>
    <w:rsid w:val="00C83DC3"/>
    <w:rsid w:val="00C847C8"/>
    <w:rsid w:val="00C84A99"/>
    <w:rsid w:val="00C84B2F"/>
    <w:rsid w:val="00C84D41"/>
    <w:rsid w:val="00C851CB"/>
    <w:rsid w:val="00C855D1"/>
    <w:rsid w:val="00C8598A"/>
    <w:rsid w:val="00C85AE4"/>
    <w:rsid w:val="00C85C11"/>
    <w:rsid w:val="00C85E11"/>
    <w:rsid w:val="00C85FD4"/>
    <w:rsid w:val="00C8631C"/>
    <w:rsid w:val="00C866F2"/>
    <w:rsid w:val="00C868CC"/>
    <w:rsid w:val="00C87012"/>
    <w:rsid w:val="00C87B89"/>
    <w:rsid w:val="00C87FAA"/>
    <w:rsid w:val="00C90035"/>
    <w:rsid w:val="00C90309"/>
    <w:rsid w:val="00C90DA9"/>
    <w:rsid w:val="00C90DAB"/>
    <w:rsid w:val="00C91507"/>
    <w:rsid w:val="00C91BE4"/>
    <w:rsid w:val="00C91D65"/>
    <w:rsid w:val="00C9289C"/>
    <w:rsid w:val="00C929E2"/>
    <w:rsid w:val="00C92D54"/>
    <w:rsid w:val="00C92F5C"/>
    <w:rsid w:val="00C93048"/>
    <w:rsid w:val="00C93327"/>
    <w:rsid w:val="00C939CA"/>
    <w:rsid w:val="00C93A94"/>
    <w:rsid w:val="00C93D31"/>
    <w:rsid w:val="00C93E79"/>
    <w:rsid w:val="00C94264"/>
    <w:rsid w:val="00C9429A"/>
    <w:rsid w:val="00C9455B"/>
    <w:rsid w:val="00C9460A"/>
    <w:rsid w:val="00C9498E"/>
    <w:rsid w:val="00C949C1"/>
    <w:rsid w:val="00C94FD8"/>
    <w:rsid w:val="00C951BB"/>
    <w:rsid w:val="00C954B2"/>
    <w:rsid w:val="00C9566C"/>
    <w:rsid w:val="00C9639D"/>
    <w:rsid w:val="00C96709"/>
    <w:rsid w:val="00C96ECA"/>
    <w:rsid w:val="00C97149"/>
    <w:rsid w:val="00C973B1"/>
    <w:rsid w:val="00C97A4A"/>
    <w:rsid w:val="00C97D8F"/>
    <w:rsid w:val="00C97E10"/>
    <w:rsid w:val="00CA0047"/>
    <w:rsid w:val="00CA017F"/>
    <w:rsid w:val="00CA01B3"/>
    <w:rsid w:val="00CA02F5"/>
    <w:rsid w:val="00CA042B"/>
    <w:rsid w:val="00CA049D"/>
    <w:rsid w:val="00CA0AD1"/>
    <w:rsid w:val="00CA0AF2"/>
    <w:rsid w:val="00CA14CD"/>
    <w:rsid w:val="00CA1EAD"/>
    <w:rsid w:val="00CA2BCB"/>
    <w:rsid w:val="00CA2C0E"/>
    <w:rsid w:val="00CA2C46"/>
    <w:rsid w:val="00CA2CCA"/>
    <w:rsid w:val="00CA2E64"/>
    <w:rsid w:val="00CA3848"/>
    <w:rsid w:val="00CA3A2B"/>
    <w:rsid w:val="00CA3F8C"/>
    <w:rsid w:val="00CA3FAE"/>
    <w:rsid w:val="00CA4133"/>
    <w:rsid w:val="00CA4324"/>
    <w:rsid w:val="00CA4AC1"/>
    <w:rsid w:val="00CA4CB0"/>
    <w:rsid w:val="00CA5397"/>
    <w:rsid w:val="00CA57E7"/>
    <w:rsid w:val="00CA5D30"/>
    <w:rsid w:val="00CA70CD"/>
    <w:rsid w:val="00CA72F0"/>
    <w:rsid w:val="00CA739A"/>
    <w:rsid w:val="00CA76AE"/>
    <w:rsid w:val="00CA7B29"/>
    <w:rsid w:val="00CA7B95"/>
    <w:rsid w:val="00CA7C68"/>
    <w:rsid w:val="00CA7FD6"/>
    <w:rsid w:val="00CB0120"/>
    <w:rsid w:val="00CB0203"/>
    <w:rsid w:val="00CB07E7"/>
    <w:rsid w:val="00CB0886"/>
    <w:rsid w:val="00CB0999"/>
    <w:rsid w:val="00CB0DDE"/>
    <w:rsid w:val="00CB0E96"/>
    <w:rsid w:val="00CB1102"/>
    <w:rsid w:val="00CB1B83"/>
    <w:rsid w:val="00CB2215"/>
    <w:rsid w:val="00CB2C1D"/>
    <w:rsid w:val="00CB2CEB"/>
    <w:rsid w:val="00CB2F05"/>
    <w:rsid w:val="00CB2FFA"/>
    <w:rsid w:val="00CB313F"/>
    <w:rsid w:val="00CB328B"/>
    <w:rsid w:val="00CB341D"/>
    <w:rsid w:val="00CB364C"/>
    <w:rsid w:val="00CB3BD6"/>
    <w:rsid w:val="00CB4017"/>
    <w:rsid w:val="00CB4507"/>
    <w:rsid w:val="00CB531F"/>
    <w:rsid w:val="00CB5758"/>
    <w:rsid w:val="00CB5FB8"/>
    <w:rsid w:val="00CB6096"/>
    <w:rsid w:val="00CB6139"/>
    <w:rsid w:val="00CB69AC"/>
    <w:rsid w:val="00CB6F8B"/>
    <w:rsid w:val="00CB749A"/>
    <w:rsid w:val="00CB7658"/>
    <w:rsid w:val="00CB7696"/>
    <w:rsid w:val="00CB77FE"/>
    <w:rsid w:val="00CB7880"/>
    <w:rsid w:val="00CB7DC9"/>
    <w:rsid w:val="00CC0299"/>
    <w:rsid w:val="00CC0A51"/>
    <w:rsid w:val="00CC0CC9"/>
    <w:rsid w:val="00CC0E4B"/>
    <w:rsid w:val="00CC109A"/>
    <w:rsid w:val="00CC122D"/>
    <w:rsid w:val="00CC142B"/>
    <w:rsid w:val="00CC1EF9"/>
    <w:rsid w:val="00CC1F77"/>
    <w:rsid w:val="00CC1FB9"/>
    <w:rsid w:val="00CC23C7"/>
    <w:rsid w:val="00CC27F4"/>
    <w:rsid w:val="00CC2829"/>
    <w:rsid w:val="00CC284F"/>
    <w:rsid w:val="00CC2916"/>
    <w:rsid w:val="00CC2E5B"/>
    <w:rsid w:val="00CC332E"/>
    <w:rsid w:val="00CC3826"/>
    <w:rsid w:val="00CC3DF1"/>
    <w:rsid w:val="00CC3EDA"/>
    <w:rsid w:val="00CC44DD"/>
    <w:rsid w:val="00CC48D7"/>
    <w:rsid w:val="00CC5175"/>
    <w:rsid w:val="00CC52DB"/>
    <w:rsid w:val="00CC5549"/>
    <w:rsid w:val="00CC56DE"/>
    <w:rsid w:val="00CC5B22"/>
    <w:rsid w:val="00CC5C87"/>
    <w:rsid w:val="00CC6057"/>
    <w:rsid w:val="00CC627A"/>
    <w:rsid w:val="00CC6752"/>
    <w:rsid w:val="00CC7142"/>
    <w:rsid w:val="00CC7309"/>
    <w:rsid w:val="00CC74F5"/>
    <w:rsid w:val="00CC7991"/>
    <w:rsid w:val="00CC7E38"/>
    <w:rsid w:val="00CD0164"/>
    <w:rsid w:val="00CD033C"/>
    <w:rsid w:val="00CD0891"/>
    <w:rsid w:val="00CD0DAB"/>
    <w:rsid w:val="00CD1CC7"/>
    <w:rsid w:val="00CD1CD1"/>
    <w:rsid w:val="00CD2289"/>
    <w:rsid w:val="00CD2461"/>
    <w:rsid w:val="00CD2BBE"/>
    <w:rsid w:val="00CD2CD7"/>
    <w:rsid w:val="00CD338B"/>
    <w:rsid w:val="00CD34A2"/>
    <w:rsid w:val="00CD38C9"/>
    <w:rsid w:val="00CD3B52"/>
    <w:rsid w:val="00CD3B8E"/>
    <w:rsid w:val="00CD3FF0"/>
    <w:rsid w:val="00CD479B"/>
    <w:rsid w:val="00CD4E90"/>
    <w:rsid w:val="00CD5455"/>
    <w:rsid w:val="00CD5D01"/>
    <w:rsid w:val="00CD63FF"/>
    <w:rsid w:val="00CD6488"/>
    <w:rsid w:val="00CD667F"/>
    <w:rsid w:val="00CD6D9E"/>
    <w:rsid w:val="00CD6E33"/>
    <w:rsid w:val="00CD7AD1"/>
    <w:rsid w:val="00CE006D"/>
    <w:rsid w:val="00CE0523"/>
    <w:rsid w:val="00CE0C86"/>
    <w:rsid w:val="00CE1174"/>
    <w:rsid w:val="00CE1767"/>
    <w:rsid w:val="00CE2910"/>
    <w:rsid w:val="00CE2B23"/>
    <w:rsid w:val="00CE2B2D"/>
    <w:rsid w:val="00CE2C12"/>
    <w:rsid w:val="00CE3520"/>
    <w:rsid w:val="00CE360F"/>
    <w:rsid w:val="00CE3725"/>
    <w:rsid w:val="00CE3C98"/>
    <w:rsid w:val="00CE3FE9"/>
    <w:rsid w:val="00CE45AD"/>
    <w:rsid w:val="00CE46FA"/>
    <w:rsid w:val="00CE5B7F"/>
    <w:rsid w:val="00CE5E88"/>
    <w:rsid w:val="00CE6271"/>
    <w:rsid w:val="00CE7034"/>
    <w:rsid w:val="00CE7370"/>
    <w:rsid w:val="00CE752F"/>
    <w:rsid w:val="00CE75CF"/>
    <w:rsid w:val="00CE75E6"/>
    <w:rsid w:val="00CE7B37"/>
    <w:rsid w:val="00CE7CD8"/>
    <w:rsid w:val="00CE7EF2"/>
    <w:rsid w:val="00CF0134"/>
    <w:rsid w:val="00CF0452"/>
    <w:rsid w:val="00CF0C6D"/>
    <w:rsid w:val="00CF0D00"/>
    <w:rsid w:val="00CF0EAB"/>
    <w:rsid w:val="00CF0F73"/>
    <w:rsid w:val="00CF14D9"/>
    <w:rsid w:val="00CF1515"/>
    <w:rsid w:val="00CF187A"/>
    <w:rsid w:val="00CF1FC7"/>
    <w:rsid w:val="00CF264A"/>
    <w:rsid w:val="00CF29F7"/>
    <w:rsid w:val="00CF31D8"/>
    <w:rsid w:val="00CF3234"/>
    <w:rsid w:val="00CF3377"/>
    <w:rsid w:val="00CF341E"/>
    <w:rsid w:val="00CF3BFD"/>
    <w:rsid w:val="00CF3D45"/>
    <w:rsid w:val="00CF3D4F"/>
    <w:rsid w:val="00CF3F0F"/>
    <w:rsid w:val="00CF5653"/>
    <w:rsid w:val="00CF5D0F"/>
    <w:rsid w:val="00CF61E0"/>
    <w:rsid w:val="00CF6C2A"/>
    <w:rsid w:val="00CF74E3"/>
    <w:rsid w:val="00CF77F7"/>
    <w:rsid w:val="00CF78A7"/>
    <w:rsid w:val="00CF78AC"/>
    <w:rsid w:val="00CF7933"/>
    <w:rsid w:val="00CF7EC0"/>
    <w:rsid w:val="00CF7EE6"/>
    <w:rsid w:val="00D009A4"/>
    <w:rsid w:val="00D0103A"/>
    <w:rsid w:val="00D01103"/>
    <w:rsid w:val="00D0125B"/>
    <w:rsid w:val="00D014F4"/>
    <w:rsid w:val="00D015C5"/>
    <w:rsid w:val="00D01D35"/>
    <w:rsid w:val="00D01FC8"/>
    <w:rsid w:val="00D03040"/>
    <w:rsid w:val="00D03242"/>
    <w:rsid w:val="00D0377B"/>
    <w:rsid w:val="00D037E9"/>
    <w:rsid w:val="00D03A71"/>
    <w:rsid w:val="00D03B22"/>
    <w:rsid w:val="00D042F3"/>
    <w:rsid w:val="00D0464C"/>
    <w:rsid w:val="00D04B5E"/>
    <w:rsid w:val="00D04B61"/>
    <w:rsid w:val="00D0500A"/>
    <w:rsid w:val="00D0509C"/>
    <w:rsid w:val="00D050EF"/>
    <w:rsid w:val="00D05443"/>
    <w:rsid w:val="00D055FC"/>
    <w:rsid w:val="00D05733"/>
    <w:rsid w:val="00D05777"/>
    <w:rsid w:val="00D058F4"/>
    <w:rsid w:val="00D05E6B"/>
    <w:rsid w:val="00D05EB7"/>
    <w:rsid w:val="00D062F8"/>
    <w:rsid w:val="00D064BB"/>
    <w:rsid w:val="00D06CA5"/>
    <w:rsid w:val="00D0720A"/>
    <w:rsid w:val="00D0747C"/>
    <w:rsid w:val="00D100EA"/>
    <w:rsid w:val="00D10C7D"/>
    <w:rsid w:val="00D1150E"/>
    <w:rsid w:val="00D11834"/>
    <w:rsid w:val="00D11CF3"/>
    <w:rsid w:val="00D11DB9"/>
    <w:rsid w:val="00D11F80"/>
    <w:rsid w:val="00D12230"/>
    <w:rsid w:val="00D1233F"/>
    <w:rsid w:val="00D12369"/>
    <w:rsid w:val="00D1238A"/>
    <w:rsid w:val="00D12B03"/>
    <w:rsid w:val="00D12B93"/>
    <w:rsid w:val="00D12C1C"/>
    <w:rsid w:val="00D12C34"/>
    <w:rsid w:val="00D1305C"/>
    <w:rsid w:val="00D134DD"/>
    <w:rsid w:val="00D1365C"/>
    <w:rsid w:val="00D13875"/>
    <w:rsid w:val="00D13A64"/>
    <w:rsid w:val="00D13F6B"/>
    <w:rsid w:val="00D13F6D"/>
    <w:rsid w:val="00D145C2"/>
    <w:rsid w:val="00D1463C"/>
    <w:rsid w:val="00D14B62"/>
    <w:rsid w:val="00D1531F"/>
    <w:rsid w:val="00D1539C"/>
    <w:rsid w:val="00D1541D"/>
    <w:rsid w:val="00D156C0"/>
    <w:rsid w:val="00D15F6F"/>
    <w:rsid w:val="00D1602A"/>
    <w:rsid w:val="00D168A0"/>
    <w:rsid w:val="00D168EB"/>
    <w:rsid w:val="00D16AA2"/>
    <w:rsid w:val="00D16B24"/>
    <w:rsid w:val="00D170AC"/>
    <w:rsid w:val="00D177A5"/>
    <w:rsid w:val="00D17A06"/>
    <w:rsid w:val="00D205FA"/>
    <w:rsid w:val="00D20B23"/>
    <w:rsid w:val="00D20B6F"/>
    <w:rsid w:val="00D20FD1"/>
    <w:rsid w:val="00D2111D"/>
    <w:rsid w:val="00D21396"/>
    <w:rsid w:val="00D215FB"/>
    <w:rsid w:val="00D2172D"/>
    <w:rsid w:val="00D2198B"/>
    <w:rsid w:val="00D21BC7"/>
    <w:rsid w:val="00D21D5B"/>
    <w:rsid w:val="00D2226C"/>
    <w:rsid w:val="00D22514"/>
    <w:rsid w:val="00D22778"/>
    <w:rsid w:val="00D227BE"/>
    <w:rsid w:val="00D22AC3"/>
    <w:rsid w:val="00D22AC8"/>
    <w:rsid w:val="00D22CB8"/>
    <w:rsid w:val="00D22D20"/>
    <w:rsid w:val="00D2309E"/>
    <w:rsid w:val="00D23561"/>
    <w:rsid w:val="00D237E6"/>
    <w:rsid w:val="00D23892"/>
    <w:rsid w:val="00D2409D"/>
    <w:rsid w:val="00D24302"/>
    <w:rsid w:val="00D244ED"/>
    <w:rsid w:val="00D24513"/>
    <w:rsid w:val="00D25120"/>
    <w:rsid w:val="00D2573F"/>
    <w:rsid w:val="00D258BC"/>
    <w:rsid w:val="00D25D95"/>
    <w:rsid w:val="00D25E3C"/>
    <w:rsid w:val="00D2672A"/>
    <w:rsid w:val="00D26B69"/>
    <w:rsid w:val="00D26CA4"/>
    <w:rsid w:val="00D27496"/>
    <w:rsid w:val="00D27584"/>
    <w:rsid w:val="00D27605"/>
    <w:rsid w:val="00D278D8"/>
    <w:rsid w:val="00D279C7"/>
    <w:rsid w:val="00D307C5"/>
    <w:rsid w:val="00D307EF"/>
    <w:rsid w:val="00D30A1F"/>
    <w:rsid w:val="00D30D74"/>
    <w:rsid w:val="00D3156E"/>
    <w:rsid w:val="00D3158E"/>
    <w:rsid w:val="00D31779"/>
    <w:rsid w:val="00D318BB"/>
    <w:rsid w:val="00D3197B"/>
    <w:rsid w:val="00D31F58"/>
    <w:rsid w:val="00D3231B"/>
    <w:rsid w:val="00D3267B"/>
    <w:rsid w:val="00D32BE6"/>
    <w:rsid w:val="00D32C9A"/>
    <w:rsid w:val="00D32CA4"/>
    <w:rsid w:val="00D33184"/>
    <w:rsid w:val="00D341FC"/>
    <w:rsid w:val="00D34221"/>
    <w:rsid w:val="00D34522"/>
    <w:rsid w:val="00D34F27"/>
    <w:rsid w:val="00D35343"/>
    <w:rsid w:val="00D359D6"/>
    <w:rsid w:val="00D35D92"/>
    <w:rsid w:val="00D35EBB"/>
    <w:rsid w:val="00D3611D"/>
    <w:rsid w:val="00D361B4"/>
    <w:rsid w:val="00D371F1"/>
    <w:rsid w:val="00D3727A"/>
    <w:rsid w:val="00D3773F"/>
    <w:rsid w:val="00D377FF"/>
    <w:rsid w:val="00D4056E"/>
    <w:rsid w:val="00D4056F"/>
    <w:rsid w:val="00D406A4"/>
    <w:rsid w:val="00D40B7B"/>
    <w:rsid w:val="00D40EFF"/>
    <w:rsid w:val="00D40FEB"/>
    <w:rsid w:val="00D41911"/>
    <w:rsid w:val="00D41B82"/>
    <w:rsid w:val="00D41F4B"/>
    <w:rsid w:val="00D42297"/>
    <w:rsid w:val="00D42440"/>
    <w:rsid w:val="00D42724"/>
    <w:rsid w:val="00D42A6C"/>
    <w:rsid w:val="00D42DED"/>
    <w:rsid w:val="00D4305B"/>
    <w:rsid w:val="00D4330A"/>
    <w:rsid w:val="00D43ADB"/>
    <w:rsid w:val="00D43CCD"/>
    <w:rsid w:val="00D43D0D"/>
    <w:rsid w:val="00D43FE1"/>
    <w:rsid w:val="00D44169"/>
    <w:rsid w:val="00D4459C"/>
    <w:rsid w:val="00D44A58"/>
    <w:rsid w:val="00D4553D"/>
    <w:rsid w:val="00D458CE"/>
    <w:rsid w:val="00D459F8"/>
    <w:rsid w:val="00D45BC4"/>
    <w:rsid w:val="00D45C1F"/>
    <w:rsid w:val="00D45CE3"/>
    <w:rsid w:val="00D462E5"/>
    <w:rsid w:val="00D46517"/>
    <w:rsid w:val="00D466A3"/>
    <w:rsid w:val="00D46D3A"/>
    <w:rsid w:val="00D46D70"/>
    <w:rsid w:val="00D47126"/>
    <w:rsid w:val="00D47ABC"/>
    <w:rsid w:val="00D47E3D"/>
    <w:rsid w:val="00D51435"/>
    <w:rsid w:val="00D519BA"/>
    <w:rsid w:val="00D52DFA"/>
    <w:rsid w:val="00D52EFD"/>
    <w:rsid w:val="00D52FB8"/>
    <w:rsid w:val="00D52FE2"/>
    <w:rsid w:val="00D5321A"/>
    <w:rsid w:val="00D5366C"/>
    <w:rsid w:val="00D53935"/>
    <w:rsid w:val="00D5395F"/>
    <w:rsid w:val="00D539E4"/>
    <w:rsid w:val="00D53BEC"/>
    <w:rsid w:val="00D53F61"/>
    <w:rsid w:val="00D5406C"/>
    <w:rsid w:val="00D54426"/>
    <w:rsid w:val="00D544E7"/>
    <w:rsid w:val="00D5472D"/>
    <w:rsid w:val="00D54C5F"/>
    <w:rsid w:val="00D54DD1"/>
    <w:rsid w:val="00D5530B"/>
    <w:rsid w:val="00D556B7"/>
    <w:rsid w:val="00D557A6"/>
    <w:rsid w:val="00D5588F"/>
    <w:rsid w:val="00D558C1"/>
    <w:rsid w:val="00D5599E"/>
    <w:rsid w:val="00D55FBC"/>
    <w:rsid w:val="00D56159"/>
    <w:rsid w:val="00D56820"/>
    <w:rsid w:val="00D56AA1"/>
    <w:rsid w:val="00D56EBA"/>
    <w:rsid w:val="00D571EA"/>
    <w:rsid w:val="00D576A5"/>
    <w:rsid w:val="00D57C55"/>
    <w:rsid w:val="00D6014F"/>
    <w:rsid w:val="00D60C0B"/>
    <w:rsid w:val="00D60C34"/>
    <w:rsid w:val="00D6101D"/>
    <w:rsid w:val="00D61139"/>
    <w:rsid w:val="00D611DB"/>
    <w:rsid w:val="00D6164B"/>
    <w:rsid w:val="00D619E6"/>
    <w:rsid w:val="00D61A5D"/>
    <w:rsid w:val="00D61A70"/>
    <w:rsid w:val="00D61B71"/>
    <w:rsid w:val="00D6239A"/>
    <w:rsid w:val="00D62DBA"/>
    <w:rsid w:val="00D62ED1"/>
    <w:rsid w:val="00D633E0"/>
    <w:rsid w:val="00D634B1"/>
    <w:rsid w:val="00D634D1"/>
    <w:rsid w:val="00D63B93"/>
    <w:rsid w:val="00D643FE"/>
    <w:rsid w:val="00D6445F"/>
    <w:rsid w:val="00D645E9"/>
    <w:rsid w:val="00D653E2"/>
    <w:rsid w:val="00D65539"/>
    <w:rsid w:val="00D65777"/>
    <w:rsid w:val="00D6588A"/>
    <w:rsid w:val="00D658D4"/>
    <w:rsid w:val="00D65BDC"/>
    <w:rsid w:val="00D65D75"/>
    <w:rsid w:val="00D665B8"/>
    <w:rsid w:val="00D66C7A"/>
    <w:rsid w:val="00D66CCB"/>
    <w:rsid w:val="00D6703B"/>
    <w:rsid w:val="00D676DF"/>
    <w:rsid w:val="00D679A4"/>
    <w:rsid w:val="00D67ADE"/>
    <w:rsid w:val="00D67FA4"/>
    <w:rsid w:val="00D70261"/>
    <w:rsid w:val="00D70876"/>
    <w:rsid w:val="00D70B29"/>
    <w:rsid w:val="00D70C83"/>
    <w:rsid w:val="00D70E53"/>
    <w:rsid w:val="00D712A1"/>
    <w:rsid w:val="00D715FF"/>
    <w:rsid w:val="00D719A0"/>
    <w:rsid w:val="00D72229"/>
    <w:rsid w:val="00D72245"/>
    <w:rsid w:val="00D72260"/>
    <w:rsid w:val="00D7233B"/>
    <w:rsid w:val="00D72A01"/>
    <w:rsid w:val="00D7308B"/>
    <w:rsid w:val="00D7336F"/>
    <w:rsid w:val="00D73480"/>
    <w:rsid w:val="00D735A9"/>
    <w:rsid w:val="00D747CF"/>
    <w:rsid w:val="00D748D6"/>
    <w:rsid w:val="00D74A7C"/>
    <w:rsid w:val="00D74F45"/>
    <w:rsid w:val="00D74FDF"/>
    <w:rsid w:val="00D75597"/>
    <w:rsid w:val="00D7578B"/>
    <w:rsid w:val="00D75BC9"/>
    <w:rsid w:val="00D75BE9"/>
    <w:rsid w:val="00D760A1"/>
    <w:rsid w:val="00D7623C"/>
    <w:rsid w:val="00D76314"/>
    <w:rsid w:val="00D76496"/>
    <w:rsid w:val="00D765A8"/>
    <w:rsid w:val="00D76611"/>
    <w:rsid w:val="00D76951"/>
    <w:rsid w:val="00D76E94"/>
    <w:rsid w:val="00D7738F"/>
    <w:rsid w:val="00D77702"/>
    <w:rsid w:val="00D77939"/>
    <w:rsid w:val="00D77C69"/>
    <w:rsid w:val="00D77D50"/>
    <w:rsid w:val="00D8018A"/>
    <w:rsid w:val="00D801BD"/>
    <w:rsid w:val="00D803E6"/>
    <w:rsid w:val="00D81114"/>
    <w:rsid w:val="00D81319"/>
    <w:rsid w:val="00D81897"/>
    <w:rsid w:val="00D81907"/>
    <w:rsid w:val="00D81C0C"/>
    <w:rsid w:val="00D81E34"/>
    <w:rsid w:val="00D81F31"/>
    <w:rsid w:val="00D8222E"/>
    <w:rsid w:val="00D82C86"/>
    <w:rsid w:val="00D82D21"/>
    <w:rsid w:val="00D82DBE"/>
    <w:rsid w:val="00D83163"/>
    <w:rsid w:val="00D833C6"/>
    <w:rsid w:val="00D8359C"/>
    <w:rsid w:val="00D838B2"/>
    <w:rsid w:val="00D83F37"/>
    <w:rsid w:val="00D84235"/>
    <w:rsid w:val="00D84CFA"/>
    <w:rsid w:val="00D85363"/>
    <w:rsid w:val="00D85CE3"/>
    <w:rsid w:val="00D85D60"/>
    <w:rsid w:val="00D85E40"/>
    <w:rsid w:val="00D8605A"/>
    <w:rsid w:val="00D866BB"/>
    <w:rsid w:val="00D86DEA"/>
    <w:rsid w:val="00D87CAA"/>
    <w:rsid w:val="00D87EB8"/>
    <w:rsid w:val="00D913EB"/>
    <w:rsid w:val="00D917A9"/>
    <w:rsid w:val="00D91D94"/>
    <w:rsid w:val="00D91EFF"/>
    <w:rsid w:val="00D922AB"/>
    <w:rsid w:val="00D9255E"/>
    <w:rsid w:val="00D9289B"/>
    <w:rsid w:val="00D92BEF"/>
    <w:rsid w:val="00D93065"/>
    <w:rsid w:val="00D9343B"/>
    <w:rsid w:val="00D93B1E"/>
    <w:rsid w:val="00D93C64"/>
    <w:rsid w:val="00D94745"/>
    <w:rsid w:val="00D94749"/>
    <w:rsid w:val="00D94B86"/>
    <w:rsid w:val="00D94D1E"/>
    <w:rsid w:val="00D95449"/>
    <w:rsid w:val="00D95ADB"/>
    <w:rsid w:val="00D95CC4"/>
    <w:rsid w:val="00D962C1"/>
    <w:rsid w:val="00D96418"/>
    <w:rsid w:val="00D964B6"/>
    <w:rsid w:val="00D965FA"/>
    <w:rsid w:val="00D9693D"/>
    <w:rsid w:val="00D96CC0"/>
    <w:rsid w:val="00D96E40"/>
    <w:rsid w:val="00D9729C"/>
    <w:rsid w:val="00D9730F"/>
    <w:rsid w:val="00D97540"/>
    <w:rsid w:val="00D976B5"/>
    <w:rsid w:val="00D97DB9"/>
    <w:rsid w:val="00DA00FD"/>
    <w:rsid w:val="00DA05B3"/>
    <w:rsid w:val="00DA0BF6"/>
    <w:rsid w:val="00DA0D0C"/>
    <w:rsid w:val="00DA0D82"/>
    <w:rsid w:val="00DA0FB2"/>
    <w:rsid w:val="00DA187F"/>
    <w:rsid w:val="00DA1A96"/>
    <w:rsid w:val="00DA1B16"/>
    <w:rsid w:val="00DA1B96"/>
    <w:rsid w:val="00DA1C35"/>
    <w:rsid w:val="00DA23D7"/>
    <w:rsid w:val="00DA26A2"/>
    <w:rsid w:val="00DA2C51"/>
    <w:rsid w:val="00DA2CB1"/>
    <w:rsid w:val="00DA2E64"/>
    <w:rsid w:val="00DA324F"/>
    <w:rsid w:val="00DA3E79"/>
    <w:rsid w:val="00DA3F0E"/>
    <w:rsid w:val="00DA4023"/>
    <w:rsid w:val="00DA4D24"/>
    <w:rsid w:val="00DA5FB1"/>
    <w:rsid w:val="00DA64F4"/>
    <w:rsid w:val="00DA666E"/>
    <w:rsid w:val="00DA7DAC"/>
    <w:rsid w:val="00DB067C"/>
    <w:rsid w:val="00DB0727"/>
    <w:rsid w:val="00DB0AE1"/>
    <w:rsid w:val="00DB0FB8"/>
    <w:rsid w:val="00DB12A2"/>
    <w:rsid w:val="00DB1334"/>
    <w:rsid w:val="00DB1887"/>
    <w:rsid w:val="00DB1AC5"/>
    <w:rsid w:val="00DB2149"/>
    <w:rsid w:val="00DB2FCF"/>
    <w:rsid w:val="00DB2FEC"/>
    <w:rsid w:val="00DB3040"/>
    <w:rsid w:val="00DB320F"/>
    <w:rsid w:val="00DB37B6"/>
    <w:rsid w:val="00DB4181"/>
    <w:rsid w:val="00DB4972"/>
    <w:rsid w:val="00DB54E8"/>
    <w:rsid w:val="00DB59F6"/>
    <w:rsid w:val="00DB5BEC"/>
    <w:rsid w:val="00DB5C4B"/>
    <w:rsid w:val="00DB6ABA"/>
    <w:rsid w:val="00DB6B57"/>
    <w:rsid w:val="00DB7449"/>
    <w:rsid w:val="00DB75D9"/>
    <w:rsid w:val="00DB7B6C"/>
    <w:rsid w:val="00DB7E83"/>
    <w:rsid w:val="00DB7EA4"/>
    <w:rsid w:val="00DC0168"/>
    <w:rsid w:val="00DC03BC"/>
    <w:rsid w:val="00DC0C70"/>
    <w:rsid w:val="00DC0FAC"/>
    <w:rsid w:val="00DC138F"/>
    <w:rsid w:val="00DC15B6"/>
    <w:rsid w:val="00DC16B0"/>
    <w:rsid w:val="00DC24BF"/>
    <w:rsid w:val="00DC25E4"/>
    <w:rsid w:val="00DC28F8"/>
    <w:rsid w:val="00DC2B41"/>
    <w:rsid w:val="00DC2C70"/>
    <w:rsid w:val="00DC2F64"/>
    <w:rsid w:val="00DC32F1"/>
    <w:rsid w:val="00DC333A"/>
    <w:rsid w:val="00DC3F16"/>
    <w:rsid w:val="00DC3F9B"/>
    <w:rsid w:val="00DC3FCB"/>
    <w:rsid w:val="00DC453A"/>
    <w:rsid w:val="00DC4DA8"/>
    <w:rsid w:val="00DC4EA0"/>
    <w:rsid w:val="00DC519B"/>
    <w:rsid w:val="00DC5377"/>
    <w:rsid w:val="00DC5F10"/>
    <w:rsid w:val="00DC60B7"/>
    <w:rsid w:val="00DC60CA"/>
    <w:rsid w:val="00DC62C9"/>
    <w:rsid w:val="00DC6517"/>
    <w:rsid w:val="00DC671C"/>
    <w:rsid w:val="00DC6FA4"/>
    <w:rsid w:val="00DC72B1"/>
    <w:rsid w:val="00DC7322"/>
    <w:rsid w:val="00DC74E9"/>
    <w:rsid w:val="00DC7994"/>
    <w:rsid w:val="00DC7A6D"/>
    <w:rsid w:val="00DC7DC1"/>
    <w:rsid w:val="00DC7F48"/>
    <w:rsid w:val="00DD00DE"/>
    <w:rsid w:val="00DD0684"/>
    <w:rsid w:val="00DD06B4"/>
    <w:rsid w:val="00DD0F51"/>
    <w:rsid w:val="00DD17E7"/>
    <w:rsid w:val="00DD17F1"/>
    <w:rsid w:val="00DD1AEC"/>
    <w:rsid w:val="00DD1D2C"/>
    <w:rsid w:val="00DD1F4B"/>
    <w:rsid w:val="00DD20E1"/>
    <w:rsid w:val="00DD2476"/>
    <w:rsid w:val="00DD294E"/>
    <w:rsid w:val="00DD3448"/>
    <w:rsid w:val="00DD34B2"/>
    <w:rsid w:val="00DD365A"/>
    <w:rsid w:val="00DD369B"/>
    <w:rsid w:val="00DD39D7"/>
    <w:rsid w:val="00DD3A7C"/>
    <w:rsid w:val="00DD3D13"/>
    <w:rsid w:val="00DD4039"/>
    <w:rsid w:val="00DD43F9"/>
    <w:rsid w:val="00DD4967"/>
    <w:rsid w:val="00DD4EB7"/>
    <w:rsid w:val="00DD5737"/>
    <w:rsid w:val="00DD61C1"/>
    <w:rsid w:val="00DD65B2"/>
    <w:rsid w:val="00DD688B"/>
    <w:rsid w:val="00DD6B1A"/>
    <w:rsid w:val="00DE02A1"/>
    <w:rsid w:val="00DE08EE"/>
    <w:rsid w:val="00DE0ED9"/>
    <w:rsid w:val="00DE1368"/>
    <w:rsid w:val="00DE16B6"/>
    <w:rsid w:val="00DE178E"/>
    <w:rsid w:val="00DE1B4A"/>
    <w:rsid w:val="00DE1DB1"/>
    <w:rsid w:val="00DE20B4"/>
    <w:rsid w:val="00DE2180"/>
    <w:rsid w:val="00DE2229"/>
    <w:rsid w:val="00DE2563"/>
    <w:rsid w:val="00DE2AB6"/>
    <w:rsid w:val="00DE33BB"/>
    <w:rsid w:val="00DE34EA"/>
    <w:rsid w:val="00DE3887"/>
    <w:rsid w:val="00DE3D1F"/>
    <w:rsid w:val="00DE463B"/>
    <w:rsid w:val="00DE467A"/>
    <w:rsid w:val="00DE4969"/>
    <w:rsid w:val="00DE4B6E"/>
    <w:rsid w:val="00DE4B7B"/>
    <w:rsid w:val="00DE4F3F"/>
    <w:rsid w:val="00DE5140"/>
    <w:rsid w:val="00DE54A3"/>
    <w:rsid w:val="00DE5DBC"/>
    <w:rsid w:val="00DE6503"/>
    <w:rsid w:val="00DE6663"/>
    <w:rsid w:val="00DE6EAC"/>
    <w:rsid w:val="00DE6F63"/>
    <w:rsid w:val="00DE74CE"/>
    <w:rsid w:val="00DE7870"/>
    <w:rsid w:val="00DE7EE1"/>
    <w:rsid w:val="00DF04D9"/>
    <w:rsid w:val="00DF073C"/>
    <w:rsid w:val="00DF08E2"/>
    <w:rsid w:val="00DF0A56"/>
    <w:rsid w:val="00DF1096"/>
    <w:rsid w:val="00DF140E"/>
    <w:rsid w:val="00DF1622"/>
    <w:rsid w:val="00DF1756"/>
    <w:rsid w:val="00DF1966"/>
    <w:rsid w:val="00DF1AEF"/>
    <w:rsid w:val="00DF1B05"/>
    <w:rsid w:val="00DF1ED2"/>
    <w:rsid w:val="00DF2072"/>
    <w:rsid w:val="00DF21CE"/>
    <w:rsid w:val="00DF2251"/>
    <w:rsid w:val="00DF22B6"/>
    <w:rsid w:val="00DF2325"/>
    <w:rsid w:val="00DF2404"/>
    <w:rsid w:val="00DF2719"/>
    <w:rsid w:val="00DF28A3"/>
    <w:rsid w:val="00DF2938"/>
    <w:rsid w:val="00DF2F59"/>
    <w:rsid w:val="00DF3776"/>
    <w:rsid w:val="00DF3FE4"/>
    <w:rsid w:val="00DF42B7"/>
    <w:rsid w:val="00DF5A0B"/>
    <w:rsid w:val="00DF5BB6"/>
    <w:rsid w:val="00DF62BF"/>
    <w:rsid w:val="00DF646C"/>
    <w:rsid w:val="00DF6631"/>
    <w:rsid w:val="00DF673D"/>
    <w:rsid w:val="00DF691A"/>
    <w:rsid w:val="00DF6A6D"/>
    <w:rsid w:val="00DF6C3B"/>
    <w:rsid w:val="00DF6DBE"/>
    <w:rsid w:val="00DF73CE"/>
    <w:rsid w:val="00DF76D2"/>
    <w:rsid w:val="00DF7BD5"/>
    <w:rsid w:val="00DF7C25"/>
    <w:rsid w:val="00DF7C9A"/>
    <w:rsid w:val="00E00177"/>
    <w:rsid w:val="00E00633"/>
    <w:rsid w:val="00E01824"/>
    <w:rsid w:val="00E0222B"/>
    <w:rsid w:val="00E023E8"/>
    <w:rsid w:val="00E023ED"/>
    <w:rsid w:val="00E02428"/>
    <w:rsid w:val="00E02483"/>
    <w:rsid w:val="00E02767"/>
    <w:rsid w:val="00E027CB"/>
    <w:rsid w:val="00E02A09"/>
    <w:rsid w:val="00E02D1F"/>
    <w:rsid w:val="00E03243"/>
    <w:rsid w:val="00E038AC"/>
    <w:rsid w:val="00E039C8"/>
    <w:rsid w:val="00E03D4A"/>
    <w:rsid w:val="00E03FF5"/>
    <w:rsid w:val="00E043CF"/>
    <w:rsid w:val="00E047D6"/>
    <w:rsid w:val="00E04FB0"/>
    <w:rsid w:val="00E055F5"/>
    <w:rsid w:val="00E059D8"/>
    <w:rsid w:val="00E05D89"/>
    <w:rsid w:val="00E05DAE"/>
    <w:rsid w:val="00E05F81"/>
    <w:rsid w:val="00E06640"/>
    <w:rsid w:val="00E06938"/>
    <w:rsid w:val="00E06BC8"/>
    <w:rsid w:val="00E073C9"/>
    <w:rsid w:val="00E07455"/>
    <w:rsid w:val="00E077E2"/>
    <w:rsid w:val="00E0792E"/>
    <w:rsid w:val="00E07BD9"/>
    <w:rsid w:val="00E10381"/>
    <w:rsid w:val="00E1040A"/>
    <w:rsid w:val="00E10519"/>
    <w:rsid w:val="00E109F2"/>
    <w:rsid w:val="00E10E15"/>
    <w:rsid w:val="00E11022"/>
    <w:rsid w:val="00E11108"/>
    <w:rsid w:val="00E11343"/>
    <w:rsid w:val="00E1144C"/>
    <w:rsid w:val="00E11C49"/>
    <w:rsid w:val="00E11C51"/>
    <w:rsid w:val="00E11CAE"/>
    <w:rsid w:val="00E11F3E"/>
    <w:rsid w:val="00E121A6"/>
    <w:rsid w:val="00E121E9"/>
    <w:rsid w:val="00E12213"/>
    <w:rsid w:val="00E122E7"/>
    <w:rsid w:val="00E1239A"/>
    <w:rsid w:val="00E12586"/>
    <w:rsid w:val="00E12BC7"/>
    <w:rsid w:val="00E12C4E"/>
    <w:rsid w:val="00E12E82"/>
    <w:rsid w:val="00E12FEE"/>
    <w:rsid w:val="00E1348D"/>
    <w:rsid w:val="00E1351B"/>
    <w:rsid w:val="00E13C7E"/>
    <w:rsid w:val="00E13DDF"/>
    <w:rsid w:val="00E141F9"/>
    <w:rsid w:val="00E142DB"/>
    <w:rsid w:val="00E14933"/>
    <w:rsid w:val="00E14AF3"/>
    <w:rsid w:val="00E14B7A"/>
    <w:rsid w:val="00E14DC6"/>
    <w:rsid w:val="00E15AA5"/>
    <w:rsid w:val="00E15D1E"/>
    <w:rsid w:val="00E15FFD"/>
    <w:rsid w:val="00E161AF"/>
    <w:rsid w:val="00E165C2"/>
    <w:rsid w:val="00E169A5"/>
    <w:rsid w:val="00E16AC7"/>
    <w:rsid w:val="00E16AD3"/>
    <w:rsid w:val="00E17122"/>
    <w:rsid w:val="00E17657"/>
    <w:rsid w:val="00E17C36"/>
    <w:rsid w:val="00E20186"/>
    <w:rsid w:val="00E207BC"/>
    <w:rsid w:val="00E20DE7"/>
    <w:rsid w:val="00E2135B"/>
    <w:rsid w:val="00E21535"/>
    <w:rsid w:val="00E21946"/>
    <w:rsid w:val="00E2289C"/>
    <w:rsid w:val="00E23808"/>
    <w:rsid w:val="00E23910"/>
    <w:rsid w:val="00E23ADD"/>
    <w:rsid w:val="00E23B2B"/>
    <w:rsid w:val="00E23ED8"/>
    <w:rsid w:val="00E2437A"/>
    <w:rsid w:val="00E24381"/>
    <w:rsid w:val="00E24581"/>
    <w:rsid w:val="00E24682"/>
    <w:rsid w:val="00E246BB"/>
    <w:rsid w:val="00E24818"/>
    <w:rsid w:val="00E24F8D"/>
    <w:rsid w:val="00E2570D"/>
    <w:rsid w:val="00E261F1"/>
    <w:rsid w:val="00E2622A"/>
    <w:rsid w:val="00E26476"/>
    <w:rsid w:val="00E26802"/>
    <w:rsid w:val="00E26C47"/>
    <w:rsid w:val="00E27988"/>
    <w:rsid w:val="00E279FC"/>
    <w:rsid w:val="00E27B93"/>
    <w:rsid w:val="00E27EEC"/>
    <w:rsid w:val="00E30518"/>
    <w:rsid w:val="00E305B5"/>
    <w:rsid w:val="00E306AE"/>
    <w:rsid w:val="00E31330"/>
    <w:rsid w:val="00E3188E"/>
    <w:rsid w:val="00E31CA0"/>
    <w:rsid w:val="00E31CCB"/>
    <w:rsid w:val="00E31F66"/>
    <w:rsid w:val="00E32271"/>
    <w:rsid w:val="00E3227E"/>
    <w:rsid w:val="00E32C73"/>
    <w:rsid w:val="00E32D02"/>
    <w:rsid w:val="00E33104"/>
    <w:rsid w:val="00E3311F"/>
    <w:rsid w:val="00E337C3"/>
    <w:rsid w:val="00E337E3"/>
    <w:rsid w:val="00E33C04"/>
    <w:rsid w:val="00E33FD1"/>
    <w:rsid w:val="00E3440D"/>
    <w:rsid w:val="00E34D6C"/>
    <w:rsid w:val="00E34F59"/>
    <w:rsid w:val="00E34FEC"/>
    <w:rsid w:val="00E350D2"/>
    <w:rsid w:val="00E35679"/>
    <w:rsid w:val="00E35D4E"/>
    <w:rsid w:val="00E35DA5"/>
    <w:rsid w:val="00E35E49"/>
    <w:rsid w:val="00E3610F"/>
    <w:rsid w:val="00E36437"/>
    <w:rsid w:val="00E37178"/>
    <w:rsid w:val="00E37785"/>
    <w:rsid w:val="00E40312"/>
    <w:rsid w:val="00E405B2"/>
    <w:rsid w:val="00E406AD"/>
    <w:rsid w:val="00E4074D"/>
    <w:rsid w:val="00E40813"/>
    <w:rsid w:val="00E40BF4"/>
    <w:rsid w:val="00E40D55"/>
    <w:rsid w:val="00E41005"/>
    <w:rsid w:val="00E4133D"/>
    <w:rsid w:val="00E4147C"/>
    <w:rsid w:val="00E41898"/>
    <w:rsid w:val="00E41B41"/>
    <w:rsid w:val="00E41D4D"/>
    <w:rsid w:val="00E41E8E"/>
    <w:rsid w:val="00E42134"/>
    <w:rsid w:val="00E427CC"/>
    <w:rsid w:val="00E43EE3"/>
    <w:rsid w:val="00E44311"/>
    <w:rsid w:val="00E445CE"/>
    <w:rsid w:val="00E447F8"/>
    <w:rsid w:val="00E44991"/>
    <w:rsid w:val="00E44D33"/>
    <w:rsid w:val="00E45039"/>
    <w:rsid w:val="00E4533D"/>
    <w:rsid w:val="00E45431"/>
    <w:rsid w:val="00E45ABD"/>
    <w:rsid w:val="00E45B93"/>
    <w:rsid w:val="00E46B98"/>
    <w:rsid w:val="00E46B9F"/>
    <w:rsid w:val="00E46FB2"/>
    <w:rsid w:val="00E4706D"/>
    <w:rsid w:val="00E4712F"/>
    <w:rsid w:val="00E47170"/>
    <w:rsid w:val="00E47295"/>
    <w:rsid w:val="00E478F0"/>
    <w:rsid w:val="00E47DF0"/>
    <w:rsid w:val="00E47E26"/>
    <w:rsid w:val="00E50037"/>
    <w:rsid w:val="00E508D2"/>
    <w:rsid w:val="00E5093F"/>
    <w:rsid w:val="00E509E2"/>
    <w:rsid w:val="00E50EA8"/>
    <w:rsid w:val="00E50F59"/>
    <w:rsid w:val="00E516BC"/>
    <w:rsid w:val="00E518B4"/>
    <w:rsid w:val="00E51C1E"/>
    <w:rsid w:val="00E52D30"/>
    <w:rsid w:val="00E52F09"/>
    <w:rsid w:val="00E53465"/>
    <w:rsid w:val="00E5347A"/>
    <w:rsid w:val="00E53604"/>
    <w:rsid w:val="00E53D51"/>
    <w:rsid w:val="00E53EEA"/>
    <w:rsid w:val="00E53F7F"/>
    <w:rsid w:val="00E53FC7"/>
    <w:rsid w:val="00E541A5"/>
    <w:rsid w:val="00E5445A"/>
    <w:rsid w:val="00E546DD"/>
    <w:rsid w:val="00E547A6"/>
    <w:rsid w:val="00E548B4"/>
    <w:rsid w:val="00E55204"/>
    <w:rsid w:val="00E55212"/>
    <w:rsid w:val="00E55C42"/>
    <w:rsid w:val="00E565E6"/>
    <w:rsid w:val="00E5670B"/>
    <w:rsid w:val="00E56F28"/>
    <w:rsid w:val="00E56F45"/>
    <w:rsid w:val="00E57010"/>
    <w:rsid w:val="00E57D6B"/>
    <w:rsid w:val="00E60240"/>
    <w:rsid w:val="00E60829"/>
    <w:rsid w:val="00E6122B"/>
    <w:rsid w:val="00E61427"/>
    <w:rsid w:val="00E61460"/>
    <w:rsid w:val="00E61C42"/>
    <w:rsid w:val="00E62119"/>
    <w:rsid w:val="00E6236A"/>
    <w:rsid w:val="00E62969"/>
    <w:rsid w:val="00E62DA7"/>
    <w:rsid w:val="00E62FC6"/>
    <w:rsid w:val="00E631D4"/>
    <w:rsid w:val="00E632D4"/>
    <w:rsid w:val="00E6330D"/>
    <w:rsid w:val="00E63477"/>
    <w:rsid w:val="00E63713"/>
    <w:rsid w:val="00E6395A"/>
    <w:rsid w:val="00E63E76"/>
    <w:rsid w:val="00E646A5"/>
    <w:rsid w:val="00E64818"/>
    <w:rsid w:val="00E64A05"/>
    <w:rsid w:val="00E64E1C"/>
    <w:rsid w:val="00E64FEE"/>
    <w:rsid w:val="00E651FD"/>
    <w:rsid w:val="00E656AE"/>
    <w:rsid w:val="00E65D74"/>
    <w:rsid w:val="00E66293"/>
    <w:rsid w:val="00E66305"/>
    <w:rsid w:val="00E66A99"/>
    <w:rsid w:val="00E67A2C"/>
    <w:rsid w:val="00E7042B"/>
    <w:rsid w:val="00E7093B"/>
    <w:rsid w:val="00E710AC"/>
    <w:rsid w:val="00E71134"/>
    <w:rsid w:val="00E71358"/>
    <w:rsid w:val="00E71448"/>
    <w:rsid w:val="00E7154D"/>
    <w:rsid w:val="00E715DB"/>
    <w:rsid w:val="00E719E8"/>
    <w:rsid w:val="00E71A80"/>
    <w:rsid w:val="00E71C3B"/>
    <w:rsid w:val="00E71E84"/>
    <w:rsid w:val="00E722B5"/>
    <w:rsid w:val="00E722F0"/>
    <w:rsid w:val="00E726B7"/>
    <w:rsid w:val="00E72A91"/>
    <w:rsid w:val="00E72F90"/>
    <w:rsid w:val="00E7324A"/>
    <w:rsid w:val="00E7334E"/>
    <w:rsid w:val="00E7373C"/>
    <w:rsid w:val="00E73A24"/>
    <w:rsid w:val="00E73CB2"/>
    <w:rsid w:val="00E74DFC"/>
    <w:rsid w:val="00E74F8F"/>
    <w:rsid w:val="00E752C1"/>
    <w:rsid w:val="00E752DC"/>
    <w:rsid w:val="00E753CE"/>
    <w:rsid w:val="00E7570D"/>
    <w:rsid w:val="00E757D8"/>
    <w:rsid w:val="00E758ED"/>
    <w:rsid w:val="00E75ADE"/>
    <w:rsid w:val="00E775ED"/>
    <w:rsid w:val="00E77997"/>
    <w:rsid w:val="00E77B3B"/>
    <w:rsid w:val="00E77C32"/>
    <w:rsid w:val="00E77CEF"/>
    <w:rsid w:val="00E800F2"/>
    <w:rsid w:val="00E80A8A"/>
    <w:rsid w:val="00E80AEA"/>
    <w:rsid w:val="00E80C96"/>
    <w:rsid w:val="00E80DCE"/>
    <w:rsid w:val="00E80DEF"/>
    <w:rsid w:val="00E81031"/>
    <w:rsid w:val="00E81D0D"/>
    <w:rsid w:val="00E8214C"/>
    <w:rsid w:val="00E825AE"/>
    <w:rsid w:val="00E82761"/>
    <w:rsid w:val="00E82DE1"/>
    <w:rsid w:val="00E83A89"/>
    <w:rsid w:val="00E83E65"/>
    <w:rsid w:val="00E844D1"/>
    <w:rsid w:val="00E845F2"/>
    <w:rsid w:val="00E84C9C"/>
    <w:rsid w:val="00E8509E"/>
    <w:rsid w:val="00E85275"/>
    <w:rsid w:val="00E8529B"/>
    <w:rsid w:val="00E85746"/>
    <w:rsid w:val="00E858EC"/>
    <w:rsid w:val="00E85949"/>
    <w:rsid w:val="00E85C08"/>
    <w:rsid w:val="00E85EF9"/>
    <w:rsid w:val="00E8619B"/>
    <w:rsid w:val="00E86204"/>
    <w:rsid w:val="00E86544"/>
    <w:rsid w:val="00E8667A"/>
    <w:rsid w:val="00E866A8"/>
    <w:rsid w:val="00E866BE"/>
    <w:rsid w:val="00E8673D"/>
    <w:rsid w:val="00E867E8"/>
    <w:rsid w:val="00E868DE"/>
    <w:rsid w:val="00E86AB3"/>
    <w:rsid w:val="00E86BB0"/>
    <w:rsid w:val="00E86C0A"/>
    <w:rsid w:val="00E86C9A"/>
    <w:rsid w:val="00E8716D"/>
    <w:rsid w:val="00E8775C"/>
    <w:rsid w:val="00E87965"/>
    <w:rsid w:val="00E87C23"/>
    <w:rsid w:val="00E87C8C"/>
    <w:rsid w:val="00E87D3B"/>
    <w:rsid w:val="00E90145"/>
    <w:rsid w:val="00E9038B"/>
    <w:rsid w:val="00E9102A"/>
    <w:rsid w:val="00E91230"/>
    <w:rsid w:val="00E917B1"/>
    <w:rsid w:val="00E91A83"/>
    <w:rsid w:val="00E91AA6"/>
    <w:rsid w:val="00E91ECF"/>
    <w:rsid w:val="00E91F52"/>
    <w:rsid w:val="00E92299"/>
    <w:rsid w:val="00E9282E"/>
    <w:rsid w:val="00E92AE4"/>
    <w:rsid w:val="00E92BA6"/>
    <w:rsid w:val="00E92BEB"/>
    <w:rsid w:val="00E92EA2"/>
    <w:rsid w:val="00E9383C"/>
    <w:rsid w:val="00E93FD7"/>
    <w:rsid w:val="00E9402E"/>
    <w:rsid w:val="00E9460C"/>
    <w:rsid w:val="00E94E3F"/>
    <w:rsid w:val="00E94FBF"/>
    <w:rsid w:val="00E95009"/>
    <w:rsid w:val="00E952B5"/>
    <w:rsid w:val="00E953C2"/>
    <w:rsid w:val="00E9557E"/>
    <w:rsid w:val="00E95BD2"/>
    <w:rsid w:val="00E95DC2"/>
    <w:rsid w:val="00E962DC"/>
    <w:rsid w:val="00E963FD"/>
    <w:rsid w:val="00E96C26"/>
    <w:rsid w:val="00E96C45"/>
    <w:rsid w:val="00E96D49"/>
    <w:rsid w:val="00E96E29"/>
    <w:rsid w:val="00E96F56"/>
    <w:rsid w:val="00E978EC"/>
    <w:rsid w:val="00E97971"/>
    <w:rsid w:val="00E97A08"/>
    <w:rsid w:val="00E97B8B"/>
    <w:rsid w:val="00E97CC8"/>
    <w:rsid w:val="00EA0145"/>
    <w:rsid w:val="00EA02F1"/>
    <w:rsid w:val="00EA0B7B"/>
    <w:rsid w:val="00EA0C7D"/>
    <w:rsid w:val="00EA0DB7"/>
    <w:rsid w:val="00EA0EB0"/>
    <w:rsid w:val="00EA125F"/>
    <w:rsid w:val="00EA1569"/>
    <w:rsid w:val="00EA1755"/>
    <w:rsid w:val="00EA186E"/>
    <w:rsid w:val="00EA18A4"/>
    <w:rsid w:val="00EA19A4"/>
    <w:rsid w:val="00EA19AF"/>
    <w:rsid w:val="00EA21B5"/>
    <w:rsid w:val="00EA310B"/>
    <w:rsid w:val="00EA34C4"/>
    <w:rsid w:val="00EA37AB"/>
    <w:rsid w:val="00EA3F2F"/>
    <w:rsid w:val="00EA3F9A"/>
    <w:rsid w:val="00EA4035"/>
    <w:rsid w:val="00EA4519"/>
    <w:rsid w:val="00EA45F9"/>
    <w:rsid w:val="00EA4771"/>
    <w:rsid w:val="00EA4BF2"/>
    <w:rsid w:val="00EA4C2F"/>
    <w:rsid w:val="00EA4DC6"/>
    <w:rsid w:val="00EA5637"/>
    <w:rsid w:val="00EA5D4E"/>
    <w:rsid w:val="00EA5E80"/>
    <w:rsid w:val="00EA5FF3"/>
    <w:rsid w:val="00EA6843"/>
    <w:rsid w:val="00EA6A47"/>
    <w:rsid w:val="00EA6FC9"/>
    <w:rsid w:val="00EA7407"/>
    <w:rsid w:val="00EA7512"/>
    <w:rsid w:val="00EA7C69"/>
    <w:rsid w:val="00EA7E5E"/>
    <w:rsid w:val="00EB030D"/>
    <w:rsid w:val="00EB06DA"/>
    <w:rsid w:val="00EB0E5B"/>
    <w:rsid w:val="00EB0F9D"/>
    <w:rsid w:val="00EB20E7"/>
    <w:rsid w:val="00EB23EE"/>
    <w:rsid w:val="00EB2663"/>
    <w:rsid w:val="00EB2A5D"/>
    <w:rsid w:val="00EB307D"/>
    <w:rsid w:val="00EB31E9"/>
    <w:rsid w:val="00EB33F9"/>
    <w:rsid w:val="00EB3401"/>
    <w:rsid w:val="00EB36BE"/>
    <w:rsid w:val="00EB41D6"/>
    <w:rsid w:val="00EB4C0D"/>
    <w:rsid w:val="00EB519E"/>
    <w:rsid w:val="00EB58DB"/>
    <w:rsid w:val="00EB6462"/>
    <w:rsid w:val="00EB6470"/>
    <w:rsid w:val="00EB65A4"/>
    <w:rsid w:val="00EB6630"/>
    <w:rsid w:val="00EB66E0"/>
    <w:rsid w:val="00EB6717"/>
    <w:rsid w:val="00EB68D7"/>
    <w:rsid w:val="00EB6D17"/>
    <w:rsid w:val="00EB6D20"/>
    <w:rsid w:val="00EB6D92"/>
    <w:rsid w:val="00EB6EA9"/>
    <w:rsid w:val="00EB7537"/>
    <w:rsid w:val="00EB77D2"/>
    <w:rsid w:val="00EB7957"/>
    <w:rsid w:val="00EB7B35"/>
    <w:rsid w:val="00EB7D54"/>
    <w:rsid w:val="00EC0649"/>
    <w:rsid w:val="00EC0793"/>
    <w:rsid w:val="00EC0A58"/>
    <w:rsid w:val="00EC193D"/>
    <w:rsid w:val="00EC1BA8"/>
    <w:rsid w:val="00EC1BDA"/>
    <w:rsid w:val="00EC1D8F"/>
    <w:rsid w:val="00EC1E7E"/>
    <w:rsid w:val="00EC1E98"/>
    <w:rsid w:val="00EC1EC0"/>
    <w:rsid w:val="00EC21ED"/>
    <w:rsid w:val="00EC23CF"/>
    <w:rsid w:val="00EC276A"/>
    <w:rsid w:val="00EC2945"/>
    <w:rsid w:val="00EC2947"/>
    <w:rsid w:val="00EC2BF2"/>
    <w:rsid w:val="00EC2F21"/>
    <w:rsid w:val="00EC311E"/>
    <w:rsid w:val="00EC414B"/>
    <w:rsid w:val="00EC4324"/>
    <w:rsid w:val="00EC43FD"/>
    <w:rsid w:val="00EC4618"/>
    <w:rsid w:val="00EC46B3"/>
    <w:rsid w:val="00EC4888"/>
    <w:rsid w:val="00EC4A12"/>
    <w:rsid w:val="00EC5281"/>
    <w:rsid w:val="00EC5BE7"/>
    <w:rsid w:val="00EC5C46"/>
    <w:rsid w:val="00EC5DBF"/>
    <w:rsid w:val="00EC6815"/>
    <w:rsid w:val="00EC6B06"/>
    <w:rsid w:val="00EC6B41"/>
    <w:rsid w:val="00EC6FE3"/>
    <w:rsid w:val="00EC71A9"/>
    <w:rsid w:val="00EC7244"/>
    <w:rsid w:val="00EC7276"/>
    <w:rsid w:val="00EC7764"/>
    <w:rsid w:val="00ED00E8"/>
    <w:rsid w:val="00ED0664"/>
    <w:rsid w:val="00ED0DC5"/>
    <w:rsid w:val="00ED0F3A"/>
    <w:rsid w:val="00ED10F9"/>
    <w:rsid w:val="00ED24C7"/>
    <w:rsid w:val="00ED26B0"/>
    <w:rsid w:val="00ED28E8"/>
    <w:rsid w:val="00ED2A20"/>
    <w:rsid w:val="00ED2B86"/>
    <w:rsid w:val="00ED3228"/>
    <w:rsid w:val="00ED34A6"/>
    <w:rsid w:val="00ED4699"/>
    <w:rsid w:val="00ED48B4"/>
    <w:rsid w:val="00ED52E0"/>
    <w:rsid w:val="00ED5972"/>
    <w:rsid w:val="00ED6753"/>
    <w:rsid w:val="00ED69BC"/>
    <w:rsid w:val="00ED6D02"/>
    <w:rsid w:val="00ED7130"/>
    <w:rsid w:val="00ED7638"/>
    <w:rsid w:val="00ED76E0"/>
    <w:rsid w:val="00ED78F8"/>
    <w:rsid w:val="00ED7FE3"/>
    <w:rsid w:val="00EE020A"/>
    <w:rsid w:val="00EE04E5"/>
    <w:rsid w:val="00EE0622"/>
    <w:rsid w:val="00EE0CD6"/>
    <w:rsid w:val="00EE1084"/>
    <w:rsid w:val="00EE16E8"/>
    <w:rsid w:val="00EE19F0"/>
    <w:rsid w:val="00EE205B"/>
    <w:rsid w:val="00EE2236"/>
    <w:rsid w:val="00EE26A0"/>
    <w:rsid w:val="00EE2C5F"/>
    <w:rsid w:val="00EE3068"/>
    <w:rsid w:val="00EE3A59"/>
    <w:rsid w:val="00EE3BAE"/>
    <w:rsid w:val="00EE47CB"/>
    <w:rsid w:val="00EE4842"/>
    <w:rsid w:val="00EE4879"/>
    <w:rsid w:val="00EE4D4A"/>
    <w:rsid w:val="00EE4D6F"/>
    <w:rsid w:val="00EE5995"/>
    <w:rsid w:val="00EE5C8D"/>
    <w:rsid w:val="00EE61F3"/>
    <w:rsid w:val="00EE671F"/>
    <w:rsid w:val="00EE67C9"/>
    <w:rsid w:val="00EE6A11"/>
    <w:rsid w:val="00EE6ACC"/>
    <w:rsid w:val="00EE6D2F"/>
    <w:rsid w:val="00EE6DAC"/>
    <w:rsid w:val="00EE7C4A"/>
    <w:rsid w:val="00EF09D9"/>
    <w:rsid w:val="00EF16CC"/>
    <w:rsid w:val="00EF1D96"/>
    <w:rsid w:val="00EF1F91"/>
    <w:rsid w:val="00EF24D0"/>
    <w:rsid w:val="00EF2519"/>
    <w:rsid w:val="00EF2BE3"/>
    <w:rsid w:val="00EF314D"/>
    <w:rsid w:val="00EF35D7"/>
    <w:rsid w:val="00EF3B28"/>
    <w:rsid w:val="00EF40AA"/>
    <w:rsid w:val="00EF4193"/>
    <w:rsid w:val="00EF41D2"/>
    <w:rsid w:val="00EF4733"/>
    <w:rsid w:val="00EF4A8C"/>
    <w:rsid w:val="00EF4DEC"/>
    <w:rsid w:val="00EF590C"/>
    <w:rsid w:val="00EF63EC"/>
    <w:rsid w:val="00EF644F"/>
    <w:rsid w:val="00EF669E"/>
    <w:rsid w:val="00EF7B50"/>
    <w:rsid w:val="00F0003B"/>
    <w:rsid w:val="00F004D7"/>
    <w:rsid w:val="00F00743"/>
    <w:rsid w:val="00F007A2"/>
    <w:rsid w:val="00F008C3"/>
    <w:rsid w:val="00F00B1B"/>
    <w:rsid w:val="00F00F4D"/>
    <w:rsid w:val="00F012B0"/>
    <w:rsid w:val="00F01878"/>
    <w:rsid w:val="00F018BF"/>
    <w:rsid w:val="00F018EE"/>
    <w:rsid w:val="00F0190B"/>
    <w:rsid w:val="00F01AF7"/>
    <w:rsid w:val="00F01DD6"/>
    <w:rsid w:val="00F01E93"/>
    <w:rsid w:val="00F021FD"/>
    <w:rsid w:val="00F02463"/>
    <w:rsid w:val="00F024DE"/>
    <w:rsid w:val="00F0276E"/>
    <w:rsid w:val="00F03536"/>
    <w:rsid w:val="00F03A02"/>
    <w:rsid w:val="00F03C77"/>
    <w:rsid w:val="00F04029"/>
    <w:rsid w:val="00F0462D"/>
    <w:rsid w:val="00F047CA"/>
    <w:rsid w:val="00F04EE5"/>
    <w:rsid w:val="00F05A16"/>
    <w:rsid w:val="00F05BED"/>
    <w:rsid w:val="00F05D79"/>
    <w:rsid w:val="00F05E10"/>
    <w:rsid w:val="00F060D1"/>
    <w:rsid w:val="00F0627A"/>
    <w:rsid w:val="00F06C33"/>
    <w:rsid w:val="00F06C6B"/>
    <w:rsid w:val="00F06F88"/>
    <w:rsid w:val="00F0702E"/>
    <w:rsid w:val="00F07717"/>
    <w:rsid w:val="00F07825"/>
    <w:rsid w:val="00F078DE"/>
    <w:rsid w:val="00F07DE4"/>
    <w:rsid w:val="00F10143"/>
    <w:rsid w:val="00F1031A"/>
    <w:rsid w:val="00F1048D"/>
    <w:rsid w:val="00F10DD1"/>
    <w:rsid w:val="00F11948"/>
    <w:rsid w:val="00F11DA8"/>
    <w:rsid w:val="00F12321"/>
    <w:rsid w:val="00F1239C"/>
    <w:rsid w:val="00F12521"/>
    <w:rsid w:val="00F127EE"/>
    <w:rsid w:val="00F12979"/>
    <w:rsid w:val="00F13087"/>
    <w:rsid w:val="00F13220"/>
    <w:rsid w:val="00F133A0"/>
    <w:rsid w:val="00F140D4"/>
    <w:rsid w:val="00F14E1F"/>
    <w:rsid w:val="00F152E1"/>
    <w:rsid w:val="00F158C5"/>
    <w:rsid w:val="00F15986"/>
    <w:rsid w:val="00F15C3F"/>
    <w:rsid w:val="00F15D82"/>
    <w:rsid w:val="00F15EFA"/>
    <w:rsid w:val="00F165A7"/>
    <w:rsid w:val="00F16691"/>
    <w:rsid w:val="00F166B4"/>
    <w:rsid w:val="00F17FF2"/>
    <w:rsid w:val="00F20320"/>
    <w:rsid w:val="00F20A89"/>
    <w:rsid w:val="00F20B67"/>
    <w:rsid w:val="00F20C1E"/>
    <w:rsid w:val="00F20C78"/>
    <w:rsid w:val="00F20CBD"/>
    <w:rsid w:val="00F20D70"/>
    <w:rsid w:val="00F2124C"/>
    <w:rsid w:val="00F2139E"/>
    <w:rsid w:val="00F21400"/>
    <w:rsid w:val="00F217A5"/>
    <w:rsid w:val="00F21B67"/>
    <w:rsid w:val="00F2231D"/>
    <w:rsid w:val="00F22350"/>
    <w:rsid w:val="00F22660"/>
    <w:rsid w:val="00F2266C"/>
    <w:rsid w:val="00F22725"/>
    <w:rsid w:val="00F2282B"/>
    <w:rsid w:val="00F229D3"/>
    <w:rsid w:val="00F22D2F"/>
    <w:rsid w:val="00F22D4A"/>
    <w:rsid w:val="00F23191"/>
    <w:rsid w:val="00F231A8"/>
    <w:rsid w:val="00F237A1"/>
    <w:rsid w:val="00F23BD4"/>
    <w:rsid w:val="00F244E7"/>
    <w:rsid w:val="00F24577"/>
    <w:rsid w:val="00F245CB"/>
    <w:rsid w:val="00F245CE"/>
    <w:rsid w:val="00F24658"/>
    <w:rsid w:val="00F24D0E"/>
    <w:rsid w:val="00F24DF3"/>
    <w:rsid w:val="00F2510D"/>
    <w:rsid w:val="00F2547F"/>
    <w:rsid w:val="00F25600"/>
    <w:rsid w:val="00F25D23"/>
    <w:rsid w:val="00F25D53"/>
    <w:rsid w:val="00F25F3B"/>
    <w:rsid w:val="00F25F3F"/>
    <w:rsid w:val="00F26183"/>
    <w:rsid w:val="00F2619D"/>
    <w:rsid w:val="00F26B80"/>
    <w:rsid w:val="00F26E5F"/>
    <w:rsid w:val="00F26F76"/>
    <w:rsid w:val="00F26FE2"/>
    <w:rsid w:val="00F2704C"/>
    <w:rsid w:val="00F272DF"/>
    <w:rsid w:val="00F2741C"/>
    <w:rsid w:val="00F2769B"/>
    <w:rsid w:val="00F27B20"/>
    <w:rsid w:val="00F27C8D"/>
    <w:rsid w:val="00F27D6F"/>
    <w:rsid w:val="00F27E3F"/>
    <w:rsid w:val="00F300E9"/>
    <w:rsid w:val="00F30336"/>
    <w:rsid w:val="00F30341"/>
    <w:rsid w:val="00F30775"/>
    <w:rsid w:val="00F31376"/>
    <w:rsid w:val="00F314CB"/>
    <w:rsid w:val="00F3159C"/>
    <w:rsid w:val="00F317C4"/>
    <w:rsid w:val="00F3194B"/>
    <w:rsid w:val="00F3257B"/>
    <w:rsid w:val="00F33073"/>
    <w:rsid w:val="00F33550"/>
    <w:rsid w:val="00F33FEA"/>
    <w:rsid w:val="00F34081"/>
    <w:rsid w:val="00F34434"/>
    <w:rsid w:val="00F34A0B"/>
    <w:rsid w:val="00F351EA"/>
    <w:rsid w:val="00F358EE"/>
    <w:rsid w:val="00F3591E"/>
    <w:rsid w:val="00F35C59"/>
    <w:rsid w:val="00F35D5E"/>
    <w:rsid w:val="00F35E90"/>
    <w:rsid w:val="00F362D4"/>
    <w:rsid w:val="00F3726C"/>
    <w:rsid w:val="00F37610"/>
    <w:rsid w:val="00F376B7"/>
    <w:rsid w:val="00F37709"/>
    <w:rsid w:val="00F3785A"/>
    <w:rsid w:val="00F378A7"/>
    <w:rsid w:val="00F37A85"/>
    <w:rsid w:val="00F403E9"/>
    <w:rsid w:val="00F404DE"/>
    <w:rsid w:val="00F409DA"/>
    <w:rsid w:val="00F40BCC"/>
    <w:rsid w:val="00F41E1C"/>
    <w:rsid w:val="00F42313"/>
    <w:rsid w:val="00F424EA"/>
    <w:rsid w:val="00F4253E"/>
    <w:rsid w:val="00F426E6"/>
    <w:rsid w:val="00F427D3"/>
    <w:rsid w:val="00F43301"/>
    <w:rsid w:val="00F4421B"/>
    <w:rsid w:val="00F448A0"/>
    <w:rsid w:val="00F44902"/>
    <w:rsid w:val="00F459FC"/>
    <w:rsid w:val="00F465BD"/>
    <w:rsid w:val="00F46668"/>
    <w:rsid w:val="00F46B36"/>
    <w:rsid w:val="00F46DE9"/>
    <w:rsid w:val="00F46F51"/>
    <w:rsid w:val="00F46F56"/>
    <w:rsid w:val="00F477E2"/>
    <w:rsid w:val="00F47940"/>
    <w:rsid w:val="00F507F6"/>
    <w:rsid w:val="00F5090E"/>
    <w:rsid w:val="00F50E4F"/>
    <w:rsid w:val="00F50EF0"/>
    <w:rsid w:val="00F51397"/>
    <w:rsid w:val="00F515B2"/>
    <w:rsid w:val="00F51607"/>
    <w:rsid w:val="00F5184F"/>
    <w:rsid w:val="00F5188B"/>
    <w:rsid w:val="00F519C9"/>
    <w:rsid w:val="00F52387"/>
    <w:rsid w:val="00F526C9"/>
    <w:rsid w:val="00F52711"/>
    <w:rsid w:val="00F52929"/>
    <w:rsid w:val="00F52E4A"/>
    <w:rsid w:val="00F52E77"/>
    <w:rsid w:val="00F52FE9"/>
    <w:rsid w:val="00F5310A"/>
    <w:rsid w:val="00F5366A"/>
    <w:rsid w:val="00F53921"/>
    <w:rsid w:val="00F547B1"/>
    <w:rsid w:val="00F54899"/>
    <w:rsid w:val="00F55313"/>
    <w:rsid w:val="00F55805"/>
    <w:rsid w:val="00F55DC8"/>
    <w:rsid w:val="00F56308"/>
    <w:rsid w:val="00F56321"/>
    <w:rsid w:val="00F56377"/>
    <w:rsid w:val="00F5663A"/>
    <w:rsid w:val="00F56F63"/>
    <w:rsid w:val="00F57607"/>
    <w:rsid w:val="00F576F5"/>
    <w:rsid w:val="00F5780B"/>
    <w:rsid w:val="00F579E9"/>
    <w:rsid w:val="00F57E86"/>
    <w:rsid w:val="00F60295"/>
    <w:rsid w:val="00F607DE"/>
    <w:rsid w:val="00F60891"/>
    <w:rsid w:val="00F60D28"/>
    <w:rsid w:val="00F60D6D"/>
    <w:rsid w:val="00F615A4"/>
    <w:rsid w:val="00F61976"/>
    <w:rsid w:val="00F626AC"/>
    <w:rsid w:val="00F6289A"/>
    <w:rsid w:val="00F6355A"/>
    <w:rsid w:val="00F635F1"/>
    <w:rsid w:val="00F63E93"/>
    <w:rsid w:val="00F64502"/>
    <w:rsid w:val="00F64675"/>
    <w:rsid w:val="00F646B7"/>
    <w:rsid w:val="00F64AA4"/>
    <w:rsid w:val="00F64C81"/>
    <w:rsid w:val="00F6506A"/>
    <w:rsid w:val="00F656CF"/>
    <w:rsid w:val="00F65760"/>
    <w:rsid w:val="00F65D25"/>
    <w:rsid w:val="00F65E98"/>
    <w:rsid w:val="00F6607B"/>
    <w:rsid w:val="00F6634F"/>
    <w:rsid w:val="00F663E4"/>
    <w:rsid w:val="00F6704C"/>
    <w:rsid w:val="00F6706E"/>
    <w:rsid w:val="00F67503"/>
    <w:rsid w:val="00F675C3"/>
    <w:rsid w:val="00F67976"/>
    <w:rsid w:val="00F67CE3"/>
    <w:rsid w:val="00F67E7C"/>
    <w:rsid w:val="00F70662"/>
    <w:rsid w:val="00F70989"/>
    <w:rsid w:val="00F70D15"/>
    <w:rsid w:val="00F70DB1"/>
    <w:rsid w:val="00F70F3E"/>
    <w:rsid w:val="00F710B3"/>
    <w:rsid w:val="00F7128B"/>
    <w:rsid w:val="00F712E0"/>
    <w:rsid w:val="00F71A1B"/>
    <w:rsid w:val="00F71AEA"/>
    <w:rsid w:val="00F71B39"/>
    <w:rsid w:val="00F71EC6"/>
    <w:rsid w:val="00F72129"/>
    <w:rsid w:val="00F721CC"/>
    <w:rsid w:val="00F726E3"/>
    <w:rsid w:val="00F72804"/>
    <w:rsid w:val="00F72805"/>
    <w:rsid w:val="00F72A33"/>
    <w:rsid w:val="00F72E16"/>
    <w:rsid w:val="00F72F0E"/>
    <w:rsid w:val="00F737D1"/>
    <w:rsid w:val="00F73894"/>
    <w:rsid w:val="00F73948"/>
    <w:rsid w:val="00F73A66"/>
    <w:rsid w:val="00F747B2"/>
    <w:rsid w:val="00F7509A"/>
    <w:rsid w:val="00F75393"/>
    <w:rsid w:val="00F753EE"/>
    <w:rsid w:val="00F754B6"/>
    <w:rsid w:val="00F75584"/>
    <w:rsid w:val="00F75B35"/>
    <w:rsid w:val="00F76150"/>
    <w:rsid w:val="00F7618A"/>
    <w:rsid w:val="00F76832"/>
    <w:rsid w:val="00F77C13"/>
    <w:rsid w:val="00F77C3D"/>
    <w:rsid w:val="00F77C67"/>
    <w:rsid w:val="00F77D0C"/>
    <w:rsid w:val="00F77DFA"/>
    <w:rsid w:val="00F80131"/>
    <w:rsid w:val="00F801F8"/>
    <w:rsid w:val="00F80FA6"/>
    <w:rsid w:val="00F8100F"/>
    <w:rsid w:val="00F81D73"/>
    <w:rsid w:val="00F820D1"/>
    <w:rsid w:val="00F8252D"/>
    <w:rsid w:val="00F82A82"/>
    <w:rsid w:val="00F82DA1"/>
    <w:rsid w:val="00F83165"/>
    <w:rsid w:val="00F834A2"/>
    <w:rsid w:val="00F8366E"/>
    <w:rsid w:val="00F83E2C"/>
    <w:rsid w:val="00F84082"/>
    <w:rsid w:val="00F8429B"/>
    <w:rsid w:val="00F84AD0"/>
    <w:rsid w:val="00F84D83"/>
    <w:rsid w:val="00F84F9E"/>
    <w:rsid w:val="00F85058"/>
    <w:rsid w:val="00F85135"/>
    <w:rsid w:val="00F85215"/>
    <w:rsid w:val="00F8638E"/>
    <w:rsid w:val="00F865DE"/>
    <w:rsid w:val="00F87146"/>
    <w:rsid w:val="00F8722B"/>
    <w:rsid w:val="00F87B35"/>
    <w:rsid w:val="00F87EAA"/>
    <w:rsid w:val="00F87EE2"/>
    <w:rsid w:val="00F90682"/>
    <w:rsid w:val="00F90694"/>
    <w:rsid w:val="00F9073F"/>
    <w:rsid w:val="00F9082E"/>
    <w:rsid w:val="00F90A45"/>
    <w:rsid w:val="00F90CB0"/>
    <w:rsid w:val="00F91447"/>
    <w:rsid w:val="00F91B2F"/>
    <w:rsid w:val="00F91E05"/>
    <w:rsid w:val="00F91F07"/>
    <w:rsid w:val="00F92CD2"/>
    <w:rsid w:val="00F9300E"/>
    <w:rsid w:val="00F93299"/>
    <w:rsid w:val="00F935B4"/>
    <w:rsid w:val="00F93685"/>
    <w:rsid w:val="00F93970"/>
    <w:rsid w:val="00F93C28"/>
    <w:rsid w:val="00F9409F"/>
    <w:rsid w:val="00F94662"/>
    <w:rsid w:val="00F94C14"/>
    <w:rsid w:val="00F94F37"/>
    <w:rsid w:val="00F95830"/>
    <w:rsid w:val="00F958E6"/>
    <w:rsid w:val="00F958F2"/>
    <w:rsid w:val="00F95ABA"/>
    <w:rsid w:val="00F95C12"/>
    <w:rsid w:val="00F97099"/>
    <w:rsid w:val="00F97484"/>
    <w:rsid w:val="00F977B4"/>
    <w:rsid w:val="00F97983"/>
    <w:rsid w:val="00F97A7C"/>
    <w:rsid w:val="00F97DE1"/>
    <w:rsid w:val="00F97ED2"/>
    <w:rsid w:val="00FA0063"/>
    <w:rsid w:val="00FA104B"/>
    <w:rsid w:val="00FA1121"/>
    <w:rsid w:val="00FA114E"/>
    <w:rsid w:val="00FA11F6"/>
    <w:rsid w:val="00FA1A95"/>
    <w:rsid w:val="00FA1AAF"/>
    <w:rsid w:val="00FA2933"/>
    <w:rsid w:val="00FA3122"/>
    <w:rsid w:val="00FA3339"/>
    <w:rsid w:val="00FA33DF"/>
    <w:rsid w:val="00FA3C48"/>
    <w:rsid w:val="00FA3F58"/>
    <w:rsid w:val="00FA42A7"/>
    <w:rsid w:val="00FA4428"/>
    <w:rsid w:val="00FA4F7A"/>
    <w:rsid w:val="00FA5806"/>
    <w:rsid w:val="00FA586F"/>
    <w:rsid w:val="00FA5AB6"/>
    <w:rsid w:val="00FA5BCB"/>
    <w:rsid w:val="00FA5C49"/>
    <w:rsid w:val="00FA5E33"/>
    <w:rsid w:val="00FA6201"/>
    <w:rsid w:val="00FA66B4"/>
    <w:rsid w:val="00FA674E"/>
    <w:rsid w:val="00FA68BC"/>
    <w:rsid w:val="00FA6C45"/>
    <w:rsid w:val="00FA7719"/>
    <w:rsid w:val="00FA7929"/>
    <w:rsid w:val="00FA7A70"/>
    <w:rsid w:val="00FA7B7C"/>
    <w:rsid w:val="00FA7B8A"/>
    <w:rsid w:val="00FB0C0C"/>
    <w:rsid w:val="00FB10FC"/>
    <w:rsid w:val="00FB12DF"/>
    <w:rsid w:val="00FB19B1"/>
    <w:rsid w:val="00FB1A0D"/>
    <w:rsid w:val="00FB22B4"/>
    <w:rsid w:val="00FB24CB"/>
    <w:rsid w:val="00FB3123"/>
    <w:rsid w:val="00FB366F"/>
    <w:rsid w:val="00FB3B7B"/>
    <w:rsid w:val="00FB405F"/>
    <w:rsid w:val="00FB4228"/>
    <w:rsid w:val="00FB4353"/>
    <w:rsid w:val="00FB49DC"/>
    <w:rsid w:val="00FB4DB3"/>
    <w:rsid w:val="00FB51B5"/>
    <w:rsid w:val="00FB522A"/>
    <w:rsid w:val="00FB547E"/>
    <w:rsid w:val="00FB5486"/>
    <w:rsid w:val="00FB55AE"/>
    <w:rsid w:val="00FB55C2"/>
    <w:rsid w:val="00FB612E"/>
    <w:rsid w:val="00FB62CC"/>
    <w:rsid w:val="00FB633F"/>
    <w:rsid w:val="00FB6424"/>
    <w:rsid w:val="00FB6475"/>
    <w:rsid w:val="00FB677D"/>
    <w:rsid w:val="00FB6843"/>
    <w:rsid w:val="00FB6B3D"/>
    <w:rsid w:val="00FB6D2B"/>
    <w:rsid w:val="00FB6F4D"/>
    <w:rsid w:val="00FB7FE5"/>
    <w:rsid w:val="00FC00C9"/>
    <w:rsid w:val="00FC0598"/>
    <w:rsid w:val="00FC0695"/>
    <w:rsid w:val="00FC0927"/>
    <w:rsid w:val="00FC0ECF"/>
    <w:rsid w:val="00FC176D"/>
    <w:rsid w:val="00FC1B77"/>
    <w:rsid w:val="00FC1C68"/>
    <w:rsid w:val="00FC1C6D"/>
    <w:rsid w:val="00FC1CE1"/>
    <w:rsid w:val="00FC2907"/>
    <w:rsid w:val="00FC2A80"/>
    <w:rsid w:val="00FC323F"/>
    <w:rsid w:val="00FC34E5"/>
    <w:rsid w:val="00FC3784"/>
    <w:rsid w:val="00FC3B77"/>
    <w:rsid w:val="00FC44BB"/>
    <w:rsid w:val="00FC479E"/>
    <w:rsid w:val="00FC4DC6"/>
    <w:rsid w:val="00FC52DB"/>
    <w:rsid w:val="00FC564F"/>
    <w:rsid w:val="00FC5798"/>
    <w:rsid w:val="00FC5806"/>
    <w:rsid w:val="00FC5895"/>
    <w:rsid w:val="00FC5B4B"/>
    <w:rsid w:val="00FC5BAC"/>
    <w:rsid w:val="00FC6009"/>
    <w:rsid w:val="00FC6081"/>
    <w:rsid w:val="00FC6178"/>
    <w:rsid w:val="00FC6222"/>
    <w:rsid w:val="00FC6666"/>
    <w:rsid w:val="00FC7207"/>
    <w:rsid w:val="00FC766D"/>
    <w:rsid w:val="00FC7D6B"/>
    <w:rsid w:val="00FC7F1D"/>
    <w:rsid w:val="00FD05B1"/>
    <w:rsid w:val="00FD0773"/>
    <w:rsid w:val="00FD0A04"/>
    <w:rsid w:val="00FD0D33"/>
    <w:rsid w:val="00FD0E62"/>
    <w:rsid w:val="00FD1124"/>
    <w:rsid w:val="00FD11F2"/>
    <w:rsid w:val="00FD14B8"/>
    <w:rsid w:val="00FD1B0F"/>
    <w:rsid w:val="00FD1B41"/>
    <w:rsid w:val="00FD1BD8"/>
    <w:rsid w:val="00FD20CC"/>
    <w:rsid w:val="00FD2666"/>
    <w:rsid w:val="00FD26FB"/>
    <w:rsid w:val="00FD3437"/>
    <w:rsid w:val="00FD367F"/>
    <w:rsid w:val="00FD3C04"/>
    <w:rsid w:val="00FD3DC2"/>
    <w:rsid w:val="00FD3E17"/>
    <w:rsid w:val="00FD3FD3"/>
    <w:rsid w:val="00FD4365"/>
    <w:rsid w:val="00FD43A6"/>
    <w:rsid w:val="00FD447E"/>
    <w:rsid w:val="00FD4652"/>
    <w:rsid w:val="00FD47BD"/>
    <w:rsid w:val="00FD4B3A"/>
    <w:rsid w:val="00FD4B82"/>
    <w:rsid w:val="00FD4D80"/>
    <w:rsid w:val="00FD4E3F"/>
    <w:rsid w:val="00FD4E42"/>
    <w:rsid w:val="00FD57ED"/>
    <w:rsid w:val="00FD5B89"/>
    <w:rsid w:val="00FD62E4"/>
    <w:rsid w:val="00FD652F"/>
    <w:rsid w:val="00FD6680"/>
    <w:rsid w:val="00FD677E"/>
    <w:rsid w:val="00FD693D"/>
    <w:rsid w:val="00FD6C1B"/>
    <w:rsid w:val="00FD7326"/>
    <w:rsid w:val="00FD744E"/>
    <w:rsid w:val="00FD799E"/>
    <w:rsid w:val="00FD7AB8"/>
    <w:rsid w:val="00FD7B75"/>
    <w:rsid w:val="00FD7C57"/>
    <w:rsid w:val="00FD7FEC"/>
    <w:rsid w:val="00FE00F3"/>
    <w:rsid w:val="00FE0615"/>
    <w:rsid w:val="00FE0E28"/>
    <w:rsid w:val="00FE0EC7"/>
    <w:rsid w:val="00FE148A"/>
    <w:rsid w:val="00FE1C91"/>
    <w:rsid w:val="00FE2557"/>
    <w:rsid w:val="00FE25B1"/>
    <w:rsid w:val="00FE263D"/>
    <w:rsid w:val="00FE2A21"/>
    <w:rsid w:val="00FE2FD9"/>
    <w:rsid w:val="00FE3026"/>
    <w:rsid w:val="00FE37A3"/>
    <w:rsid w:val="00FE4006"/>
    <w:rsid w:val="00FE4631"/>
    <w:rsid w:val="00FE46F0"/>
    <w:rsid w:val="00FE472D"/>
    <w:rsid w:val="00FE501F"/>
    <w:rsid w:val="00FE5238"/>
    <w:rsid w:val="00FE568F"/>
    <w:rsid w:val="00FE5A49"/>
    <w:rsid w:val="00FE5AB8"/>
    <w:rsid w:val="00FE5D03"/>
    <w:rsid w:val="00FE5E05"/>
    <w:rsid w:val="00FE5FC9"/>
    <w:rsid w:val="00FE639E"/>
    <w:rsid w:val="00FE6633"/>
    <w:rsid w:val="00FE6986"/>
    <w:rsid w:val="00FE6AFD"/>
    <w:rsid w:val="00FE6F96"/>
    <w:rsid w:val="00FE70B2"/>
    <w:rsid w:val="00FE7B46"/>
    <w:rsid w:val="00FE7B7B"/>
    <w:rsid w:val="00FE7CEC"/>
    <w:rsid w:val="00FF01CD"/>
    <w:rsid w:val="00FF0352"/>
    <w:rsid w:val="00FF0639"/>
    <w:rsid w:val="00FF075F"/>
    <w:rsid w:val="00FF080F"/>
    <w:rsid w:val="00FF1304"/>
    <w:rsid w:val="00FF1621"/>
    <w:rsid w:val="00FF1BE5"/>
    <w:rsid w:val="00FF2571"/>
    <w:rsid w:val="00FF2DCD"/>
    <w:rsid w:val="00FF357C"/>
    <w:rsid w:val="00FF3F4D"/>
    <w:rsid w:val="00FF40E2"/>
    <w:rsid w:val="00FF41AB"/>
    <w:rsid w:val="00FF4611"/>
    <w:rsid w:val="00FF4EEC"/>
    <w:rsid w:val="00FF4F4D"/>
    <w:rsid w:val="00FF55AD"/>
    <w:rsid w:val="00FF5C98"/>
    <w:rsid w:val="00FF60D8"/>
    <w:rsid w:val="00FF7064"/>
    <w:rsid w:val="00FF7A2F"/>
    <w:rsid w:val="029AB34E"/>
    <w:rsid w:val="02A344E6"/>
    <w:rsid w:val="03339650"/>
    <w:rsid w:val="0526B357"/>
    <w:rsid w:val="06F8C3F3"/>
    <w:rsid w:val="07DE874D"/>
    <w:rsid w:val="090A98E4"/>
    <w:rsid w:val="0927DB16"/>
    <w:rsid w:val="09B3AE04"/>
    <w:rsid w:val="0AEE1943"/>
    <w:rsid w:val="0D3B50F1"/>
    <w:rsid w:val="0DBB4D78"/>
    <w:rsid w:val="0E7B5BC9"/>
    <w:rsid w:val="10319AA9"/>
    <w:rsid w:val="1101E8D2"/>
    <w:rsid w:val="14E06812"/>
    <w:rsid w:val="16127989"/>
    <w:rsid w:val="187AED7D"/>
    <w:rsid w:val="19FF3F43"/>
    <w:rsid w:val="1B9FA32B"/>
    <w:rsid w:val="1BDF3928"/>
    <w:rsid w:val="1CD02988"/>
    <w:rsid w:val="1FF60A09"/>
    <w:rsid w:val="23447346"/>
    <w:rsid w:val="24633609"/>
    <w:rsid w:val="27C0B589"/>
    <w:rsid w:val="285B02E2"/>
    <w:rsid w:val="2A399F23"/>
    <w:rsid w:val="2B3BBCA0"/>
    <w:rsid w:val="2C7E65E3"/>
    <w:rsid w:val="2CB6A7ED"/>
    <w:rsid w:val="2DC8DE04"/>
    <w:rsid w:val="2EB5B28D"/>
    <w:rsid w:val="2EF81D44"/>
    <w:rsid w:val="2EFFEE24"/>
    <w:rsid w:val="313F60A5"/>
    <w:rsid w:val="32AD5EA3"/>
    <w:rsid w:val="335115F3"/>
    <w:rsid w:val="338D8466"/>
    <w:rsid w:val="3533D203"/>
    <w:rsid w:val="3541B956"/>
    <w:rsid w:val="3552F648"/>
    <w:rsid w:val="36D0CE57"/>
    <w:rsid w:val="38A75C4F"/>
    <w:rsid w:val="38F4729A"/>
    <w:rsid w:val="3941B320"/>
    <w:rsid w:val="39F7D437"/>
    <w:rsid w:val="3BBE4535"/>
    <w:rsid w:val="3C3C1BC5"/>
    <w:rsid w:val="3CBCC5EF"/>
    <w:rsid w:val="3D007C3C"/>
    <w:rsid w:val="3D4D62B3"/>
    <w:rsid w:val="3E5135AA"/>
    <w:rsid w:val="3F20165A"/>
    <w:rsid w:val="408CF000"/>
    <w:rsid w:val="40DFD158"/>
    <w:rsid w:val="41200F84"/>
    <w:rsid w:val="4129F24B"/>
    <w:rsid w:val="413763E4"/>
    <w:rsid w:val="416CE1EB"/>
    <w:rsid w:val="41AC5A47"/>
    <w:rsid w:val="41CAAAA6"/>
    <w:rsid w:val="435DB99B"/>
    <w:rsid w:val="44122D72"/>
    <w:rsid w:val="44230C38"/>
    <w:rsid w:val="45BA4912"/>
    <w:rsid w:val="48E6451E"/>
    <w:rsid w:val="49AB8E2A"/>
    <w:rsid w:val="4BC165BE"/>
    <w:rsid w:val="4C0C73BF"/>
    <w:rsid w:val="4DE18FDE"/>
    <w:rsid w:val="4E14B181"/>
    <w:rsid w:val="4FEFEC28"/>
    <w:rsid w:val="51DEA361"/>
    <w:rsid w:val="52083F49"/>
    <w:rsid w:val="528A0238"/>
    <w:rsid w:val="52C8D626"/>
    <w:rsid w:val="53944031"/>
    <w:rsid w:val="54D1776F"/>
    <w:rsid w:val="557A8992"/>
    <w:rsid w:val="57E6D459"/>
    <w:rsid w:val="580968C8"/>
    <w:rsid w:val="59FD8D68"/>
    <w:rsid w:val="5AD02DDE"/>
    <w:rsid w:val="5B392797"/>
    <w:rsid w:val="5C37CC6D"/>
    <w:rsid w:val="5C62DA2E"/>
    <w:rsid w:val="5CD89162"/>
    <w:rsid w:val="5D17F28C"/>
    <w:rsid w:val="5DAE75AC"/>
    <w:rsid w:val="5E60F5BE"/>
    <w:rsid w:val="6503CE1E"/>
    <w:rsid w:val="655DFAF8"/>
    <w:rsid w:val="67DFD2B0"/>
    <w:rsid w:val="6AE187D2"/>
    <w:rsid w:val="6B053803"/>
    <w:rsid w:val="6C34D36D"/>
    <w:rsid w:val="6C4FA276"/>
    <w:rsid w:val="6E4654CA"/>
    <w:rsid w:val="6FD35A67"/>
    <w:rsid w:val="70D97C89"/>
    <w:rsid w:val="7178707E"/>
    <w:rsid w:val="724A553B"/>
    <w:rsid w:val="72DEEF2E"/>
    <w:rsid w:val="72E6D83B"/>
    <w:rsid w:val="772C0145"/>
    <w:rsid w:val="779F7FD5"/>
    <w:rsid w:val="783FAA30"/>
    <w:rsid w:val="79AD3179"/>
    <w:rsid w:val="79F6EBC3"/>
    <w:rsid w:val="7A1DB991"/>
    <w:rsid w:val="7B8BE85E"/>
    <w:rsid w:val="7E91978D"/>
    <w:rsid w:val="7F08E6B8"/>
    <w:rsid w:val="7F52AB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D95FA283-464C-4C9C-81A5-CA19ADAE9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ind w:left="357" w:hanging="357"/>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2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0AB6"/>
  </w:style>
  <w:style w:type="paragraph" w:styleId="Heading1">
    <w:name w:val="heading 1"/>
    <w:aliases w:val="F3 Heading 1 - Section,(Section),h1,Numbered - 1,Section,Chapter Hdg,CH TITLE 1,Headline 1,cover1,intoduction,head1,Chapter Heading,IMPACT STUDY TITLE1,TITLE 1 NR,title 1 nr,Title 1,ariad2-heading1,1H,1h,1H1,1H2,1H11,1,section head,1stlevel,H1"/>
    <w:basedOn w:val="Normal"/>
    <w:next w:val="Text1"/>
    <w:link w:val="Heading1Char"/>
    <w:qFormat/>
    <w:rsid w:val="006B087E"/>
    <w:pPr>
      <w:keepNext/>
      <w:tabs>
        <w:tab w:val="num" w:pos="480"/>
      </w:tabs>
      <w:spacing w:before="240" w:after="240"/>
      <w:ind w:left="480" w:hanging="480"/>
      <w:outlineLvl w:val="0"/>
    </w:pPr>
    <w:rPr>
      <w:rFonts w:ascii="Times New Roman" w:eastAsia="Times New Roman" w:hAnsi="Times New Roman" w:cs="Times New Roman"/>
      <w:b/>
      <w:smallCaps/>
      <w:sz w:val="24"/>
      <w:szCs w:val="20"/>
    </w:rPr>
  </w:style>
  <w:style w:type="paragraph" w:styleId="Heading2">
    <w:name w:val="heading 2"/>
    <w:aliases w:val="F4 Heading 2 - SubSection,(SubSection),h2,Para Nos,Para,Main Heading,Main Headi,Numbered - 2,(Main Heading),Paragraph,Sub Heading,ignorer2,Oscar Faber 2,Headline 2,2,headi,heading2,h21,h22,21,H2,l2,kopregel 2,Dossier Head 2,heading 2,2H,2H1,2h"/>
    <w:basedOn w:val="Normal"/>
    <w:next w:val="Text2"/>
    <w:link w:val="Heading2Char"/>
    <w:qFormat/>
    <w:rsid w:val="006B087E"/>
    <w:pPr>
      <w:keepNext/>
      <w:tabs>
        <w:tab w:val="num" w:pos="1200"/>
      </w:tabs>
      <w:spacing w:after="240"/>
      <w:ind w:left="1200" w:hanging="720"/>
      <w:outlineLvl w:val="1"/>
    </w:pPr>
    <w:rPr>
      <w:rFonts w:ascii="Times New Roman" w:eastAsia="Times New Roman" w:hAnsi="Times New Roman" w:cs="Times New Roman"/>
      <w:b/>
      <w:sz w:val="24"/>
      <w:szCs w:val="20"/>
    </w:rPr>
  </w:style>
  <w:style w:type="paragraph" w:styleId="Heading3">
    <w:name w:val="heading 3"/>
    <w:aliases w:val="F5 Heading 3,h3,Numbered - 3,H3,H31,Headline 3,h31,h32,Sub Paragraph,Voorwoord,ASAPHeading 3,Level 1 - 1,Heading 3 - old,heading 3,Heading 2.3,1.2.3.,Titles,(Alt+3),(Alt+3)1,(Alt+3)2,(Alt+3)3,(Alt+3)4,(Alt+3)5,(Alt+3)6,(Alt+3)11,(Alt+3)21,Titl"/>
    <w:basedOn w:val="Normal"/>
    <w:next w:val="Normal"/>
    <w:link w:val="Heading3Char"/>
    <w:qFormat/>
    <w:rsid w:val="006B087E"/>
    <w:pPr>
      <w:keepNext/>
      <w:tabs>
        <w:tab w:val="num" w:pos="1920"/>
      </w:tabs>
      <w:spacing w:after="240"/>
      <w:ind w:left="1920" w:hanging="720"/>
      <w:outlineLvl w:val="2"/>
    </w:pPr>
    <w:rPr>
      <w:rFonts w:ascii="Times New Roman" w:eastAsia="Times New Roman" w:hAnsi="Times New Roman" w:cs="Times New Roman"/>
      <w:i/>
      <w:sz w:val="24"/>
      <w:szCs w:val="20"/>
    </w:rPr>
  </w:style>
  <w:style w:type="paragraph" w:styleId="Heading4">
    <w:name w:val="heading 4"/>
    <w:aliases w:val="level 3 subhead,PA Micro Section,(Alt+4),H41,(Alt+4)1,H42,(Alt+4)2,H43,(Alt+4)3,H44,(Alt+4)4,H45,(Alt+4)5,H411,(Alt+4)11,H421,(Alt+4)21,H431,(Alt+4)31,H46,(Alt+4)6,H412,(Alt+4)12,H422,(Alt+4)22,H432,(Alt+4)32,H47,(Alt+4)7,H48,(Alt+4)8,H49,H410"/>
    <w:basedOn w:val="Normal"/>
    <w:next w:val="Normal"/>
    <w:link w:val="Heading4Char"/>
    <w:qFormat/>
    <w:rsid w:val="006B087E"/>
    <w:pPr>
      <w:keepNext/>
      <w:tabs>
        <w:tab w:val="num" w:pos="1920"/>
      </w:tabs>
      <w:spacing w:after="240"/>
      <w:ind w:left="1920" w:hanging="720"/>
      <w:outlineLvl w:val="3"/>
    </w:pPr>
    <w:rPr>
      <w:rFonts w:ascii="Times New Roman" w:eastAsia="Times New Roman" w:hAnsi="Times New Roman" w:cs="Times New Roman"/>
      <w:sz w:val="24"/>
      <w:szCs w:val="20"/>
    </w:rPr>
  </w:style>
  <w:style w:type="paragraph" w:styleId="Heading5">
    <w:name w:val="heading 5"/>
    <w:aliases w:val="Heading 5(war),DNV-H5,Block Label,Heading 5 CFMU,Para 5,h5,Level 3 - i,DO NOT USE_h5,H5,Roman list,Schedule A to X,5H,Lev 5,Response Type,Response Type1,Response Type2,Response Type3,Response Type4,Response Type5,Response Type6,l5,Do Not Use 5"/>
    <w:basedOn w:val="Normal"/>
    <w:next w:val="BodyText"/>
    <w:link w:val="Heading5Char"/>
    <w:uiPriority w:val="29"/>
    <w:unhideWhenUsed/>
    <w:qFormat/>
    <w:rsid w:val="00C40FF9"/>
    <w:pPr>
      <w:keepNext/>
      <w:keepLines/>
      <w:spacing w:before="360" w:after="60" w:line="260" w:lineRule="atLeast"/>
      <w:ind w:left="851" w:hanging="851"/>
      <w:jc w:val="left"/>
      <w:outlineLvl w:val="4"/>
    </w:pPr>
    <w:rPr>
      <w:rFonts w:ascii="Arial" w:eastAsiaTheme="majorEastAsia" w:hAnsi="Arial" w:cstheme="majorBidi"/>
      <w:b/>
      <w:i/>
      <w:szCs w:val="24"/>
    </w:rPr>
  </w:style>
  <w:style w:type="paragraph" w:styleId="Heading6">
    <w:name w:val="heading 6"/>
    <w:basedOn w:val="Normal"/>
    <w:next w:val="Normal"/>
    <w:link w:val="Heading6Char"/>
    <w:uiPriority w:val="99"/>
    <w:unhideWhenUsed/>
    <w:qFormat/>
    <w:rsid w:val="00E8509E"/>
    <w:pPr>
      <w:keepNext/>
      <w:keepLines/>
      <w:spacing w:before="40"/>
      <w:ind w:left="1152" w:hanging="1152"/>
      <w:jc w:val="left"/>
      <w:outlineLvl w:val="5"/>
    </w:pPr>
    <w:rPr>
      <w:rFonts w:asciiTheme="majorHAnsi" w:eastAsiaTheme="majorEastAsia" w:hAnsiTheme="majorHAnsi" w:cstheme="majorBidi"/>
      <w:color w:val="243F60" w:themeColor="accent1" w:themeShade="7F"/>
      <w:sz w:val="20"/>
    </w:rPr>
  </w:style>
  <w:style w:type="paragraph" w:styleId="Heading7">
    <w:name w:val="heading 7"/>
    <w:basedOn w:val="Normal"/>
    <w:next w:val="Normal"/>
    <w:link w:val="Heading7Char"/>
    <w:uiPriority w:val="99"/>
    <w:semiHidden/>
    <w:unhideWhenUsed/>
    <w:qFormat/>
    <w:rsid w:val="00E8509E"/>
    <w:pPr>
      <w:keepNext/>
      <w:keepLines/>
      <w:spacing w:before="40"/>
      <w:ind w:left="1296" w:hanging="1296"/>
      <w:jc w:val="left"/>
      <w:outlineLvl w:val="6"/>
    </w:pPr>
    <w:rPr>
      <w:rFonts w:asciiTheme="majorHAnsi" w:eastAsiaTheme="majorEastAsia" w:hAnsiTheme="majorHAnsi" w:cstheme="majorBidi"/>
      <w:i/>
      <w:iCs/>
      <w:color w:val="243F60" w:themeColor="accent1" w:themeShade="7F"/>
      <w:sz w:val="20"/>
    </w:rPr>
  </w:style>
  <w:style w:type="paragraph" w:styleId="Heading8">
    <w:name w:val="heading 8"/>
    <w:basedOn w:val="Normal"/>
    <w:next w:val="Normal"/>
    <w:link w:val="Heading8Char"/>
    <w:uiPriority w:val="99"/>
    <w:semiHidden/>
    <w:unhideWhenUsed/>
    <w:qFormat/>
    <w:rsid w:val="00E8509E"/>
    <w:pPr>
      <w:keepNext/>
      <w:keepLines/>
      <w:spacing w:before="40"/>
      <w:ind w:left="1440" w:hanging="1440"/>
      <w:jc w:val="left"/>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E8509E"/>
    <w:pPr>
      <w:keepNext/>
      <w:keepLines/>
      <w:spacing w:before="40"/>
      <w:ind w:left="1584" w:hanging="1584"/>
      <w:jc w:val="left"/>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3 Heading 1 - Section Char,(Section) Char,h1 Char,Numbered - 1 Char,Section Char,Chapter Hdg Char,CH TITLE 1 Char,Headline 1 Char,cover1 Char,intoduction Char,head1 Char,Chapter Heading Char,IMPACT STUDY TITLE1 Char,TITLE 1 NR Char"/>
    <w:basedOn w:val="DefaultParagraphFont"/>
    <w:link w:val="Heading1"/>
    <w:rsid w:val="006B087E"/>
    <w:rPr>
      <w:rFonts w:ascii="Times New Roman" w:eastAsia="Times New Roman" w:hAnsi="Times New Roman" w:cs="Times New Roman"/>
      <w:b/>
      <w:smallCaps/>
      <w:sz w:val="24"/>
      <w:szCs w:val="20"/>
    </w:rPr>
  </w:style>
  <w:style w:type="character" w:customStyle="1" w:styleId="Heading2Char">
    <w:name w:val="Heading 2 Char"/>
    <w:aliases w:val="F4 Heading 2 - SubSection Char,(SubSection) Char,h2 Char,Para Nos Char,Para Char,Main Heading Char,Main Headi Char,Numbered - 2 Char,(Main Heading) Char,Paragraph Char,Sub Heading Char,ignorer2 Char,Oscar Faber 2 Char,Headline 2 Char"/>
    <w:basedOn w:val="DefaultParagraphFont"/>
    <w:link w:val="Heading2"/>
    <w:rsid w:val="006B087E"/>
    <w:rPr>
      <w:rFonts w:ascii="Times New Roman" w:eastAsia="Times New Roman" w:hAnsi="Times New Roman" w:cs="Times New Roman"/>
      <w:b/>
      <w:sz w:val="24"/>
      <w:szCs w:val="20"/>
    </w:rPr>
  </w:style>
  <w:style w:type="character" w:customStyle="1" w:styleId="Heading3Char">
    <w:name w:val="Heading 3 Char"/>
    <w:aliases w:val="F5 Heading 3 Char,h3 Char,Numbered - 3 Char,H3 Char,H31 Char,Headline 3 Char,h31 Char,h32 Char,Sub Paragraph Char,Voorwoord Char,ASAPHeading 3 Char,Level 1 - 1 Char,Heading 3 - old Char,heading 3 Char,Heading 2.3 Char,1.2.3. Char"/>
    <w:basedOn w:val="DefaultParagraphFont"/>
    <w:link w:val="Heading3"/>
    <w:uiPriority w:val="6"/>
    <w:rsid w:val="006B087E"/>
    <w:rPr>
      <w:rFonts w:ascii="Times New Roman" w:eastAsia="Times New Roman" w:hAnsi="Times New Roman" w:cs="Times New Roman"/>
      <w:i/>
      <w:sz w:val="24"/>
      <w:szCs w:val="20"/>
    </w:rPr>
  </w:style>
  <w:style w:type="character" w:customStyle="1" w:styleId="Heading4Char">
    <w:name w:val="Heading 4 Char"/>
    <w:aliases w:val="level 3 subhead Char,PA Micro Section Char,(Alt+4) Char,H41 Char,(Alt+4)1 Char,H42 Char,(Alt+4)2 Char,H43 Char,(Alt+4)3 Char,H44 Char,(Alt+4)4 Char,H45 Char,(Alt+4)5 Char,H411 Char,(Alt+4)11 Char,H421 Char,(Alt+4)21 Char,H431 Char"/>
    <w:basedOn w:val="DefaultParagraphFont"/>
    <w:link w:val="Heading4"/>
    <w:rsid w:val="006B087E"/>
    <w:rPr>
      <w:rFonts w:ascii="Times New Roman" w:eastAsia="Times New Roman" w:hAnsi="Times New Roman" w:cs="Times New Roman"/>
      <w:sz w:val="24"/>
      <w:szCs w:val="20"/>
    </w:rPr>
  </w:style>
  <w:style w:type="character" w:customStyle="1" w:styleId="Marker">
    <w:name w:val="Marker"/>
    <w:basedOn w:val="DefaultParagraphFont"/>
    <w:rsid w:val="006B087E"/>
    <w:rPr>
      <w:color w:val="0000FF"/>
      <w:shd w:val="clear" w:color="auto" w:fill="auto"/>
    </w:rPr>
  </w:style>
  <w:style w:type="paragraph" w:customStyle="1" w:styleId="Pagedecouverture">
    <w:name w:val="Page de couverture"/>
    <w:basedOn w:val="Normal"/>
    <w:next w:val="Normal"/>
    <w:rsid w:val="006B087E"/>
    <w:rPr>
      <w:rFonts w:ascii="Times New Roman" w:hAnsi="Times New Roman" w:cs="Times New Roman"/>
      <w:sz w:val="24"/>
    </w:rPr>
  </w:style>
  <w:style w:type="paragraph" w:styleId="Header">
    <w:name w:val="header"/>
    <w:aliases w:val="HeaderTitle"/>
    <w:basedOn w:val="Normal"/>
    <w:link w:val="HeaderChar"/>
    <w:uiPriority w:val="99"/>
    <w:unhideWhenUsed/>
    <w:rsid w:val="006B087E"/>
    <w:pPr>
      <w:tabs>
        <w:tab w:val="center" w:pos="4535"/>
        <w:tab w:val="right" w:pos="9071"/>
      </w:tabs>
      <w:spacing w:after="120"/>
    </w:pPr>
    <w:rPr>
      <w:rFonts w:ascii="Times New Roman" w:hAnsi="Times New Roman" w:cs="Times New Roman"/>
      <w:sz w:val="24"/>
    </w:rPr>
  </w:style>
  <w:style w:type="character" w:customStyle="1" w:styleId="HeaderChar">
    <w:name w:val="Header Char"/>
    <w:aliases w:val="HeaderTitle Char"/>
    <w:basedOn w:val="DefaultParagraphFont"/>
    <w:link w:val="Header"/>
    <w:uiPriority w:val="99"/>
    <w:rsid w:val="006B087E"/>
    <w:rPr>
      <w:rFonts w:ascii="Times New Roman" w:hAnsi="Times New Roman" w:cs="Times New Roman"/>
      <w:sz w:val="24"/>
    </w:rPr>
  </w:style>
  <w:style w:type="paragraph" w:styleId="Footer">
    <w:name w:val="footer"/>
    <w:aliases w:val="FooterLand"/>
    <w:basedOn w:val="Normal"/>
    <w:link w:val="FooterChar"/>
    <w:uiPriority w:val="99"/>
    <w:unhideWhenUsed/>
    <w:qFormat/>
    <w:rsid w:val="00B30A0F"/>
    <w:pPr>
      <w:tabs>
        <w:tab w:val="center" w:pos="4535"/>
        <w:tab w:val="right" w:pos="9071"/>
        <w:tab w:val="right" w:pos="9921"/>
      </w:tabs>
      <w:spacing w:before="360"/>
      <w:ind w:left="-850" w:right="-850"/>
    </w:pPr>
    <w:rPr>
      <w:rFonts w:ascii="Times New Roman" w:hAnsi="Times New Roman" w:cs="Times New Roman"/>
      <w:sz w:val="24"/>
    </w:rPr>
  </w:style>
  <w:style w:type="character" w:customStyle="1" w:styleId="FooterChar">
    <w:name w:val="Footer Char"/>
    <w:aliases w:val="FooterLand Char"/>
    <w:basedOn w:val="DefaultParagraphFont"/>
    <w:link w:val="Footer"/>
    <w:uiPriority w:val="99"/>
    <w:rsid w:val="006B087E"/>
    <w:rPr>
      <w:rFonts w:ascii="Times New Roman" w:hAnsi="Times New Roman" w:cs="Times New Roman"/>
      <w:sz w:val="24"/>
    </w:rPr>
  </w:style>
  <w:style w:type="paragraph" w:customStyle="1" w:styleId="FooterCoverPage">
    <w:name w:val="Footer Cover Page"/>
    <w:basedOn w:val="Normal"/>
    <w:link w:val="FooterCoverPageChar"/>
    <w:rsid w:val="006B087E"/>
    <w:pPr>
      <w:tabs>
        <w:tab w:val="center" w:pos="4535"/>
        <w:tab w:val="right" w:pos="9071"/>
        <w:tab w:val="right" w:pos="9921"/>
      </w:tabs>
      <w:spacing w:before="360"/>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sid w:val="006B087E"/>
    <w:rPr>
      <w:rFonts w:ascii="Times New Roman" w:hAnsi="Times New Roman" w:cs="Times New Roman"/>
      <w:sz w:val="24"/>
    </w:rPr>
  </w:style>
  <w:style w:type="paragraph" w:customStyle="1" w:styleId="HeaderCoverPage">
    <w:name w:val="Header Cover Page"/>
    <w:basedOn w:val="Normal"/>
    <w:link w:val="HeaderCoverPageChar"/>
    <w:rsid w:val="006B087E"/>
    <w:pPr>
      <w:tabs>
        <w:tab w:val="center" w:pos="4535"/>
        <w:tab w:val="right" w:pos="9071"/>
      </w:tabs>
      <w:spacing w:after="120"/>
      <w:ind w:left="0"/>
    </w:pPr>
    <w:rPr>
      <w:rFonts w:ascii="Times New Roman" w:hAnsi="Times New Roman" w:cs="Times New Roman"/>
      <w:sz w:val="24"/>
    </w:rPr>
  </w:style>
  <w:style w:type="character" w:customStyle="1" w:styleId="HeaderCoverPageChar">
    <w:name w:val="Header Cover Page Char"/>
    <w:basedOn w:val="DefaultParagraphFont"/>
    <w:link w:val="HeaderCoverPage"/>
    <w:rsid w:val="006B087E"/>
    <w:rPr>
      <w:rFonts w:ascii="Times New Roman" w:hAnsi="Times New Roman" w:cs="Times New Roman"/>
      <w:sz w:val="24"/>
    </w:rPr>
  </w:style>
  <w:style w:type="paragraph" w:customStyle="1" w:styleId="Text1">
    <w:name w:val="Text 1"/>
    <w:basedOn w:val="Normal"/>
    <w:rsid w:val="006B087E"/>
    <w:pPr>
      <w:spacing w:after="240"/>
      <w:ind w:left="482"/>
    </w:pPr>
    <w:rPr>
      <w:rFonts w:ascii="Times New Roman" w:eastAsia="Times New Roman" w:hAnsi="Times New Roman" w:cs="Times New Roman"/>
      <w:sz w:val="24"/>
      <w:szCs w:val="20"/>
    </w:rPr>
  </w:style>
  <w:style w:type="paragraph" w:customStyle="1" w:styleId="Text2">
    <w:name w:val="Text 2"/>
    <w:basedOn w:val="Normal"/>
    <w:rsid w:val="006B087E"/>
    <w:pPr>
      <w:tabs>
        <w:tab w:val="left" w:pos="2302"/>
      </w:tabs>
      <w:spacing w:after="240"/>
      <w:ind w:left="1202"/>
    </w:pPr>
    <w:rPr>
      <w:rFonts w:ascii="Times New Roman" w:eastAsia="Times New Roman" w:hAnsi="Times New Roman" w:cs="Times New Roman"/>
      <w:sz w:val="24"/>
      <w:szCs w:val="20"/>
    </w:rPr>
  </w:style>
  <w:style w:type="paragraph" w:styleId="ListBullet">
    <w:name w:val="List Bullet"/>
    <w:basedOn w:val="Normal"/>
    <w:uiPriority w:val="99"/>
    <w:rsid w:val="006B087E"/>
    <w:pPr>
      <w:tabs>
        <w:tab w:val="num" w:pos="283"/>
      </w:tabs>
      <w:spacing w:after="240"/>
      <w:ind w:left="283" w:hanging="283"/>
    </w:pPr>
    <w:rPr>
      <w:rFonts w:ascii="Times New Roman" w:eastAsia="Times New Roman" w:hAnsi="Times New Roman" w:cs="Times New Roman"/>
      <w:sz w:val="24"/>
      <w:szCs w:val="20"/>
    </w:rPr>
  </w:style>
  <w:style w:type="paragraph" w:customStyle="1" w:styleId="ListDash1">
    <w:name w:val="List Dash 1"/>
    <w:basedOn w:val="Text1"/>
    <w:rsid w:val="006B087E"/>
    <w:pPr>
      <w:numPr>
        <w:numId w:val="2"/>
      </w:numPr>
    </w:pPr>
  </w:style>
  <w:style w:type="table" w:styleId="TableGrid">
    <w:name w:val="Table Grid"/>
    <w:aliases w:val="Document Table,CV1,Table Format 1,HTG,Tabela Renova,TabelEcorys,Deloitte,Simple table,simple table"/>
    <w:basedOn w:val="TableNormal"/>
    <w:uiPriority w:val="59"/>
    <w:rsid w:val="006B087E"/>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rsid w:val="006B087E"/>
    <w:pPr>
      <w:keepNext/>
      <w:spacing w:after="480"/>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sid w:val="006B087E"/>
    <w:rPr>
      <w:rFonts w:ascii="Times New Roman" w:eastAsia="Times New Roman" w:hAnsi="Times New Roman" w:cs="Times New Roman"/>
      <w:b/>
      <w:sz w:val="32"/>
      <w:szCs w:val="20"/>
    </w:rPr>
  </w:style>
  <w:style w:type="table" w:customStyle="1" w:styleId="CV11">
    <w:name w:val="CV11"/>
    <w:basedOn w:val="TableNormal"/>
    <w:next w:val="TableGrid"/>
    <w:uiPriority w:val="59"/>
    <w:rsid w:val="006B087E"/>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sid w:val="006B087E"/>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sid w:val="006B087E"/>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6B087E"/>
    <w:pPr>
      <w:tabs>
        <w:tab w:val="right" w:leader="dot" w:pos="8640"/>
      </w:tabs>
      <w:spacing w:before="120" w:after="120"/>
      <w:ind w:left="482" w:right="720" w:hanging="482"/>
    </w:pPr>
    <w:rPr>
      <w:rFonts w:ascii="Times New Roman" w:eastAsia="Times New Roman" w:hAnsi="Times New Roman" w:cs="Times New Roman"/>
      <w:caps/>
      <w:sz w:val="20"/>
      <w:szCs w:val="20"/>
    </w:rPr>
  </w:style>
  <w:style w:type="paragraph" w:styleId="TOC2">
    <w:name w:val="toc 2"/>
    <w:basedOn w:val="Normal"/>
    <w:next w:val="Normal"/>
    <w:uiPriority w:val="39"/>
    <w:rsid w:val="006B087E"/>
    <w:pPr>
      <w:tabs>
        <w:tab w:val="right" w:leader="dot" w:pos="8640"/>
      </w:tabs>
      <w:spacing w:before="60" w:after="60"/>
      <w:ind w:left="1077" w:right="720" w:hanging="595"/>
    </w:pPr>
    <w:rPr>
      <w:rFonts w:ascii="Times New Roman" w:eastAsia="Times New Roman" w:hAnsi="Times New Roman" w:cs="Times New Roman"/>
      <w:sz w:val="24"/>
      <w:szCs w:val="20"/>
    </w:rPr>
  </w:style>
  <w:style w:type="paragraph" w:styleId="TOCHeading">
    <w:name w:val="TOC Heading"/>
    <w:basedOn w:val="Normal"/>
    <w:next w:val="Normal"/>
    <w:uiPriority w:val="99"/>
    <w:qFormat/>
    <w:rsid w:val="006B087E"/>
    <w:pPr>
      <w:keepNext/>
      <w:spacing w:before="240" w:after="240"/>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qFormat/>
    <w:rsid w:val="006B087E"/>
    <w:rPr>
      <w:color w:val="0000FF" w:themeColor="hyperlink"/>
      <w:u w:val="single"/>
    </w:rPr>
  </w:style>
  <w:style w:type="paragraph" w:styleId="BalloonText">
    <w:name w:val="Balloon Text"/>
    <w:basedOn w:val="Normal"/>
    <w:link w:val="BalloonTextChar"/>
    <w:uiPriority w:val="99"/>
    <w:semiHidden/>
    <w:unhideWhenUsed/>
    <w:rsid w:val="006B087E"/>
    <w:rPr>
      <w:rFonts w:ascii="Tahoma" w:hAnsi="Tahoma" w:cs="Tahoma"/>
      <w:sz w:val="16"/>
      <w:szCs w:val="16"/>
    </w:rPr>
  </w:style>
  <w:style w:type="character" w:customStyle="1" w:styleId="BalloonTextChar">
    <w:name w:val="Balloon Text Char"/>
    <w:basedOn w:val="DefaultParagraphFont"/>
    <w:link w:val="BalloonText"/>
    <w:uiPriority w:val="99"/>
    <w:semiHidden/>
    <w:rsid w:val="006B087E"/>
    <w:rPr>
      <w:rFonts w:ascii="Tahoma" w:hAnsi="Tahoma" w:cs="Tahoma"/>
      <w:sz w:val="16"/>
      <w:szCs w:val="16"/>
    </w:rPr>
  </w:style>
  <w:style w:type="paragraph" w:customStyle="1" w:styleId="Declassification">
    <w:name w:val="Declassification"/>
    <w:basedOn w:val="Normal"/>
    <w:next w:val="Normal"/>
    <w:rsid w:val="006B087E"/>
    <w:rPr>
      <w:rFonts w:ascii="Times New Roman" w:hAnsi="Times New Roman" w:cs="Times New Roman"/>
      <w:sz w:val="24"/>
    </w:rPr>
  </w:style>
  <w:style w:type="paragraph" w:customStyle="1" w:styleId="HeaderLandscape">
    <w:name w:val="HeaderLandscape"/>
    <w:basedOn w:val="Normal"/>
    <w:rsid w:val="006B087E"/>
    <w:pPr>
      <w:tabs>
        <w:tab w:val="center" w:pos="7285"/>
        <w:tab w:val="right" w:pos="14003"/>
      </w:tabs>
      <w:spacing w:after="120"/>
    </w:pPr>
    <w:rPr>
      <w:rFonts w:ascii="Times New Roman" w:hAnsi="Times New Roman" w:cs="Times New Roman"/>
      <w:sz w:val="24"/>
    </w:rPr>
  </w:style>
  <w:style w:type="paragraph" w:customStyle="1" w:styleId="HeaderSensitivity">
    <w:name w:val="Header Sensitivity"/>
    <w:basedOn w:val="Normal"/>
    <w:rsid w:val="006B087E"/>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paragraph" w:customStyle="1" w:styleId="FooterLandscape">
    <w:name w:val="FooterLandscape"/>
    <w:basedOn w:val="Normal"/>
    <w:rsid w:val="006B087E"/>
    <w:pPr>
      <w:tabs>
        <w:tab w:val="center" w:pos="7285"/>
        <w:tab w:val="center" w:pos="10913"/>
        <w:tab w:val="right" w:pos="15137"/>
      </w:tabs>
      <w:spacing w:before="360"/>
      <w:ind w:left="-567" w:right="-567"/>
    </w:pPr>
    <w:rPr>
      <w:rFonts w:ascii="Times New Roman" w:hAnsi="Times New Roman" w:cs="Times New Roman"/>
      <w:sz w:val="24"/>
    </w:rPr>
  </w:style>
  <w:style w:type="paragraph" w:customStyle="1" w:styleId="FooterSensitivity">
    <w:name w:val="Footer Sensitivity"/>
    <w:basedOn w:val="Normal"/>
    <w:rsid w:val="006B087E"/>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cs="Times New Roman"/>
      <w:b/>
      <w:sz w:val="32"/>
    </w:rPr>
  </w:style>
  <w:style w:type="paragraph" w:customStyle="1" w:styleId="HeaderSensitivityRight">
    <w:name w:val="Header Sensitivity Right"/>
    <w:basedOn w:val="Normal"/>
    <w:link w:val="HeaderSensitivityRightChar"/>
    <w:rsid w:val="006B087E"/>
    <w:pPr>
      <w:spacing w:after="120"/>
      <w:ind w:left="0"/>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sid w:val="006B087E"/>
    <w:rPr>
      <w:rFonts w:ascii="Times New Roman" w:hAnsi="Times New Roman" w:cs="Times New Roman"/>
      <w:sz w:val="28"/>
    </w:rPr>
  </w:style>
  <w:style w:type="paragraph" w:customStyle="1" w:styleId="Default">
    <w:name w:val="Default"/>
    <w:rsid w:val="00E51C1E"/>
    <w:pPr>
      <w:autoSpaceDE w:val="0"/>
      <w:autoSpaceDN w:val="0"/>
      <w:adjustRightInd w:val="0"/>
    </w:pPr>
    <w:rPr>
      <w:rFonts w:ascii="Times New Roman" w:eastAsia="Times New Roman" w:hAnsi="Times New Roman" w:cs="Times New Roman"/>
      <w:color w:val="000000"/>
      <w:sz w:val="24"/>
      <w:szCs w:val="24"/>
      <w:lang w:val="fr-BE" w:eastAsia="en-GB"/>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rsid w:val="000A5C48"/>
    <w:pPr>
      <w:spacing w:after="240"/>
    </w:pPr>
    <w:rPr>
      <w:rFonts w:ascii="Times New Roman" w:eastAsia="Times New Roman" w:hAnsi="Times New Roman" w:cs="Times New Roman"/>
      <w:sz w:val="20"/>
      <w:szCs w:val="20"/>
      <w:lang w:eastAsia="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sid w:val="000A5C48"/>
    <w:rPr>
      <w:rFonts w:ascii="Times New Roman" w:eastAsia="Times New Roman" w:hAnsi="Times New Roman" w:cs="Times New Roman"/>
      <w:sz w:val="20"/>
      <w:szCs w:val="20"/>
      <w:lang w:eastAsia="en-GB"/>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F,R"/>
    <w:link w:val="SUPERSChar"/>
    <w:uiPriority w:val="99"/>
    <w:qFormat/>
    <w:rsid w:val="000A5C48"/>
    <w:rPr>
      <w:vertAlign w:val="superscript"/>
    </w:rPr>
  </w:style>
  <w:style w:type="paragraph" w:customStyle="1" w:styleId="SUPERSChar">
    <w:name w:val="SUPERS Char"/>
    <w:aliases w:val="EN Footnote Reference Char"/>
    <w:basedOn w:val="Normal"/>
    <w:link w:val="FootnoteReference"/>
    <w:uiPriority w:val="99"/>
    <w:rsid w:val="000A5C48"/>
    <w:pPr>
      <w:spacing w:after="160" w:line="240" w:lineRule="exact"/>
    </w:pPr>
    <w:rPr>
      <w:vertAlign w:val="superscript"/>
    </w:rPr>
  </w:style>
  <w:style w:type="paragraph" w:styleId="BodyText">
    <w:name w:val="Body Text"/>
    <w:aliases w:val="Document,Doc,Body Text2,doc,Standard paragraph,BodyText,(Norm),Body Text 12,bt,gl,uvlaka 2,heading3,Body Text - Level 2,1body,BodText,body text,Body Txt,Body Text-10,Body Text Char2,Text Char1,Τίτλος Μελέτης,- TF,Corps de texte,Text,b., (Norm"/>
    <w:basedOn w:val="Normal"/>
    <w:link w:val="BodyTextChar"/>
    <w:uiPriority w:val="1"/>
    <w:qFormat/>
    <w:rsid w:val="000A5C48"/>
    <w:pPr>
      <w:spacing w:before="120" w:after="120" w:line="260" w:lineRule="atLeast"/>
      <w:ind w:left="851"/>
    </w:pPr>
    <w:rPr>
      <w:rFonts w:ascii="Arial" w:hAnsi="Arial" w:cs="Times New Roman"/>
      <w:szCs w:val="24"/>
    </w:rPr>
  </w:style>
  <w:style w:type="character" w:customStyle="1" w:styleId="BodyTextChar">
    <w:name w:val="Body Text Char"/>
    <w:aliases w:val="Document Char,Doc Char,Body Text2 Char,doc Char,Standard paragraph Char,BodyText Char,(Norm) Char,Body Text 12 Char,bt Char,gl Char,uvlaka 2 Char,heading3 Char,Body Text - Level 2 Char,1body Char,BodText Char,body text Char,Body Txt Char"/>
    <w:basedOn w:val="DefaultParagraphFont"/>
    <w:link w:val="BodyText"/>
    <w:uiPriority w:val="1"/>
    <w:qFormat/>
    <w:rsid w:val="000A5C48"/>
    <w:rPr>
      <w:rFonts w:ascii="Arial" w:hAnsi="Arial" w:cs="Times New Roman"/>
      <w:szCs w:val="24"/>
    </w:rPr>
  </w:style>
  <w:style w:type="paragraph" w:customStyle="1" w:styleId="BTBullet1">
    <w:name w:val="BTBullet1"/>
    <w:basedOn w:val="Normal"/>
    <w:uiPriority w:val="6"/>
    <w:qFormat/>
    <w:rsid w:val="000A5C48"/>
    <w:pPr>
      <w:numPr>
        <w:numId w:val="17"/>
      </w:numPr>
      <w:spacing w:line="260" w:lineRule="atLeast"/>
    </w:pPr>
    <w:rPr>
      <w:rFonts w:ascii="Arial" w:hAnsi="Arial" w:cs="Times New Roman"/>
      <w:szCs w:val="24"/>
    </w:rPr>
  </w:style>
  <w:style w:type="paragraph" w:customStyle="1" w:styleId="BTBullet2">
    <w:name w:val="BTBullet2"/>
    <w:basedOn w:val="Normal"/>
    <w:uiPriority w:val="6"/>
    <w:qFormat/>
    <w:rsid w:val="000A5C48"/>
    <w:pPr>
      <w:numPr>
        <w:ilvl w:val="1"/>
        <w:numId w:val="17"/>
      </w:numPr>
      <w:spacing w:line="260" w:lineRule="atLeast"/>
    </w:pPr>
    <w:rPr>
      <w:rFonts w:ascii="Arial" w:hAnsi="Arial" w:cs="Times New Roman"/>
      <w:szCs w:val="24"/>
    </w:rPr>
  </w:style>
  <w:style w:type="paragraph" w:customStyle="1" w:styleId="BTBullet3">
    <w:name w:val="BTBullet3"/>
    <w:basedOn w:val="Normal"/>
    <w:uiPriority w:val="6"/>
    <w:qFormat/>
    <w:rsid w:val="000A5C48"/>
    <w:pPr>
      <w:numPr>
        <w:ilvl w:val="2"/>
        <w:numId w:val="17"/>
      </w:numPr>
      <w:spacing w:line="260" w:lineRule="atLeast"/>
    </w:pPr>
    <w:rPr>
      <w:rFonts w:ascii="Arial" w:hAnsi="Arial" w:cs="Times New Roman"/>
      <w:szCs w:val="24"/>
    </w:rPr>
  </w:style>
  <w:style w:type="paragraph" w:customStyle="1" w:styleId="BTNumbList">
    <w:name w:val="BTNumbList"/>
    <w:aliases w:val="NumbList 1,Numblist1,Numblist"/>
    <w:basedOn w:val="Normal"/>
    <w:link w:val="BTNumbListChar"/>
    <w:uiPriority w:val="14"/>
    <w:qFormat/>
    <w:rsid w:val="000A5C48"/>
    <w:pPr>
      <w:spacing w:before="240" w:line="260" w:lineRule="atLeast"/>
      <w:ind w:left="0" w:firstLine="0"/>
    </w:pPr>
    <w:rPr>
      <w:rFonts w:ascii="Arial" w:hAnsi="Arial" w:cs="Times New Roman"/>
      <w:szCs w:val="24"/>
    </w:rPr>
  </w:style>
  <w:style w:type="character" w:customStyle="1" w:styleId="BTNumbListChar">
    <w:name w:val="BTNumbList Char"/>
    <w:basedOn w:val="DefaultParagraphFont"/>
    <w:link w:val="BTNumbList"/>
    <w:uiPriority w:val="14"/>
    <w:rsid w:val="000A5C48"/>
    <w:rPr>
      <w:rFonts w:ascii="Arial" w:hAnsi="Arial" w:cs="Times New Roman"/>
      <w:szCs w:val="24"/>
    </w:rPr>
  </w:style>
  <w:style w:type="paragraph" w:customStyle="1" w:styleId="BTBullet1Last">
    <w:name w:val="BTBullet1Last"/>
    <w:aliases w:val="Bullet 1 Space,Bullet1Last"/>
    <w:basedOn w:val="BTBullet1"/>
    <w:next w:val="BodyText"/>
    <w:link w:val="BTBullet1LastChar"/>
    <w:uiPriority w:val="11"/>
    <w:qFormat/>
    <w:rsid w:val="000A5C48"/>
    <w:pPr>
      <w:numPr>
        <w:numId w:val="0"/>
      </w:numPr>
      <w:tabs>
        <w:tab w:val="num" w:pos="1191"/>
      </w:tabs>
      <w:spacing w:after="120"/>
      <w:ind w:left="1191" w:hanging="340"/>
    </w:pPr>
  </w:style>
  <w:style w:type="paragraph" w:customStyle="1" w:styleId="BTNumbList2">
    <w:name w:val="BTNumbList2"/>
    <w:aliases w:val="NumbList 2,NumbList2"/>
    <w:basedOn w:val="Normal"/>
    <w:uiPriority w:val="14"/>
    <w:qFormat/>
    <w:rsid w:val="000A5C48"/>
    <w:pPr>
      <w:numPr>
        <w:ilvl w:val="1"/>
        <w:numId w:val="7"/>
      </w:numPr>
      <w:spacing w:line="260" w:lineRule="atLeast"/>
    </w:pPr>
    <w:rPr>
      <w:rFonts w:ascii="Arial" w:hAnsi="Arial" w:cs="Times New Roman"/>
      <w:szCs w:val="24"/>
    </w:rPr>
  </w:style>
  <w:style w:type="paragraph" w:customStyle="1" w:styleId="BTNumbList3">
    <w:name w:val="BTNumbList3"/>
    <w:aliases w:val="NumbList 3,NumbList3"/>
    <w:basedOn w:val="Normal"/>
    <w:uiPriority w:val="14"/>
    <w:qFormat/>
    <w:rsid w:val="000A5C48"/>
    <w:pPr>
      <w:numPr>
        <w:ilvl w:val="2"/>
        <w:numId w:val="7"/>
      </w:numPr>
      <w:spacing w:line="260" w:lineRule="atLeast"/>
    </w:pPr>
    <w:rPr>
      <w:rFonts w:ascii="Arial" w:hAnsi="Arial" w:cs="Times New Roman"/>
      <w:szCs w:val="24"/>
    </w:rPr>
  </w:style>
  <w:style w:type="numbering" w:customStyle="1" w:styleId="NumbLstBTBullet">
    <w:name w:val="NumbLstBTBullet"/>
    <w:aliases w:val="Bullets"/>
    <w:uiPriority w:val="99"/>
    <w:rsid w:val="000A5C48"/>
    <w:pPr>
      <w:numPr>
        <w:numId w:val="8"/>
      </w:numPr>
    </w:pPr>
  </w:style>
  <w:style w:type="character" w:customStyle="1" w:styleId="BTBullet1LastChar">
    <w:name w:val="BTBullet1Last Char"/>
    <w:link w:val="BTBullet1Last"/>
    <w:uiPriority w:val="11"/>
    <w:locked/>
    <w:rsid w:val="000A5C48"/>
    <w:rPr>
      <w:rFonts w:ascii="Arial" w:hAnsi="Arial" w:cs="Times New Roman"/>
      <w:szCs w:val="24"/>
    </w:rPr>
  </w:style>
  <w:style w:type="paragraph" w:customStyle="1" w:styleId="Figure">
    <w:name w:val="Figure"/>
    <w:basedOn w:val="Normal"/>
    <w:next w:val="BodyText"/>
    <w:uiPriority w:val="11"/>
    <w:qFormat/>
    <w:rsid w:val="000A5C48"/>
    <w:pPr>
      <w:keepNext/>
      <w:keepLines/>
      <w:tabs>
        <w:tab w:val="num" w:pos="2041"/>
      </w:tabs>
      <w:spacing w:before="120" w:after="120" w:line="260" w:lineRule="atLeast"/>
      <w:ind w:left="2041" w:hanging="1190"/>
    </w:pPr>
    <w:rPr>
      <w:rFonts w:ascii="Arial" w:hAnsi="Arial" w:cs="Times New Roman"/>
      <w:color w:val="4F81BD" w:themeColor="accent1"/>
      <w:szCs w:val="24"/>
    </w:rPr>
  </w:style>
  <w:style w:type="paragraph" w:customStyle="1" w:styleId="Table">
    <w:name w:val="Table"/>
    <w:aliases w:val="9 pt,Bold,t,T,T + 10 pt + 10 pt,Table Cell,White,Text Gras,TableTitle,AnnexTable,AnnexFigure,ESTable,ESTableLeft,TableSimpleNo,ESFigure,ESFigureLeft"/>
    <w:basedOn w:val="Normal"/>
    <w:next w:val="BodyText"/>
    <w:link w:val="TableChar"/>
    <w:uiPriority w:val="29"/>
    <w:qFormat/>
    <w:rsid w:val="000A5C48"/>
    <w:pPr>
      <w:keepNext/>
      <w:spacing w:before="120" w:after="120" w:line="260" w:lineRule="atLeast"/>
      <w:ind w:left="1021"/>
    </w:pPr>
    <w:rPr>
      <w:rFonts w:ascii="Arial" w:hAnsi="Arial" w:cs="Times New Roman"/>
      <w:color w:val="4F81BD" w:themeColor="accent1"/>
      <w:szCs w:val="24"/>
    </w:rPr>
  </w:style>
  <w:style w:type="paragraph" w:customStyle="1" w:styleId="TableTextNoSpace">
    <w:name w:val="TableTextNoSpace"/>
    <w:aliases w:val="TableText"/>
    <w:basedOn w:val="Normal"/>
    <w:link w:val="TableTextChar"/>
    <w:uiPriority w:val="31"/>
    <w:qFormat/>
    <w:rsid w:val="000A5C48"/>
    <w:pPr>
      <w:spacing w:line="220" w:lineRule="atLeast"/>
      <w:ind w:left="57" w:right="57"/>
    </w:pPr>
    <w:rPr>
      <w:rFonts w:ascii="Arial" w:hAnsi="Arial" w:cs="Times New Roman"/>
      <w:sz w:val="20"/>
      <w:szCs w:val="24"/>
    </w:rPr>
  </w:style>
  <w:style w:type="paragraph" w:customStyle="1" w:styleId="TableLeft">
    <w:name w:val="TableLeft"/>
    <w:basedOn w:val="Table"/>
    <w:next w:val="Normal"/>
    <w:uiPriority w:val="6"/>
    <w:qFormat/>
    <w:rsid w:val="000A5C48"/>
    <w:pPr>
      <w:ind w:left="1077"/>
    </w:pPr>
  </w:style>
  <w:style w:type="paragraph" w:customStyle="1" w:styleId="Source">
    <w:name w:val="Source"/>
    <w:basedOn w:val="Normal"/>
    <w:next w:val="Normal"/>
    <w:uiPriority w:val="17"/>
    <w:qFormat/>
    <w:rsid w:val="000A5C48"/>
    <w:pPr>
      <w:spacing w:before="60" w:after="240" w:line="264" w:lineRule="auto"/>
    </w:pPr>
    <w:rPr>
      <w:rFonts w:ascii="Arial" w:hAnsi="Arial"/>
      <w:i/>
      <w:sz w:val="18"/>
    </w:rPr>
  </w:style>
  <w:style w:type="paragraph" w:customStyle="1" w:styleId="TableHeadingWhite">
    <w:name w:val="TableHeadingWhite"/>
    <w:aliases w:val="TableHeading"/>
    <w:basedOn w:val="Normal"/>
    <w:uiPriority w:val="30"/>
    <w:qFormat/>
    <w:rsid w:val="000A5C48"/>
  </w:style>
  <w:style w:type="character" w:customStyle="1" w:styleId="TableChar">
    <w:name w:val="Table Char"/>
    <w:basedOn w:val="DefaultParagraphFont"/>
    <w:link w:val="Table"/>
    <w:uiPriority w:val="29"/>
    <w:rsid w:val="000A5C48"/>
    <w:rPr>
      <w:rFonts w:ascii="Arial" w:hAnsi="Arial" w:cs="Times New Roman"/>
      <w:color w:val="4F81BD" w:themeColor="accent1"/>
      <w:szCs w:val="24"/>
    </w:rPr>
  </w:style>
  <w:style w:type="table" w:styleId="PlainTable2">
    <w:name w:val="Plain Table 2"/>
    <w:basedOn w:val="TableNormal"/>
    <w:uiPriority w:val="42"/>
    <w:rsid w:val="000A5C4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335545"/>
    <w:rPr>
      <w:color w:val="800080" w:themeColor="followedHyperlink"/>
      <w:u w:val="single"/>
    </w:rPr>
  </w:style>
  <w:style w:type="character" w:styleId="CommentReference">
    <w:name w:val="annotation reference"/>
    <w:basedOn w:val="DefaultParagraphFont"/>
    <w:uiPriority w:val="99"/>
    <w:unhideWhenUsed/>
    <w:qFormat/>
    <w:rsid w:val="00335545"/>
    <w:rPr>
      <w:sz w:val="16"/>
      <w:szCs w:val="16"/>
    </w:rPr>
  </w:style>
  <w:style w:type="paragraph" w:styleId="CommentText">
    <w:name w:val="annotation text"/>
    <w:basedOn w:val="Normal"/>
    <w:link w:val="CommentTextChar"/>
    <w:uiPriority w:val="99"/>
    <w:unhideWhenUsed/>
    <w:qFormat/>
    <w:rsid w:val="00335545"/>
    <w:rPr>
      <w:sz w:val="20"/>
      <w:szCs w:val="20"/>
    </w:rPr>
  </w:style>
  <w:style w:type="character" w:customStyle="1" w:styleId="CommentTextChar">
    <w:name w:val="Comment Text Char"/>
    <w:basedOn w:val="DefaultParagraphFont"/>
    <w:link w:val="CommentText"/>
    <w:uiPriority w:val="99"/>
    <w:rsid w:val="00335545"/>
    <w:rPr>
      <w:sz w:val="20"/>
      <w:szCs w:val="20"/>
    </w:rPr>
  </w:style>
  <w:style w:type="paragraph" w:styleId="CommentSubject">
    <w:name w:val="annotation subject"/>
    <w:basedOn w:val="CommentText"/>
    <w:next w:val="CommentText"/>
    <w:link w:val="CommentSubjectChar"/>
    <w:uiPriority w:val="99"/>
    <w:semiHidden/>
    <w:unhideWhenUsed/>
    <w:rsid w:val="00335545"/>
    <w:rPr>
      <w:b/>
      <w:bCs/>
    </w:rPr>
  </w:style>
  <w:style w:type="character" w:customStyle="1" w:styleId="CommentSubjectChar">
    <w:name w:val="Comment Subject Char"/>
    <w:basedOn w:val="CommentTextChar"/>
    <w:link w:val="CommentSubject"/>
    <w:uiPriority w:val="99"/>
    <w:semiHidden/>
    <w:rsid w:val="00335545"/>
    <w:rPr>
      <w:b/>
      <w:bCs/>
      <w:sz w:val="20"/>
      <w:szCs w:val="20"/>
    </w:rPr>
  </w:style>
  <w:style w:type="character" w:customStyle="1" w:styleId="Heading5Char">
    <w:name w:val="Heading 5 Char"/>
    <w:aliases w:val="Heading 5(war) Char,DNV-H5 Char,Block Label Char,Heading 5 CFMU Char,Para 5 Char,h5 Char,Level 3 - i Char,DO NOT USE_h5 Char,H5 Char,Roman list Char,Schedule A to X Char,5H Char,Lev 5 Char,Response Type Char,Response Type1 Char,l5 Char"/>
    <w:basedOn w:val="DefaultParagraphFont"/>
    <w:link w:val="Heading5"/>
    <w:uiPriority w:val="29"/>
    <w:rsid w:val="00C40FF9"/>
    <w:rPr>
      <w:rFonts w:ascii="Arial" w:eastAsiaTheme="majorEastAsia" w:hAnsi="Arial" w:cstheme="majorBidi"/>
      <w:b/>
      <w:i/>
      <w:szCs w:val="24"/>
    </w:rPr>
  </w:style>
  <w:style w:type="paragraph" w:customStyle="1" w:styleId="CaseStudy">
    <w:name w:val="CaseStudy"/>
    <w:basedOn w:val="Normal"/>
    <w:next w:val="Normal"/>
    <w:uiPriority w:val="12"/>
    <w:qFormat/>
    <w:rsid w:val="00C40FF9"/>
    <w:pPr>
      <w:numPr>
        <w:numId w:val="13"/>
      </w:numPr>
      <w:tabs>
        <w:tab w:val="num" w:pos="851"/>
        <w:tab w:val="left" w:pos="1814"/>
      </w:tabs>
      <w:spacing w:before="120" w:after="120" w:line="260" w:lineRule="atLeast"/>
      <w:ind w:left="851" w:hanging="851"/>
      <w:jc w:val="left"/>
    </w:pPr>
    <w:rPr>
      <w:rFonts w:ascii="Arial" w:hAnsi="Arial" w:cs="Times New Roman"/>
      <w:b/>
      <w:color w:val="4F81BD" w:themeColor="accent1"/>
      <w:szCs w:val="24"/>
    </w:rPr>
  </w:style>
  <w:style w:type="paragraph" w:customStyle="1" w:styleId="Evidence">
    <w:name w:val="Evidence"/>
    <w:basedOn w:val="Normal"/>
    <w:next w:val="BlockText"/>
    <w:uiPriority w:val="12"/>
    <w:qFormat/>
    <w:rsid w:val="00C40FF9"/>
    <w:pPr>
      <w:keepNext/>
      <w:keepLines/>
      <w:numPr>
        <w:ilvl w:val="1"/>
        <w:numId w:val="13"/>
      </w:numPr>
      <w:spacing w:before="120" w:after="120" w:line="260" w:lineRule="atLeast"/>
      <w:ind w:right="57"/>
      <w:jc w:val="left"/>
    </w:pPr>
    <w:rPr>
      <w:rFonts w:ascii="Arial" w:hAnsi="Arial" w:cs="Times New Roman"/>
      <w:b/>
      <w:color w:val="4F81BD" w:themeColor="accent1"/>
      <w:szCs w:val="24"/>
    </w:rPr>
  </w:style>
  <w:style w:type="paragraph" w:customStyle="1" w:styleId="Heading4NoNumb">
    <w:name w:val="Heading 4NoNumb"/>
    <w:aliases w:val="Heading4NoNumb,TaskManual"/>
    <w:basedOn w:val="Heading4"/>
    <w:next w:val="Normal"/>
    <w:uiPriority w:val="5"/>
    <w:qFormat/>
    <w:rsid w:val="00C40FF9"/>
    <w:pPr>
      <w:keepLines/>
      <w:tabs>
        <w:tab w:val="clear" w:pos="1920"/>
      </w:tabs>
      <w:spacing w:before="360" w:after="60" w:line="260" w:lineRule="atLeast"/>
      <w:ind w:left="0" w:firstLine="0"/>
      <w:jc w:val="left"/>
    </w:pPr>
    <w:rPr>
      <w:rFonts w:ascii="Arial" w:eastAsiaTheme="majorEastAsia" w:hAnsi="Arial" w:cstheme="majorBidi"/>
      <w:b/>
      <w:bCs/>
      <w:iCs/>
      <w:color w:val="95B3D7" w:themeColor="accent1" w:themeTint="99"/>
      <w:szCs w:val="28"/>
    </w:rPr>
  </w:style>
  <w:style w:type="paragraph" w:customStyle="1" w:styleId="BodyTextNoSpace">
    <w:name w:val="Body TextNoSpace"/>
    <w:aliases w:val="NormalNoSpace"/>
    <w:basedOn w:val="BodyText"/>
    <w:uiPriority w:val="1"/>
    <w:qFormat/>
    <w:rsid w:val="00C40FF9"/>
    <w:pPr>
      <w:spacing w:before="0" w:after="0"/>
      <w:ind w:firstLine="0"/>
      <w:jc w:val="left"/>
    </w:pPr>
  </w:style>
  <w:style w:type="paragraph" w:customStyle="1" w:styleId="Recommendation">
    <w:name w:val="Recommendation"/>
    <w:basedOn w:val="Normal"/>
    <w:next w:val="Normal"/>
    <w:uiPriority w:val="6"/>
    <w:qFormat/>
    <w:rsid w:val="00C40FF9"/>
    <w:pPr>
      <w:numPr>
        <w:ilvl w:val="3"/>
        <w:numId w:val="13"/>
      </w:numPr>
      <w:spacing w:before="120" w:after="120" w:line="260" w:lineRule="atLeast"/>
      <w:ind w:right="113"/>
      <w:jc w:val="left"/>
    </w:pPr>
    <w:rPr>
      <w:rFonts w:ascii="Arial Bold" w:hAnsi="Arial Bold" w:cs="Times New Roman"/>
      <w:b/>
      <w:color w:val="4F81BD" w:themeColor="accent1"/>
      <w:szCs w:val="24"/>
    </w:rPr>
  </w:style>
  <w:style w:type="paragraph" w:customStyle="1" w:styleId="Conclusion">
    <w:name w:val="Conclusion"/>
    <w:basedOn w:val="Normal"/>
    <w:next w:val="Normal"/>
    <w:uiPriority w:val="6"/>
    <w:qFormat/>
    <w:rsid w:val="00C40FF9"/>
    <w:pPr>
      <w:numPr>
        <w:ilvl w:val="2"/>
        <w:numId w:val="13"/>
      </w:numPr>
      <w:spacing w:before="120" w:after="120" w:line="260" w:lineRule="atLeast"/>
      <w:ind w:right="113"/>
      <w:jc w:val="left"/>
    </w:pPr>
    <w:rPr>
      <w:rFonts w:ascii="Arial Bold" w:hAnsi="Arial Bold" w:cs="Times New Roman"/>
      <w:b/>
      <w:color w:val="4F81BD" w:themeColor="accent1"/>
      <w:szCs w:val="24"/>
    </w:rPr>
  </w:style>
  <w:style w:type="numbering" w:customStyle="1" w:styleId="NumbLstBoxes">
    <w:name w:val="NumbLstBoxes"/>
    <w:uiPriority w:val="99"/>
    <w:rsid w:val="00C40FF9"/>
    <w:pPr>
      <w:numPr>
        <w:numId w:val="10"/>
      </w:numPr>
    </w:pPr>
  </w:style>
  <w:style w:type="numbering" w:customStyle="1" w:styleId="NumbLstMain">
    <w:name w:val="NumbLstMain"/>
    <w:aliases w:val="NumbListHeading,NumbLstAnnex,NumbLstExecSumm,NumbLstStage,NumbLstTableSimpleNo,NumbLstAnnex2"/>
    <w:uiPriority w:val="99"/>
    <w:rsid w:val="00C40FF9"/>
    <w:pPr>
      <w:numPr>
        <w:numId w:val="12"/>
      </w:numPr>
    </w:pPr>
  </w:style>
  <w:style w:type="paragraph" w:customStyle="1" w:styleId="BoxNumb">
    <w:name w:val="BoxNumb"/>
    <w:basedOn w:val="Normal"/>
    <w:next w:val="Normal"/>
    <w:uiPriority w:val="6"/>
    <w:qFormat/>
    <w:rsid w:val="00C40FF9"/>
    <w:pPr>
      <w:keepNext/>
      <w:keepLines/>
      <w:numPr>
        <w:ilvl w:val="4"/>
        <w:numId w:val="13"/>
      </w:numPr>
      <w:spacing w:before="120" w:after="120" w:line="260" w:lineRule="atLeast"/>
      <w:ind w:right="113"/>
      <w:jc w:val="left"/>
    </w:pPr>
    <w:rPr>
      <w:rFonts w:ascii="Arial Bold" w:hAnsi="Arial Bold" w:cs="Times New Roman"/>
      <w:b/>
      <w:color w:val="4F81BD" w:themeColor="accent1"/>
      <w:szCs w:val="24"/>
    </w:rPr>
  </w:style>
  <w:style w:type="paragraph" w:customStyle="1" w:styleId="Box">
    <w:name w:val="Box"/>
    <w:basedOn w:val="Normal"/>
    <w:next w:val="BodyText"/>
    <w:uiPriority w:val="6"/>
    <w:qFormat/>
    <w:rsid w:val="00C40FF9"/>
    <w:pPr>
      <w:spacing w:before="120" w:after="120" w:line="260" w:lineRule="atLeast"/>
      <w:ind w:left="1928" w:hanging="1077"/>
      <w:jc w:val="left"/>
    </w:pPr>
    <w:rPr>
      <w:rFonts w:ascii="Arial" w:hAnsi="Arial" w:cs="Times New Roman"/>
      <w:b/>
      <w:color w:val="4F81BD" w:themeColor="accent1"/>
      <w:szCs w:val="24"/>
    </w:rPr>
  </w:style>
  <w:style w:type="paragraph" w:customStyle="1" w:styleId="Bullet1">
    <w:name w:val="Bullet1"/>
    <w:aliases w:val="Bullet 1,b1,bullets"/>
    <w:basedOn w:val="Normal"/>
    <w:uiPriority w:val="6"/>
    <w:qFormat/>
    <w:rsid w:val="00C40FF9"/>
    <w:pPr>
      <w:tabs>
        <w:tab w:val="num" w:pos="340"/>
      </w:tabs>
      <w:spacing w:line="260" w:lineRule="atLeast"/>
      <w:ind w:left="340" w:hanging="340"/>
      <w:jc w:val="left"/>
    </w:pPr>
    <w:rPr>
      <w:rFonts w:ascii="Arial" w:hAnsi="Arial" w:cs="Times New Roman"/>
      <w:szCs w:val="24"/>
    </w:rPr>
  </w:style>
  <w:style w:type="paragraph" w:customStyle="1" w:styleId="Bullet2">
    <w:name w:val="Bullet2"/>
    <w:aliases w:val="Bullet 2"/>
    <w:basedOn w:val="Normal"/>
    <w:uiPriority w:val="6"/>
    <w:qFormat/>
    <w:rsid w:val="00C40FF9"/>
    <w:pPr>
      <w:tabs>
        <w:tab w:val="num" w:pos="1440"/>
      </w:tabs>
      <w:spacing w:line="260" w:lineRule="atLeast"/>
      <w:ind w:left="1440" w:hanging="720"/>
      <w:jc w:val="left"/>
    </w:pPr>
    <w:rPr>
      <w:rFonts w:ascii="Arial" w:hAnsi="Arial" w:cs="Times New Roman"/>
      <w:szCs w:val="24"/>
    </w:rPr>
  </w:style>
  <w:style w:type="paragraph" w:customStyle="1" w:styleId="Bullet3">
    <w:name w:val="Bullet3"/>
    <w:aliases w:val="Bullet 3"/>
    <w:basedOn w:val="Normal"/>
    <w:uiPriority w:val="6"/>
    <w:qFormat/>
    <w:rsid w:val="00C40FF9"/>
    <w:pPr>
      <w:tabs>
        <w:tab w:val="num" w:pos="2160"/>
      </w:tabs>
      <w:spacing w:line="260" w:lineRule="atLeast"/>
      <w:ind w:left="2160" w:hanging="720"/>
      <w:jc w:val="left"/>
    </w:pPr>
    <w:rPr>
      <w:rFonts w:ascii="Arial" w:hAnsi="Arial" w:cs="Times New Roman"/>
      <w:szCs w:val="24"/>
    </w:rPr>
  </w:style>
  <w:style w:type="numbering" w:customStyle="1" w:styleId="NumbLstBullet">
    <w:name w:val="NumbLstBullet"/>
    <w:uiPriority w:val="99"/>
    <w:rsid w:val="00C40FF9"/>
    <w:pPr>
      <w:numPr>
        <w:numId w:val="11"/>
      </w:numPr>
    </w:pPr>
  </w:style>
  <w:style w:type="paragraph" w:customStyle="1" w:styleId="FigureLeft">
    <w:name w:val="FigureLeft"/>
    <w:basedOn w:val="Figure"/>
    <w:next w:val="Normal"/>
    <w:uiPriority w:val="6"/>
    <w:qFormat/>
    <w:rsid w:val="00C40FF9"/>
    <w:pPr>
      <w:numPr>
        <w:ilvl w:val="5"/>
        <w:numId w:val="15"/>
      </w:numPr>
      <w:ind w:left="1191" w:hanging="1191"/>
      <w:jc w:val="left"/>
    </w:pPr>
  </w:style>
  <w:style w:type="paragraph" w:styleId="BlockText">
    <w:name w:val="Block Text"/>
    <w:basedOn w:val="Normal"/>
    <w:uiPriority w:val="99"/>
    <w:semiHidden/>
    <w:unhideWhenUsed/>
    <w:rsid w:val="00C40FF9"/>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customStyle="1" w:styleId="Times">
    <w:name w:val="Times"/>
    <w:basedOn w:val="FootnoteText"/>
    <w:rsid w:val="007F1833"/>
    <w:pPr>
      <w:spacing w:after="0"/>
    </w:pPr>
    <w:rPr>
      <w:sz w:val="18"/>
      <w:szCs w:val="18"/>
    </w:rPr>
  </w:style>
  <w:style w:type="paragraph" w:customStyle="1" w:styleId="FootnotesEC">
    <w:name w:val="Footnotes EC"/>
    <w:basedOn w:val="FootnoteText"/>
    <w:link w:val="FootnotesECChar"/>
    <w:autoRedefine/>
    <w:qFormat/>
    <w:rsid w:val="00B260C0"/>
    <w:pPr>
      <w:spacing w:after="0" w:line="276" w:lineRule="auto"/>
      <w:ind w:left="0" w:firstLine="0"/>
      <w:jc w:val="left"/>
    </w:pPr>
    <w:rPr>
      <w:rFonts w:ascii="Verdana" w:eastAsiaTheme="minorEastAsia" w:hAnsi="Verdana" w:cstheme="minorBidi"/>
      <w:sz w:val="16"/>
      <w:szCs w:val="16"/>
    </w:rPr>
  </w:style>
  <w:style w:type="character" w:customStyle="1" w:styleId="FootnotesECChar">
    <w:name w:val="Footnotes EC Char"/>
    <w:basedOn w:val="DefaultParagraphFont"/>
    <w:link w:val="FootnotesEC"/>
    <w:rsid w:val="00B260C0"/>
    <w:rPr>
      <w:rFonts w:ascii="Verdana" w:eastAsiaTheme="minorEastAsia" w:hAnsi="Verdana"/>
      <w:sz w:val="16"/>
      <w:szCs w:val="16"/>
      <w:lang w:eastAsia="en-GB"/>
    </w:rPr>
  </w:style>
  <w:style w:type="character" w:customStyle="1" w:styleId="BodyTextECChar">
    <w:name w:val="Body Text EC Char"/>
    <w:basedOn w:val="DefaultParagraphFont"/>
    <w:link w:val="BodyTextEC"/>
    <w:locked/>
    <w:rsid w:val="00B260C0"/>
    <w:rPr>
      <w:rFonts w:ascii="Verdana" w:hAnsi="Verdana"/>
      <w:color w:val="000000" w:themeColor="text1"/>
      <w:szCs w:val="16"/>
    </w:rPr>
  </w:style>
  <w:style w:type="paragraph" w:customStyle="1" w:styleId="BodyTextEC">
    <w:name w:val="Body Text EC"/>
    <w:basedOn w:val="Normal"/>
    <w:next w:val="Normal"/>
    <w:link w:val="BodyTextECChar"/>
    <w:qFormat/>
    <w:rsid w:val="00B260C0"/>
    <w:pPr>
      <w:spacing w:after="120" w:line="276" w:lineRule="auto"/>
      <w:ind w:left="0" w:firstLine="0"/>
      <w:jc w:val="left"/>
    </w:pPr>
    <w:rPr>
      <w:rFonts w:ascii="Verdana" w:hAnsi="Verdana"/>
      <w:color w:val="000000" w:themeColor="text1"/>
      <w:szCs w:val="16"/>
    </w:rPr>
  </w:style>
  <w:style w:type="paragraph" w:customStyle="1" w:styleId="Body">
    <w:name w:val="Body"/>
    <w:basedOn w:val="Normal"/>
    <w:link w:val="BodyChar"/>
    <w:rsid w:val="00C65165"/>
    <w:pPr>
      <w:widowControl w:val="0"/>
      <w:spacing w:line="276" w:lineRule="auto"/>
      <w:ind w:left="0" w:firstLine="0"/>
      <w:jc w:val="left"/>
    </w:pPr>
    <w:rPr>
      <w:rFonts w:ascii="Verdana" w:hAnsi="Verdana"/>
      <w:sz w:val="20"/>
      <w:lang w:val="fr-BE"/>
    </w:rPr>
  </w:style>
  <w:style w:type="character" w:customStyle="1" w:styleId="BodyChar">
    <w:name w:val="Body Char"/>
    <w:link w:val="Body"/>
    <w:rsid w:val="00C65165"/>
    <w:rPr>
      <w:rFonts w:ascii="Verdana" w:hAnsi="Verdana"/>
      <w:sz w:val="20"/>
      <w:lang w:val="fr-BE"/>
    </w:rPr>
  </w:style>
  <w:style w:type="paragraph" w:customStyle="1" w:styleId="Inter-titles">
    <w:name w:val="Inter-titles"/>
    <w:basedOn w:val="Normal"/>
    <w:link w:val="Inter-titlesChar"/>
    <w:qFormat/>
    <w:rsid w:val="003A08BA"/>
    <w:pPr>
      <w:tabs>
        <w:tab w:val="right" w:leader="dot" w:pos="8640"/>
      </w:tabs>
      <w:spacing w:before="240" w:after="240" w:line="276" w:lineRule="auto"/>
      <w:ind w:left="0" w:right="71" w:firstLine="0"/>
      <w:jc w:val="left"/>
    </w:pPr>
    <w:rPr>
      <w:rFonts w:ascii="Verdana" w:eastAsia="Calibri" w:hAnsi="Verdana"/>
      <w:b/>
      <w:i/>
      <w:color w:val="263673"/>
    </w:rPr>
  </w:style>
  <w:style w:type="character" w:customStyle="1" w:styleId="Inter-titlesChar">
    <w:name w:val="Inter-titles Char"/>
    <w:basedOn w:val="DefaultParagraphFont"/>
    <w:link w:val="Inter-titles"/>
    <w:rsid w:val="003A08BA"/>
    <w:rPr>
      <w:rFonts w:ascii="Verdana" w:eastAsia="Calibri" w:hAnsi="Verdana"/>
      <w:b/>
      <w:i/>
      <w:color w:val="263673"/>
    </w:rPr>
  </w:style>
  <w:style w:type="character" w:styleId="Strong">
    <w:name w:val="Strong"/>
    <w:basedOn w:val="DefaultParagraphFont"/>
    <w:uiPriority w:val="22"/>
    <w:qFormat/>
    <w:rsid w:val="003A08BA"/>
    <w:rPr>
      <w:b/>
      <w:bCs/>
    </w:rPr>
  </w:style>
  <w:style w:type="paragraph" w:customStyle="1" w:styleId="DocumentTitle">
    <w:name w:val="Document Title"/>
    <w:aliases w:val="DocTitle"/>
    <w:basedOn w:val="Normal"/>
    <w:link w:val="DocumentTitleChar"/>
    <w:uiPriority w:val="99"/>
    <w:qFormat/>
    <w:rsid w:val="003A08BA"/>
    <w:pPr>
      <w:spacing w:after="200" w:line="276" w:lineRule="auto"/>
      <w:ind w:left="0" w:firstLine="0"/>
      <w:jc w:val="center"/>
    </w:pPr>
    <w:rPr>
      <w:rFonts w:ascii="Verdana" w:hAnsi="Verdana"/>
      <w:b/>
      <w:sz w:val="52"/>
    </w:rPr>
  </w:style>
  <w:style w:type="character" w:customStyle="1" w:styleId="DocumentTitleChar">
    <w:name w:val="Document Title Char"/>
    <w:link w:val="DocumentTitle"/>
    <w:rsid w:val="003A08BA"/>
    <w:rPr>
      <w:rFonts w:ascii="Verdana" w:hAnsi="Verdana"/>
      <w:b/>
      <w:sz w:val="52"/>
    </w:rPr>
  </w:style>
  <w:style w:type="paragraph" w:customStyle="1" w:styleId="DocumentSubtitle">
    <w:name w:val="Document Subtitle"/>
    <w:aliases w:val="DocSubTitle"/>
    <w:basedOn w:val="DocumentTitle"/>
    <w:link w:val="DocumentSubtitleChar"/>
    <w:uiPriority w:val="99"/>
    <w:qFormat/>
    <w:rsid w:val="003A08BA"/>
    <w:rPr>
      <w:b w:val="0"/>
      <w:sz w:val="32"/>
      <w:szCs w:val="36"/>
    </w:rPr>
  </w:style>
  <w:style w:type="character" w:customStyle="1" w:styleId="DocumentSubtitleChar">
    <w:name w:val="Document Subtitle Char"/>
    <w:link w:val="DocumentSubtitle"/>
    <w:rsid w:val="003A08BA"/>
    <w:rPr>
      <w:rFonts w:ascii="Verdana" w:hAnsi="Verdana"/>
      <w:sz w:val="32"/>
      <w:szCs w:val="36"/>
    </w:rPr>
  </w:style>
  <w:style w:type="paragraph" w:styleId="ListBullet2">
    <w:name w:val="List Bullet 2"/>
    <w:basedOn w:val="Normal"/>
    <w:rsid w:val="00573116"/>
    <w:pPr>
      <w:tabs>
        <w:tab w:val="num" w:pos="227"/>
      </w:tabs>
      <w:spacing w:before="60" w:after="60"/>
      <w:ind w:left="227" w:hanging="227"/>
      <w:jc w:val="left"/>
    </w:pPr>
    <w:rPr>
      <w:rFonts w:ascii="Verdana" w:eastAsia="Times New Roman" w:hAnsi="Verdana" w:cs="Times New Roman"/>
      <w:color w:val="333333"/>
      <w:sz w:val="20"/>
      <w:szCs w:val="24"/>
      <w:lang w:eastAsia="en-GB"/>
    </w:rPr>
  </w:style>
  <w:style w:type="paragraph" w:styleId="ListParagraph">
    <w:name w:val="List Paragraph"/>
    <w:aliases w:val="Bullet List Paragraph,List Paragraph1,Elenco a colori - Colore 11,List Paragraph Char Char Char,Indicator Text,Bullet Points,MAIN CONTENT,OBC Bullet,List Paragraph12,Dot pt,No Spacing1,Numbered Para 1,List Paragraph11,F5 List Paragraph"/>
    <w:basedOn w:val="ListBullet2"/>
    <w:link w:val="ListParagraphChar"/>
    <w:uiPriority w:val="34"/>
    <w:qFormat/>
    <w:rsid w:val="00573116"/>
    <w:pPr>
      <w:tabs>
        <w:tab w:val="clear" w:pos="227"/>
      </w:tabs>
      <w:contextualSpacing/>
      <w:jc w:val="both"/>
    </w:pPr>
  </w:style>
  <w:style w:type="character" w:customStyle="1" w:styleId="ListParagraphChar">
    <w:name w:val="List Paragraph Char"/>
    <w:aliases w:val="Bullet List Paragraph Char,List Paragraph1 Char,Elenco a colori - Colore 11 Char,List Paragraph Char Char Char Char,Indicator Text Char,Bullet Points Char,MAIN CONTENT Char,OBC Bullet Char,List Paragraph12 Char,Dot pt Char"/>
    <w:basedOn w:val="DefaultParagraphFont"/>
    <w:link w:val="ListParagraph"/>
    <w:uiPriority w:val="34"/>
    <w:qFormat/>
    <w:locked/>
    <w:rsid w:val="00573116"/>
    <w:rPr>
      <w:rFonts w:ascii="Verdana" w:eastAsia="Times New Roman" w:hAnsi="Verdana" w:cs="Times New Roman"/>
      <w:color w:val="333333"/>
      <w:sz w:val="20"/>
      <w:szCs w:val="24"/>
      <w:lang w:eastAsia="en-GB"/>
    </w:rPr>
  </w:style>
  <w:style w:type="paragraph" w:styleId="TOC3">
    <w:name w:val="toc 3"/>
    <w:basedOn w:val="Normal"/>
    <w:next w:val="Normal"/>
    <w:autoRedefine/>
    <w:uiPriority w:val="39"/>
    <w:unhideWhenUsed/>
    <w:rsid w:val="00F91E05"/>
    <w:pPr>
      <w:tabs>
        <w:tab w:val="left" w:pos="1077"/>
        <w:tab w:val="right" w:leader="dot" w:pos="8608"/>
      </w:tabs>
      <w:spacing w:after="100"/>
      <w:ind w:left="440"/>
    </w:pPr>
  </w:style>
  <w:style w:type="numbering" w:customStyle="1" w:styleId="Bullets1">
    <w:name w:val="Bullets1"/>
    <w:uiPriority w:val="99"/>
    <w:rsid w:val="00066706"/>
  </w:style>
  <w:style w:type="paragraph" w:customStyle="1" w:styleId="TableSource">
    <w:name w:val="TableSource"/>
    <w:basedOn w:val="Normal"/>
    <w:next w:val="Normal"/>
    <w:uiPriority w:val="33"/>
    <w:qFormat/>
    <w:rsid w:val="0072046F"/>
    <w:pPr>
      <w:spacing w:before="120" w:after="120"/>
      <w:ind w:left="0" w:firstLine="0"/>
      <w:jc w:val="left"/>
    </w:pPr>
    <w:rPr>
      <w:rFonts w:ascii="Verdana" w:hAnsi="Verdana"/>
      <w:i/>
      <w:color w:val="000000" w:themeColor="text1"/>
      <w:sz w:val="20"/>
    </w:rPr>
  </w:style>
  <w:style w:type="paragraph" w:customStyle="1" w:styleId="Heading2NoNumb">
    <w:name w:val="Heading 2NoNumb"/>
    <w:aliases w:val="Heading2NoNumb,BoxTitle"/>
    <w:basedOn w:val="Heading2"/>
    <w:next w:val="Normal"/>
    <w:uiPriority w:val="5"/>
    <w:qFormat/>
    <w:rsid w:val="0072046F"/>
    <w:pPr>
      <w:keepLines/>
      <w:tabs>
        <w:tab w:val="clear" w:pos="1200"/>
      </w:tabs>
      <w:spacing w:before="120" w:after="120"/>
      <w:ind w:left="0" w:firstLine="0"/>
      <w:jc w:val="left"/>
    </w:pPr>
    <w:rPr>
      <w:rFonts w:ascii="Verdana" w:eastAsiaTheme="majorEastAsia" w:hAnsi="Verdana" w:cstheme="majorBidi"/>
      <w:bCs/>
      <w:sz w:val="22"/>
      <w:szCs w:val="26"/>
    </w:rPr>
  </w:style>
  <w:style w:type="numbering" w:customStyle="1" w:styleId="NumblistTables">
    <w:name w:val="Numblist Tables"/>
    <w:uiPriority w:val="99"/>
    <w:rsid w:val="0072046F"/>
    <w:pPr>
      <w:numPr>
        <w:numId w:val="65"/>
      </w:numPr>
    </w:pPr>
  </w:style>
  <w:style w:type="character" w:styleId="IntenseEmphasis">
    <w:name w:val="Intense Emphasis"/>
    <w:basedOn w:val="DefaultParagraphFont"/>
    <w:uiPriority w:val="99"/>
    <w:qFormat/>
    <w:rsid w:val="00A125DF"/>
    <w:rPr>
      <w:i/>
      <w:iCs/>
      <w:color w:val="4F81BD" w:themeColor="accent1"/>
    </w:rPr>
  </w:style>
  <w:style w:type="paragraph" w:customStyle="1" w:styleId="FigureTitle">
    <w:name w:val="Figure Title"/>
    <w:basedOn w:val="Normal"/>
    <w:uiPriority w:val="29"/>
    <w:qFormat/>
    <w:rsid w:val="00A125DF"/>
    <w:pPr>
      <w:keepNext/>
      <w:keepLines/>
      <w:numPr>
        <w:numId w:val="182"/>
      </w:numPr>
      <w:spacing w:before="120" w:after="120"/>
      <w:jc w:val="left"/>
      <w:outlineLvl w:val="2"/>
    </w:pPr>
    <w:rPr>
      <w:rFonts w:ascii="Verdana" w:eastAsiaTheme="majorEastAsia" w:hAnsi="Verdana" w:cstheme="majorBidi"/>
      <w:bCs/>
      <w:i/>
      <w:sz w:val="20"/>
    </w:rPr>
  </w:style>
  <w:style w:type="numbering" w:customStyle="1" w:styleId="NumbListFigures">
    <w:name w:val="NumbList Figures"/>
    <w:uiPriority w:val="99"/>
    <w:rsid w:val="00A125DF"/>
    <w:pPr>
      <w:numPr>
        <w:numId w:val="68"/>
      </w:numPr>
    </w:pPr>
  </w:style>
  <w:style w:type="paragraph" w:customStyle="1" w:styleId="Source2">
    <w:name w:val="Source2"/>
    <w:basedOn w:val="Normal"/>
    <w:link w:val="Source2Char"/>
    <w:uiPriority w:val="17"/>
    <w:qFormat/>
    <w:rsid w:val="00A125DF"/>
    <w:pPr>
      <w:spacing w:after="240"/>
      <w:ind w:left="0" w:firstLine="0"/>
      <w:jc w:val="left"/>
    </w:pPr>
    <w:rPr>
      <w:rFonts w:ascii="Verdana" w:hAnsi="Verdana"/>
      <w:i/>
      <w:iCs/>
      <w:color w:val="000000" w:themeColor="text1"/>
      <w:sz w:val="18"/>
      <w:szCs w:val="20"/>
    </w:rPr>
  </w:style>
  <w:style w:type="character" w:customStyle="1" w:styleId="Source2Char">
    <w:name w:val="Source2 Char"/>
    <w:basedOn w:val="DefaultParagraphFont"/>
    <w:link w:val="Source2"/>
    <w:uiPriority w:val="17"/>
    <w:rsid w:val="00A125DF"/>
    <w:rPr>
      <w:rFonts w:ascii="Verdana" w:hAnsi="Verdana"/>
      <w:i/>
      <w:iCs/>
      <w:color w:val="000000" w:themeColor="text1"/>
      <w:sz w:val="18"/>
      <w:szCs w:val="20"/>
    </w:rPr>
  </w:style>
  <w:style w:type="table" w:styleId="GridTable4-Accent1">
    <w:name w:val="Grid Table 4 Accent 1"/>
    <w:basedOn w:val="TableNormal"/>
    <w:uiPriority w:val="49"/>
    <w:rsid w:val="001E41F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E8276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5">
    <w:name w:val="Grid Table 4 Accent 5"/>
    <w:basedOn w:val="TableNormal"/>
    <w:uiPriority w:val="49"/>
    <w:rsid w:val="00E8276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3">
    <w:name w:val="Grid Table 4 Accent 3"/>
    <w:basedOn w:val="TableNormal"/>
    <w:uiPriority w:val="49"/>
    <w:rsid w:val="00E8276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2">
    <w:name w:val="Grid Table 4 Accent 2"/>
    <w:basedOn w:val="TableNormal"/>
    <w:uiPriority w:val="49"/>
    <w:rsid w:val="00F1239C"/>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5Dark-Accent4">
    <w:name w:val="Grid Table 5 Dark Accent 4"/>
    <w:basedOn w:val="TableNormal"/>
    <w:uiPriority w:val="50"/>
    <w:rsid w:val="001719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4">
    <w:name w:val="Grid Table 4"/>
    <w:basedOn w:val="TableNormal"/>
    <w:uiPriority w:val="49"/>
    <w:rsid w:val="0017191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F6634F"/>
    <w:pPr>
      <w:ind w:left="0" w:firstLine="0"/>
      <w:jc w:val="left"/>
    </w:pPr>
  </w:style>
  <w:style w:type="table" w:styleId="ListTable4">
    <w:name w:val="List Table 4"/>
    <w:basedOn w:val="TableNormal"/>
    <w:uiPriority w:val="49"/>
    <w:rsid w:val="00927B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BF7076"/>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4-Accent31">
    <w:name w:val="Grid Table 4 - Accent 31"/>
    <w:basedOn w:val="TableNormal"/>
    <w:next w:val="GridTable4-Accent3"/>
    <w:uiPriority w:val="49"/>
    <w:rsid w:val="00B00133"/>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Normal1">
    <w:name w:val="Normal1"/>
    <w:basedOn w:val="Normal"/>
    <w:rsid w:val="00B948B4"/>
    <w:pPr>
      <w:spacing w:before="100" w:beforeAutospacing="1" w:after="100" w:afterAutospacing="1"/>
      <w:ind w:left="0" w:firstLine="0"/>
      <w:jc w:val="left"/>
    </w:pPr>
    <w:rPr>
      <w:rFonts w:ascii="Times New Roman" w:eastAsia="Times New Roman" w:hAnsi="Times New Roman" w:cs="Times New Roman"/>
      <w:sz w:val="24"/>
      <w:szCs w:val="24"/>
      <w:lang w:val="en-IE" w:eastAsia="en-IE"/>
    </w:rPr>
  </w:style>
  <w:style w:type="paragraph" w:customStyle="1" w:styleId="norm">
    <w:name w:val="norm"/>
    <w:basedOn w:val="Normal"/>
    <w:rsid w:val="00E14AF3"/>
    <w:pPr>
      <w:spacing w:before="100" w:beforeAutospacing="1" w:after="100" w:afterAutospacing="1"/>
      <w:ind w:left="0" w:firstLine="0"/>
      <w:jc w:val="left"/>
    </w:pPr>
    <w:rPr>
      <w:rFonts w:ascii="Times New Roman" w:eastAsia="Times New Roman" w:hAnsi="Times New Roman" w:cs="Times New Roman"/>
      <w:sz w:val="24"/>
      <w:szCs w:val="24"/>
      <w:lang w:val="en-IE" w:eastAsia="en-IE"/>
    </w:rPr>
  </w:style>
  <w:style w:type="table" w:styleId="ListTable3-Accent5">
    <w:name w:val="List Table 3 Accent 5"/>
    <w:basedOn w:val="TableNormal"/>
    <w:uiPriority w:val="48"/>
    <w:rsid w:val="002E6168"/>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TOC4">
    <w:name w:val="toc 4"/>
    <w:basedOn w:val="Normal"/>
    <w:next w:val="Normal"/>
    <w:autoRedefine/>
    <w:uiPriority w:val="39"/>
    <w:unhideWhenUsed/>
    <w:rsid w:val="002E6168"/>
    <w:pPr>
      <w:spacing w:after="100" w:line="259" w:lineRule="auto"/>
      <w:ind w:left="660" w:firstLine="0"/>
      <w:jc w:val="left"/>
    </w:pPr>
    <w:rPr>
      <w:rFonts w:eastAsiaTheme="minorEastAsia"/>
      <w:lang w:val="fr-BE" w:eastAsia="fr-BE"/>
    </w:rPr>
  </w:style>
  <w:style w:type="paragraph" w:styleId="TOC5">
    <w:name w:val="toc 5"/>
    <w:basedOn w:val="Normal"/>
    <w:next w:val="Normal"/>
    <w:autoRedefine/>
    <w:uiPriority w:val="39"/>
    <w:unhideWhenUsed/>
    <w:rsid w:val="002E6168"/>
    <w:pPr>
      <w:spacing w:after="100" w:line="259" w:lineRule="auto"/>
      <w:ind w:left="880" w:firstLine="0"/>
      <w:jc w:val="left"/>
    </w:pPr>
    <w:rPr>
      <w:rFonts w:eastAsiaTheme="minorEastAsia"/>
      <w:lang w:val="fr-BE" w:eastAsia="fr-BE"/>
    </w:rPr>
  </w:style>
  <w:style w:type="paragraph" w:styleId="TOC6">
    <w:name w:val="toc 6"/>
    <w:basedOn w:val="Normal"/>
    <w:next w:val="Normal"/>
    <w:autoRedefine/>
    <w:uiPriority w:val="39"/>
    <w:unhideWhenUsed/>
    <w:rsid w:val="002E6168"/>
    <w:pPr>
      <w:spacing w:after="100" w:line="259" w:lineRule="auto"/>
      <w:ind w:left="1100" w:firstLine="0"/>
      <w:jc w:val="left"/>
    </w:pPr>
    <w:rPr>
      <w:rFonts w:eastAsiaTheme="minorEastAsia"/>
      <w:lang w:val="fr-BE" w:eastAsia="fr-BE"/>
    </w:rPr>
  </w:style>
  <w:style w:type="paragraph" w:styleId="TOC7">
    <w:name w:val="toc 7"/>
    <w:basedOn w:val="Normal"/>
    <w:next w:val="Normal"/>
    <w:autoRedefine/>
    <w:uiPriority w:val="39"/>
    <w:unhideWhenUsed/>
    <w:rsid w:val="002E6168"/>
    <w:pPr>
      <w:spacing w:after="100" w:line="259" w:lineRule="auto"/>
      <w:ind w:left="1320" w:firstLine="0"/>
      <w:jc w:val="left"/>
    </w:pPr>
    <w:rPr>
      <w:rFonts w:eastAsiaTheme="minorEastAsia"/>
      <w:lang w:val="fr-BE" w:eastAsia="fr-BE"/>
    </w:rPr>
  </w:style>
  <w:style w:type="paragraph" w:styleId="TOC8">
    <w:name w:val="toc 8"/>
    <w:basedOn w:val="Normal"/>
    <w:next w:val="Normal"/>
    <w:autoRedefine/>
    <w:uiPriority w:val="39"/>
    <w:unhideWhenUsed/>
    <w:rsid w:val="002E6168"/>
    <w:pPr>
      <w:spacing w:after="100" w:line="259" w:lineRule="auto"/>
      <w:ind w:left="1540" w:firstLine="0"/>
      <w:jc w:val="left"/>
    </w:pPr>
    <w:rPr>
      <w:rFonts w:eastAsiaTheme="minorEastAsia"/>
      <w:lang w:val="fr-BE" w:eastAsia="fr-BE"/>
    </w:rPr>
  </w:style>
  <w:style w:type="paragraph" w:styleId="TOC9">
    <w:name w:val="toc 9"/>
    <w:basedOn w:val="Normal"/>
    <w:next w:val="Normal"/>
    <w:autoRedefine/>
    <w:uiPriority w:val="39"/>
    <w:unhideWhenUsed/>
    <w:rsid w:val="002E6168"/>
    <w:pPr>
      <w:spacing w:after="100" w:line="259" w:lineRule="auto"/>
      <w:ind w:left="1760" w:firstLine="0"/>
      <w:jc w:val="left"/>
    </w:pPr>
    <w:rPr>
      <w:rFonts w:eastAsiaTheme="minorEastAsia"/>
      <w:lang w:val="fr-BE" w:eastAsia="fr-BE"/>
    </w:rPr>
  </w:style>
  <w:style w:type="paragraph" w:customStyle="1" w:styleId="FootnotesymbolCharCharChar">
    <w:name w:val="Footnote symbol Char Char Char"/>
    <w:aliases w:val="Voetnootverwijzing Char Char Char,Times 10 Point Char Char Char,Exposant 3 Point Char Char Char, Exposant 3 Point Char Char Char,Footnote Reference Superscript Char Char Char,Footnote symbol Char,FR Char"/>
    <w:basedOn w:val="Normal"/>
    <w:uiPriority w:val="99"/>
    <w:rsid w:val="009A454D"/>
    <w:pPr>
      <w:spacing w:after="160" w:line="240" w:lineRule="exact"/>
      <w:ind w:left="0" w:firstLine="0"/>
      <w:jc w:val="left"/>
    </w:pPr>
    <w:rPr>
      <w:vertAlign w:val="superscript"/>
    </w:rPr>
  </w:style>
  <w:style w:type="numbering" w:customStyle="1" w:styleId="NumbListFigure">
    <w:name w:val="NumbList Figure"/>
    <w:uiPriority w:val="99"/>
    <w:rsid w:val="00422D7A"/>
    <w:pPr>
      <w:numPr>
        <w:numId w:val="110"/>
      </w:numPr>
    </w:pPr>
  </w:style>
  <w:style w:type="paragraph" w:customStyle="1" w:styleId="Bullet2Space">
    <w:name w:val="Bullet 2 Space"/>
    <w:aliases w:val="Bullet2Last,BTBullet2Last"/>
    <w:basedOn w:val="Normal"/>
    <w:uiPriority w:val="11"/>
    <w:qFormat/>
    <w:rsid w:val="00BB7D26"/>
    <w:pPr>
      <w:numPr>
        <w:numId w:val="1"/>
      </w:numPr>
      <w:spacing w:before="120" w:after="120"/>
      <w:jc w:val="left"/>
    </w:pPr>
    <w:rPr>
      <w:rFonts w:ascii="Verdana" w:hAnsi="Verdana"/>
      <w:color w:val="000000" w:themeColor="text1"/>
      <w:sz w:val="20"/>
    </w:rPr>
  </w:style>
  <w:style w:type="numbering" w:customStyle="1" w:styleId="NumbListNumb">
    <w:name w:val="NumbList Numb"/>
    <w:aliases w:val="NumbLstNumb,BTNumbLstNumb"/>
    <w:uiPriority w:val="99"/>
    <w:rsid w:val="00835D5E"/>
    <w:pPr>
      <w:numPr>
        <w:numId w:val="113"/>
      </w:numPr>
    </w:pPr>
  </w:style>
  <w:style w:type="numbering" w:customStyle="1" w:styleId="NumblistTablesFigures">
    <w:name w:val="Numblist TablesFigures"/>
    <w:uiPriority w:val="99"/>
    <w:rsid w:val="00835D5E"/>
    <w:pPr>
      <w:numPr>
        <w:numId w:val="114"/>
      </w:numPr>
    </w:pPr>
  </w:style>
  <w:style w:type="paragraph" w:customStyle="1" w:styleId="NormalIndent1">
    <w:name w:val="Normal Indent 1"/>
    <w:aliases w:val="NormalIndent,Body TextIndent"/>
    <w:basedOn w:val="Normal"/>
    <w:uiPriority w:val="16"/>
    <w:qFormat/>
    <w:rsid w:val="006F3A6F"/>
    <w:pPr>
      <w:spacing w:before="120" w:after="120"/>
      <w:ind w:left="340" w:firstLine="0"/>
      <w:jc w:val="left"/>
    </w:pPr>
    <w:rPr>
      <w:rFonts w:ascii="Verdana" w:hAnsi="Verdana"/>
      <w:color w:val="000000" w:themeColor="text1"/>
      <w:sz w:val="20"/>
    </w:rPr>
  </w:style>
  <w:style w:type="paragraph" w:customStyle="1" w:styleId="SUPERSTegn">
    <w:name w:val="SUPERS Tegn"/>
    <w:aliases w:val="Footnote Reference Number Tegn,SUPERS Char Char Tegn,Footnote number Char Char Tegn,Footnote Char Char Tegn,Footnote symbol Char Char Tegn,Ref Char Char Tegn,de nota al pie Char Char Tegn"/>
    <w:basedOn w:val="Normal"/>
    <w:uiPriority w:val="99"/>
    <w:qFormat/>
    <w:rsid w:val="006F3A6F"/>
    <w:pPr>
      <w:spacing w:before="120" w:after="160" w:line="240" w:lineRule="exact"/>
      <w:ind w:left="0" w:firstLine="0"/>
      <w:jc w:val="left"/>
    </w:pPr>
    <w:rPr>
      <w:color w:val="000000" w:themeColor="text1"/>
      <w:vertAlign w:val="superscript"/>
    </w:rPr>
  </w:style>
  <w:style w:type="character" w:customStyle="1" w:styleId="Bullet1Char">
    <w:name w:val="Bullet 1 Char"/>
    <w:basedOn w:val="DefaultParagraphFont"/>
    <w:uiPriority w:val="6"/>
    <w:locked/>
    <w:rsid w:val="006F3A6F"/>
    <w:rPr>
      <w:rFonts w:ascii="Verdana" w:hAnsi="Verdana"/>
      <w:color w:val="000000" w:themeColor="text1"/>
      <w:sz w:val="20"/>
    </w:rPr>
  </w:style>
  <w:style w:type="character" w:customStyle="1" w:styleId="highlight">
    <w:name w:val="highlight"/>
    <w:basedOn w:val="DefaultParagraphFont"/>
    <w:rsid w:val="00054CA3"/>
  </w:style>
  <w:style w:type="numbering" w:customStyle="1" w:styleId="NumblistTables1">
    <w:name w:val="Numblist Tables1"/>
    <w:uiPriority w:val="99"/>
    <w:rsid w:val="00C23A8A"/>
  </w:style>
  <w:style w:type="character" w:customStyle="1" w:styleId="BodyTextChar1">
    <w:name w:val="Body Text Char1"/>
    <w:basedOn w:val="DefaultParagraphFont"/>
    <w:uiPriority w:val="99"/>
    <w:semiHidden/>
    <w:rsid w:val="0059117A"/>
  </w:style>
  <w:style w:type="paragraph" w:styleId="EndnoteText">
    <w:name w:val="endnote text"/>
    <w:basedOn w:val="Normal"/>
    <w:link w:val="EndnoteTextChar"/>
    <w:uiPriority w:val="99"/>
    <w:semiHidden/>
    <w:unhideWhenUsed/>
    <w:rsid w:val="00BB0165"/>
    <w:rPr>
      <w:sz w:val="20"/>
      <w:szCs w:val="20"/>
    </w:rPr>
  </w:style>
  <w:style w:type="character" w:customStyle="1" w:styleId="EndnoteTextChar">
    <w:name w:val="Endnote Text Char"/>
    <w:basedOn w:val="DefaultParagraphFont"/>
    <w:link w:val="EndnoteText"/>
    <w:uiPriority w:val="99"/>
    <w:semiHidden/>
    <w:rsid w:val="00BB0165"/>
    <w:rPr>
      <w:sz w:val="20"/>
      <w:szCs w:val="20"/>
    </w:rPr>
  </w:style>
  <w:style w:type="character" w:styleId="EndnoteReference">
    <w:name w:val="endnote reference"/>
    <w:basedOn w:val="DefaultParagraphFont"/>
    <w:uiPriority w:val="99"/>
    <w:semiHidden/>
    <w:unhideWhenUsed/>
    <w:rsid w:val="00BB0165"/>
    <w:rPr>
      <w:vertAlign w:val="superscript"/>
    </w:rPr>
  </w:style>
  <w:style w:type="paragraph" w:customStyle="1" w:styleId="ti-art">
    <w:name w:val="ti-art"/>
    <w:basedOn w:val="Normal"/>
    <w:rsid w:val="00EC276A"/>
    <w:pPr>
      <w:spacing w:before="100" w:beforeAutospacing="1" w:after="100" w:afterAutospacing="1"/>
      <w:ind w:left="0" w:firstLine="0"/>
      <w:jc w:val="left"/>
    </w:pPr>
    <w:rPr>
      <w:rFonts w:ascii="Times New Roman" w:eastAsia="Times New Roman" w:hAnsi="Times New Roman" w:cs="Times New Roman"/>
      <w:sz w:val="24"/>
      <w:szCs w:val="24"/>
      <w:lang w:val="en-IE" w:eastAsia="en-IE"/>
    </w:rPr>
  </w:style>
  <w:style w:type="paragraph" w:customStyle="1" w:styleId="sti-art">
    <w:name w:val="sti-art"/>
    <w:basedOn w:val="Normal"/>
    <w:rsid w:val="00EC276A"/>
    <w:pPr>
      <w:spacing w:before="100" w:beforeAutospacing="1" w:after="100" w:afterAutospacing="1"/>
      <w:ind w:left="0" w:firstLine="0"/>
      <w:jc w:val="left"/>
    </w:pPr>
    <w:rPr>
      <w:rFonts w:ascii="Times New Roman" w:eastAsia="Times New Roman" w:hAnsi="Times New Roman" w:cs="Times New Roman"/>
      <w:sz w:val="24"/>
      <w:szCs w:val="24"/>
      <w:lang w:val="en-IE" w:eastAsia="en-IE"/>
    </w:rPr>
  </w:style>
  <w:style w:type="character" w:customStyle="1" w:styleId="TableTextChar">
    <w:name w:val="TableText Char"/>
    <w:basedOn w:val="DefaultParagraphFont"/>
    <w:link w:val="TableTextNoSpace"/>
    <w:uiPriority w:val="31"/>
    <w:locked/>
    <w:rsid w:val="009D4465"/>
    <w:rPr>
      <w:rFonts w:ascii="Arial" w:hAnsi="Arial" w:cs="Times New Roman"/>
      <w:sz w:val="20"/>
      <w:szCs w:val="24"/>
    </w:rPr>
  </w:style>
  <w:style w:type="paragraph" w:customStyle="1" w:styleId="TableBullet1">
    <w:name w:val="Table Bullet 1"/>
    <w:aliases w:val="TableBullet,TableBulletLast"/>
    <w:basedOn w:val="TableTextNoSpace"/>
    <w:uiPriority w:val="32"/>
    <w:qFormat/>
    <w:rsid w:val="00220CF4"/>
    <w:pPr>
      <w:spacing w:before="120" w:line="240" w:lineRule="auto"/>
      <w:ind w:left="1440" w:right="0" w:hanging="360"/>
      <w:jc w:val="left"/>
    </w:pPr>
    <w:rPr>
      <w:rFonts w:ascii="Verdana" w:hAnsi="Verdana" w:cstheme="minorBidi"/>
      <w:color w:val="000000" w:themeColor="text1"/>
      <w:szCs w:val="22"/>
    </w:rPr>
  </w:style>
  <w:style w:type="numbering" w:customStyle="1" w:styleId="NumbLstTable">
    <w:name w:val="NumbLstTable"/>
    <w:aliases w:val="NumbLstTableBullet,NumbLstTableNumb"/>
    <w:uiPriority w:val="99"/>
    <w:rsid w:val="00220CF4"/>
    <w:pPr>
      <w:numPr>
        <w:numId w:val="160"/>
      </w:numPr>
    </w:pPr>
  </w:style>
  <w:style w:type="paragraph" w:customStyle="1" w:styleId="TableBullet2">
    <w:name w:val="Table Bullet 2"/>
    <w:basedOn w:val="TableTextNoSpace"/>
    <w:uiPriority w:val="33"/>
    <w:qFormat/>
    <w:rsid w:val="00220CF4"/>
    <w:pPr>
      <w:spacing w:before="120" w:line="240" w:lineRule="auto"/>
      <w:ind w:left="2880" w:right="0" w:hanging="360"/>
      <w:jc w:val="left"/>
    </w:pPr>
    <w:rPr>
      <w:rFonts w:ascii="Verdana" w:hAnsi="Verdana" w:cstheme="minorBidi"/>
      <w:color w:val="000000" w:themeColor="text1"/>
      <w:szCs w:val="22"/>
    </w:rPr>
  </w:style>
  <w:style w:type="paragraph" w:customStyle="1" w:styleId="TableBullet3">
    <w:name w:val="Table Bullet 3"/>
    <w:basedOn w:val="TableTextNoSpace"/>
    <w:uiPriority w:val="33"/>
    <w:qFormat/>
    <w:rsid w:val="00220CF4"/>
    <w:pPr>
      <w:spacing w:before="120" w:line="240" w:lineRule="auto"/>
      <w:ind w:left="4320" w:right="0" w:hanging="180"/>
      <w:jc w:val="left"/>
    </w:pPr>
    <w:rPr>
      <w:rFonts w:ascii="Verdana" w:hAnsi="Verdana" w:cstheme="minorBidi"/>
      <w:color w:val="000000" w:themeColor="text1"/>
      <w:szCs w:val="22"/>
    </w:rPr>
  </w:style>
  <w:style w:type="paragraph" w:customStyle="1" w:styleId="TableNumbList1">
    <w:name w:val="Table NumbList 1"/>
    <w:aliases w:val="TableNumbList,TableNumbListLast"/>
    <w:basedOn w:val="TableTextNoSpace"/>
    <w:uiPriority w:val="33"/>
    <w:qFormat/>
    <w:rsid w:val="00220CF4"/>
    <w:pPr>
      <w:spacing w:before="120" w:line="240" w:lineRule="auto"/>
      <w:ind w:left="720" w:right="0" w:hanging="360"/>
      <w:jc w:val="left"/>
    </w:pPr>
    <w:rPr>
      <w:rFonts w:ascii="Verdana" w:hAnsi="Verdana" w:cstheme="minorBidi"/>
      <w:color w:val="000000" w:themeColor="text1"/>
      <w:szCs w:val="22"/>
    </w:rPr>
  </w:style>
  <w:style w:type="paragraph" w:customStyle="1" w:styleId="TableNumbList2">
    <w:name w:val="Table NumbList 2"/>
    <w:basedOn w:val="TableTextNoSpace"/>
    <w:uiPriority w:val="33"/>
    <w:qFormat/>
    <w:rsid w:val="00220CF4"/>
    <w:pPr>
      <w:spacing w:before="120" w:line="240" w:lineRule="auto"/>
      <w:ind w:left="2160" w:right="0" w:hanging="180"/>
      <w:jc w:val="left"/>
    </w:pPr>
    <w:rPr>
      <w:rFonts w:ascii="Verdana" w:hAnsi="Verdana" w:cstheme="minorBidi"/>
      <w:color w:val="000000" w:themeColor="text1"/>
      <w:szCs w:val="22"/>
    </w:rPr>
  </w:style>
  <w:style w:type="paragraph" w:customStyle="1" w:styleId="TableNumbList3">
    <w:name w:val="Table NumbList 3"/>
    <w:basedOn w:val="TableTextNoSpace"/>
    <w:uiPriority w:val="33"/>
    <w:qFormat/>
    <w:rsid w:val="00220CF4"/>
    <w:pPr>
      <w:spacing w:before="120" w:line="240" w:lineRule="auto"/>
      <w:ind w:left="3600" w:right="0" w:hanging="360"/>
      <w:jc w:val="left"/>
    </w:pPr>
    <w:rPr>
      <w:rFonts w:ascii="Verdana" w:hAnsi="Verdana" w:cstheme="minorBidi"/>
      <w:color w:val="000000" w:themeColor="text1"/>
      <w:szCs w:val="22"/>
    </w:rPr>
  </w:style>
  <w:style w:type="paragraph" w:customStyle="1" w:styleId="Heading2NoNumbNoToc">
    <w:name w:val="Heading 2NoNumbNoToc"/>
    <w:aliases w:val="Heading 2NoNumbNoTOC"/>
    <w:basedOn w:val="Heading2NoNumb"/>
    <w:uiPriority w:val="22"/>
    <w:qFormat/>
    <w:rsid w:val="00EE0CD6"/>
  </w:style>
  <w:style w:type="paragraph" w:customStyle="1" w:styleId="Heading3NoNumbNoToc">
    <w:name w:val="Heading 3NoNumbNoToc"/>
    <w:aliases w:val="Heading 3NoNumbNoTOC"/>
    <w:basedOn w:val="Normal"/>
    <w:uiPriority w:val="22"/>
    <w:qFormat/>
    <w:rsid w:val="00EE0CD6"/>
    <w:pPr>
      <w:keepNext/>
      <w:keepLines/>
      <w:spacing w:before="120" w:after="120"/>
      <w:ind w:left="0" w:firstLine="0"/>
      <w:jc w:val="left"/>
      <w:outlineLvl w:val="2"/>
    </w:pPr>
    <w:rPr>
      <w:rFonts w:ascii="Verdana" w:eastAsiaTheme="majorEastAsia" w:hAnsi="Verdana" w:cstheme="majorBidi"/>
      <w:b/>
      <w:bCs/>
      <w:sz w:val="20"/>
    </w:rPr>
  </w:style>
  <w:style w:type="character" w:customStyle="1" w:styleId="Heading6Char">
    <w:name w:val="Heading 6 Char"/>
    <w:basedOn w:val="DefaultParagraphFont"/>
    <w:link w:val="Heading6"/>
    <w:uiPriority w:val="99"/>
    <w:rsid w:val="00E8509E"/>
    <w:rPr>
      <w:rFonts w:asciiTheme="majorHAnsi" w:eastAsiaTheme="majorEastAsia" w:hAnsiTheme="majorHAnsi" w:cstheme="majorBidi"/>
      <w:color w:val="243F60" w:themeColor="accent1" w:themeShade="7F"/>
      <w:sz w:val="20"/>
    </w:rPr>
  </w:style>
  <w:style w:type="character" w:customStyle="1" w:styleId="Heading7Char">
    <w:name w:val="Heading 7 Char"/>
    <w:basedOn w:val="DefaultParagraphFont"/>
    <w:link w:val="Heading7"/>
    <w:uiPriority w:val="99"/>
    <w:semiHidden/>
    <w:rsid w:val="00E8509E"/>
    <w:rPr>
      <w:rFonts w:asciiTheme="majorHAnsi" w:eastAsiaTheme="majorEastAsia" w:hAnsiTheme="majorHAnsi" w:cstheme="majorBidi"/>
      <w:i/>
      <w:iCs/>
      <w:color w:val="243F60" w:themeColor="accent1" w:themeShade="7F"/>
      <w:sz w:val="20"/>
    </w:rPr>
  </w:style>
  <w:style w:type="character" w:customStyle="1" w:styleId="Heading8Char">
    <w:name w:val="Heading 8 Char"/>
    <w:basedOn w:val="DefaultParagraphFont"/>
    <w:link w:val="Heading8"/>
    <w:uiPriority w:val="99"/>
    <w:semiHidden/>
    <w:rsid w:val="00E8509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8509E"/>
    <w:rPr>
      <w:rFonts w:asciiTheme="majorHAnsi" w:eastAsiaTheme="majorEastAsia" w:hAnsiTheme="majorHAnsi" w:cstheme="majorBidi"/>
      <w:i/>
      <w:iCs/>
      <w:color w:val="272727" w:themeColor="text1" w:themeTint="D8"/>
      <w:sz w:val="21"/>
      <w:szCs w:val="21"/>
    </w:rPr>
  </w:style>
  <w:style w:type="character" w:customStyle="1" w:styleId="Heading1Char1">
    <w:name w:val="Heading 1 Char1"/>
    <w:aliases w:val="Heading1 Char1,AnnexHeading Char1,AnnexHeading NoPage Char1,ESHeading 1 Char1,Heading 1NoSpace Char1,F3 Heading 1 - Section Char1,(Section) Char1,h1 Char1,Numbered - 1 Char1,Section Char1,Chapter Hdg Char1,CH TITLE 1 Char1,cover1 Char1"/>
    <w:basedOn w:val="DefaultParagraphFont"/>
    <w:rsid w:val="00E8509E"/>
    <w:rPr>
      <w:rFonts w:asciiTheme="majorHAnsi" w:eastAsiaTheme="majorEastAsia" w:hAnsiTheme="majorHAnsi" w:cstheme="majorBidi"/>
      <w:color w:val="365F91" w:themeColor="accent1" w:themeShade="BF"/>
      <w:sz w:val="32"/>
      <w:szCs w:val="32"/>
    </w:rPr>
  </w:style>
  <w:style w:type="character" w:customStyle="1" w:styleId="Heading2Char1">
    <w:name w:val="Heading 2 Char1"/>
    <w:aliases w:val="Heading2 Char1,AnnexH2 Char1,ESHeading 2 Char1,BoxNumb Char1,CaseStudy Char1,Conclusion Char1,Evidence Char1,Recommendation Char1,F4 Heading 2 - SubSection Char1,(SubSection) Char1,h2 Char1,Para Nos Char1,Para Char1,Main Heading Char1"/>
    <w:basedOn w:val="DefaultParagraphFont"/>
    <w:semiHidden/>
    <w:rsid w:val="00E8509E"/>
    <w:rPr>
      <w:rFonts w:asciiTheme="majorHAnsi" w:eastAsiaTheme="majorEastAsia" w:hAnsiTheme="majorHAnsi" w:cstheme="majorBidi"/>
      <w:color w:val="365F91" w:themeColor="accent1" w:themeShade="BF"/>
      <w:sz w:val="26"/>
      <w:szCs w:val="26"/>
    </w:rPr>
  </w:style>
  <w:style w:type="character" w:customStyle="1" w:styleId="Heading3Char1">
    <w:name w:val="Heading 3 Char1"/>
    <w:aliases w:val="Heading3 Char1,AnnexH3 Char1,ESHeading 3 Char1,Box Char1,Stage Char1,F5 Heading 3 Char1,h3 Char1,Numbered - 3 Char1,H3 Char1,H31 Char1,Headline 3 Char1,h31 Char1,h32 Char1,Sub Paragraph Char1,Voorwoord Char1,ASAPHeading 3 Char1,3 Char1"/>
    <w:basedOn w:val="DefaultParagraphFont"/>
    <w:uiPriority w:val="6"/>
    <w:semiHidden/>
    <w:rsid w:val="00E8509E"/>
    <w:rPr>
      <w:rFonts w:asciiTheme="majorHAnsi" w:eastAsiaTheme="majorEastAsia" w:hAnsiTheme="majorHAnsi" w:cstheme="majorBidi"/>
      <w:color w:val="243F60" w:themeColor="accent1" w:themeShade="7F"/>
      <w:sz w:val="24"/>
      <w:szCs w:val="24"/>
    </w:rPr>
  </w:style>
  <w:style w:type="character" w:customStyle="1" w:styleId="Heading4Char1">
    <w:name w:val="Heading 4 Char1"/>
    <w:aliases w:val="Heading4 Char1,AnnexH4 Char1,ESHeading 4 Char1,GHKContactsHeading Char1,Task Char1,level 3 subhead Char1,PA Micro Section Char1,(Alt+4) Char1,H41 Char1,(Alt+4)1 Char1,H42 Char1,(Alt+4)2 Char1,H43 Char1,(Alt+4)3 Char1,H44 Char1,H45 Char1"/>
    <w:basedOn w:val="DefaultParagraphFont"/>
    <w:semiHidden/>
    <w:rsid w:val="00E8509E"/>
    <w:rPr>
      <w:rFonts w:asciiTheme="majorHAnsi" w:eastAsiaTheme="majorEastAsia" w:hAnsiTheme="majorHAnsi" w:cstheme="majorBidi"/>
      <w:i/>
      <w:iCs/>
      <w:color w:val="365F91" w:themeColor="accent1" w:themeShade="BF"/>
      <w:szCs w:val="22"/>
    </w:rPr>
  </w:style>
  <w:style w:type="character" w:customStyle="1" w:styleId="Heading5Char1">
    <w:name w:val="Heading 5 Char1"/>
    <w:aliases w:val="Heading 5(war) Char1,DNV-H5 Char1,Block Label Char1,Heading 5 CFMU Char1,Para 5 Char1,h5 Char1,Level 3 - i Char1,DO NOT USE_h5 Char1,H5 Char1,Roman list Char1,Schedule A to X Char1,5H Char1,Heading 5(unused) Char1,Level 3 - (i) Char1"/>
    <w:basedOn w:val="DefaultParagraphFont"/>
    <w:uiPriority w:val="29"/>
    <w:semiHidden/>
    <w:rsid w:val="00E8509E"/>
    <w:rPr>
      <w:rFonts w:asciiTheme="majorHAnsi" w:eastAsiaTheme="majorEastAsia" w:hAnsiTheme="majorHAnsi" w:cstheme="majorBidi"/>
      <w:color w:val="365F91" w:themeColor="accent1" w:themeShade="BF"/>
      <w:szCs w:val="22"/>
    </w:rPr>
  </w:style>
  <w:style w:type="paragraph" w:customStyle="1" w:styleId="msonormal0">
    <w:name w:val="msonormal"/>
    <w:basedOn w:val="Normal"/>
    <w:rsid w:val="00E8509E"/>
    <w:pPr>
      <w:spacing w:before="100" w:beforeAutospacing="1" w:after="100" w:afterAutospacing="1"/>
      <w:ind w:left="0" w:firstLine="0"/>
      <w:jc w:val="left"/>
    </w:pPr>
    <w:rPr>
      <w:rFonts w:ascii="Times New Roman" w:eastAsia="Times New Roman" w:hAnsi="Times New Roman" w:cs="Times New Roman"/>
      <w:sz w:val="24"/>
      <w:szCs w:val="24"/>
      <w:lang w:val="fr-BE" w:eastAsia="fr-BE"/>
    </w:rPr>
  </w:style>
  <w:style w:type="character" w:customStyle="1" w:styleId="CharChar1">
    <w:name w:val="Char Char1"/>
    <w:aliases w:val="ft Char Char Char2,ft Char Char Char Char2,ft Char Char2,ft Char Char Char Char Char2,ft Char2,ft Char Char Char Char Char Char1,Footnote Text Char2 Char Char1,Footnote Text Char Char Char1 Char1"/>
    <w:basedOn w:val="DefaultParagraphFont"/>
    <w:uiPriority w:val="99"/>
    <w:semiHidden/>
    <w:rsid w:val="00E8509E"/>
    <w:rPr>
      <w:rFonts w:ascii="Verdana" w:hAnsi="Verdana"/>
      <w:color w:val="000000" w:themeColor="text1"/>
      <w:sz w:val="20"/>
      <w:szCs w:val="20"/>
    </w:rPr>
  </w:style>
  <w:style w:type="character" w:customStyle="1" w:styleId="HeaderChar1">
    <w:name w:val="Header Char1"/>
    <w:aliases w:val="HeaderTitle Char1"/>
    <w:basedOn w:val="DefaultParagraphFont"/>
    <w:uiPriority w:val="99"/>
    <w:semiHidden/>
    <w:rsid w:val="00E8509E"/>
    <w:rPr>
      <w:rFonts w:ascii="Verdana" w:hAnsi="Verdana"/>
      <w:color w:val="000000" w:themeColor="text1"/>
      <w:sz w:val="20"/>
    </w:rPr>
  </w:style>
  <w:style w:type="character" w:customStyle="1" w:styleId="FooterChar1">
    <w:name w:val="Footer Char1"/>
    <w:aliases w:val="FooterLand Char1"/>
    <w:basedOn w:val="DefaultParagraphFont"/>
    <w:uiPriority w:val="99"/>
    <w:semiHidden/>
    <w:rsid w:val="00E8509E"/>
    <w:rPr>
      <w:rFonts w:ascii="Verdana" w:hAnsi="Verdana"/>
      <w:color w:val="000000" w:themeColor="text1"/>
      <w:sz w:val="20"/>
    </w:rPr>
  </w:style>
  <w:style w:type="paragraph" w:styleId="Caption">
    <w:name w:val="caption"/>
    <w:basedOn w:val="Normal"/>
    <w:next w:val="Normal"/>
    <w:uiPriority w:val="99"/>
    <w:semiHidden/>
    <w:unhideWhenUsed/>
    <w:qFormat/>
    <w:rsid w:val="00E8509E"/>
    <w:pPr>
      <w:spacing w:before="120" w:after="200"/>
      <w:ind w:left="0" w:firstLine="0"/>
      <w:jc w:val="left"/>
    </w:pPr>
    <w:rPr>
      <w:rFonts w:ascii="Verdana" w:hAnsi="Verdana"/>
      <w:i/>
      <w:iCs/>
      <w:color w:val="1F497D" w:themeColor="text2"/>
      <w:sz w:val="18"/>
      <w:szCs w:val="18"/>
    </w:rPr>
  </w:style>
  <w:style w:type="paragraph" w:customStyle="1" w:styleId="BackPageBullet1">
    <w:name w:val="BackPageBullet 1"/>
    <w:basedOn w:val="Normal"/>
    <w:uiPriority w:val="99"/>
    <w:semiHidden/>
    <w:qFormat/>
    <w:rsid w:val="00E8509E"/>
    <w:pPr>
      <w:tabs>
        <w:tab w:val="num" w:pos="397"/>
      </w:tabs>
      <w:spacing w:before="120" w:after="120"/>
      <w:ind w:left="397" w:hanging="340"/>
      <w:jc w:val="left"/>
    </w:pPr>
    <w:rPr>
      <w:rFonts w:ascii="Verdana" w:hAnsi="Verdana"/>
      <w:color w:val="000000" w:themeColor="text1"/>
      <w:sz w:val="20"/>
    </w:rPr>
  </w:style>
  <w:style w:type="paragraph" w:customStyle="1" w:styleId="NormalIndent2">
    <w:name w:val="Normal Indent 2"/>
    <w:aliases w:val="NormalIndent2,Body TextIndent2"/>
    <w:basedOn w:val="Normal"/>
    <w:uiPriority w:val="16"/>
    <w:qFormat/>
    <w:rsid w:val="00E8509E"/>
    <w:pPr>
      <w:spacing w:before="120" w:after="120"/>
      <w:ind w:left="454" w:firstLine="0"/>
      <w:jc w:val="left"/>
    </w:pPr>
    <w:rPr>
      <w:rFonts w:ascii="Verdana" w:hAnsi="Verdana"/>
      <w:color w:val="000000" w:themeColor="text1"/>
      <w:sz w:val="20"/>
    </w:rPr>
  </w:style>
  <w:style w:type="paragraph" w:customStyle="1" w:styleId="CatalogueNumber">
    <w:name w:val="Catalogue Number"/>
    <w:basedOn w:val="Normal"/>
    <w:uiPriority w:val="99"/>
    <w:semiHidden/>
    <w:qFormat/>
    <w:rsid w:val="00E8509E"/>
    <w:pPr>
      <w:framePr w:wrap="around" w:vAnchor="text" w:hAnchor="text" w:y="1"/>
      <w:spacing w:before="120"/>
      <w:ind w:left="113" w:firstLine="0"/>
      <w:jc w:val="left"/>
    </w:pPr>
    <w:rPr>
      <w:rFonts w:ascii="Verdana" w:hAnsi="Verdana"/>
      <w:color w:val="000000" w:themeColor="text1"/>
      <w:sz w:val="20"/>
    </w:rPr>
  </w:style>
  <w:style w:type="paragraph" w:customStyle="1" w:styleId="NumbList1Space">
    <w:name w:val="NumbList 1 Space"/>
    <w:aliases w:val="NumbListLast,BTNumbListLast"/>
    <w:basedOn w:val="BTNumbList"/>
    <w:uiPriority w:val="15"/>
    <w:qFormat/>
    <w:rsid w:val="00E8509E"/>
    <w:pPr>
      <w:tabs>
        <w:tab w:val="num" w:pos="480"/>
      </w:tabs>
      <w:spacing w:before="120" w:after="120" w:line="240" w:lineRule="auto"/>
      <w:ind w:left="480" w:hanging="480"/>
      <w:jc w:val="left"/>
    </w:pPr>
    <w:rPr>
      <w:rFonts w:ascii="Verdana" w:hAnsi="Verdana" w:cstheme="minorBidi"/>
      <w:color w:val="000000" w:themeColor="text1"/>
      <w:szCs w:val="22"/>
    </w:rPr>
  </w:style>
  <w:style w:type="paragraph" w:customStyle="1" w:styleId="NumbList2Space">
    <w:name w:val="NumbList 2 Space"/>
    <w:aliases w:val="Numblist2Last,BTNumbList2Last"/>
    <w:basedOn w:val="BTNumbList2"/>
    <w:uiPriority w:val="15"/>
    <w:qFormat/>
    <w:rsid w:val="00E8509E"/>
    <w:pPr>
      <w:numPr>
        <w:ilvl w:val="0"/>
        <w:numId w:val="0"/>
      </w:numPr>
      <w:tabs>
        <w:tab w:val="num" w:pos="1713"/>
      </w:tabs>
      <w:spacing w:before="120" w:after="120" w:line="240" w:lineRule="auto"/>
      <w:ind w:left="1713" w:hanging="720"/>
      <w:jc w:val="left"/>
    </w:pPr>
    <w:rPr>
      <w:rFonts w:ascii="Verdana" w:hAnsi="Verdana" w:cstheme="minorBidi"/>
      <w:color w:val="000000" w:themeColor="text1"/>
      <w:sz w:val="20"/>
      <w:szCs w:val="22"/>
    </w:rPr>
  </w:style>
  <w:style w:type="paragraph" w:customStyle="1" w:styleId="NormalSmall">
    <w:name w:val="NormalSmall"/>
    <w:basedOn w:val="Normal"/>
    <w:uiPriority w:val="99"/>
    <w:semiHidden/>
    <w:qFormat/>
    <w:rsid w:val="00E8509E"/>
    <w:pPr>
      <w:spacing w:before="120" w:after="120"/>
      <w:ind w:left="0" w:firstLine="0"/>
      <w:jc w:val="left"/>
    </w:pPr>
    <w:rPr>
      <w:rFonts w:ascii="Verdana" w:hAnsi="Verdana"/>
      <w:color w:val="000000" w:themeColor="text1"/>
      <w:sz w:val="16"/>
    </w:rPr>
  </w:style>
  <w:style w:type="paragraph" w:customStyle="1" w:styleId="DocHeadingSmall">
    <w:name w:val="DocHeadingSmall"/>
    <w:basedOn w:val="NormalSmall"/>
    <w:uiPriority w:val="99"/>
    <w:semiHidden/>
    <w:qFormat/>
    <w:rsid w:val="00E8509E"/>
    <w:pPr>
      <w:keepNext/>
      <w:keepLines/>
    </w:pPr>
    <w:rPr>
      <w:b/>
      <w:sz w:val="18"/>
    </w:rPr>
  </w:style>
  <w:style w:type="paragraph" w:customStyle="1" w:styleId="NormalSmallNoSpace">
    <w:name w:val="NormalSmallNoSpace"/>
    <w:basedOn w:val="NormalSmall"/>
    <w:uiPriority w:val="99"/>
    <w:semiHidden/>
    <w:qFormat/>
    <w:rsid w:val="00E8509E"/>
    <w:pPr>
      <w:spacing w:after="0"/>
    </w:pPr>
  </w:style>
  <w:style w:type="paragraph" w:customStyle="1" w:styleId="HeaderLarge">
    <w:name w:val="HeaderLarge"/>
    <w:basedOn w:val="Header"/>
    <w:uiPriority w:val="99"/>
    <w:semiHidden/>
    <w:qFormat/>
    <w:rsid w:val="00E8509E"/>
    <w:pPr>
      <w:tabs>
        <w:tab w:val="clear" w:pos="4535"/>
        <w:tab w:val="clear" w:pos="9071"/>
        <w:tab w:val="center" w:pos="4513"/>
        <w:tab w:val="right" w:pos="9026"/>
      </w:tabs>
      <w:spacing w:before="120" w:after="0"/>
      <w:ind w:left="0" w:firstLine="0"/>
      <w:jc w:val="center"/>
    </w:pPr>
    <w:rPr>
      <w:rFonts w:ascii="Verdana" w:hAnsi="Verdana" w:cstheme="minorBidi"/>
      <w:i/>
      <w:sz w:val="20"/>
    </w:rPr>
  </w:style>
  <w:style w:type="paragraph" w:customStyle="1" w:styleId="Heading1NoNumb">
    <w:name w:val="Heading 1NoNumb"/>
    <w:aliases w:val="Heading1NoNumb,Divider"/>
    <w:basedOn w:val="Heading1"/>
    <w:next w:val="Normal"/>
    <w:uiPriority w:val="5"/>
    <w:qFormat/>
    <w:rsid w:val="00E8509E"/>
    <w:pPr>
      <w:keepLines/>
      <w:tabs>
        <w:tab w:val="clear" w:pos="480"/>
      </w:tabs>
      <w:spacing w:before="120" w:after="120"/>
      <w:ind w:left="0" w:firstLine="0"/>
      <w:jc w:val="left"/>
    </w:pPr>
    <w:rPr>
      <w:rFonts w:ascii="Verdana" w:eastAsiaTheme="majorEastAsia" w:hAnsi="Verdana" w:cstheme="majorBidi"/>
      <w:bCs/>
      <w:smallCaps w:val="0"/>
      <w:szCs w:val="28"/>
    </w:rPr>
  </w:style>
  <w:style w:type="paragraph" w:customStyle="1" w:styleId="Heading3NoNumb">
    <w:name w:val="Heading 3NoNumb"/>
    <w:aliases w:val="Heading3NoNumb"/>
    <w:basedOn w:val="Heading3"/>
    <w:next w:val="Normal"/>
    <w:uiPriority w:val="5"/>
    <w:qFormat/>
    <w:rsid w:val="00E8509E"/>
    <w:pPr>
      <w:keepLines/>
      <w:tabs>
        <w:tab w:val="clear" w:pos="1920"/>
      </w:tabs>
      <w:spacing w:before="120" w:after="120"/>
      <w:ind w:left="0" w:firstLine="0"/>
      <w:jc w:val="left"/>
    </w:pPr>
    <w:rPr>
      <w:rFonts w:ascii="Verdana" w:eastAsiaTheme="majorEastAsia" w:hAnsi="Verdana" w:cstheme="majorBidi"/>
      <w:b/>
      <w:bCs/>
      <w:i w:val="0"/>
      <w:sz w:val="20"/>
      <w:szCs w:val="22"/>
    </w:rPr>
  </w:style>
  <w:style w:type="paragraph" w:customStyle="1" w:styleId="Bullet3Space">
    <w:name w:val="Bullet 3 Space"/>
    <w:aliases w:val="Bullet3Last,BTBullet3Last"/>
    <w:basedOn w:val="Normal"/>
    <w:uiPriority w:val="11"/>
    <w:rsid w:val="00E8509E"/>
    <w:pPr>
      <w:tabs>
        <w:tab w:val="num" w:pos="1920"/>
      </w:tabs>
      <w:spacing w:before="120" w:after="120"/>
      <w:ind w:left="1920" w:hanging="720"/>
      <w:jc w:val="left"/>
    </w:pPr>
    <w:rPr>
      <w:rFonts w:ascii="Verdana" w:hAnsi="Verdana"/>
      <w:color w:val="000000" w:themeColor="text1"/>
      <w:sz w:val="20"/>
    </w:rPr>
  </w:style>
  <w:style w:type="paragraph" w:customStyle="1" w:styleId="Numblist3Space">
    <w:name w:val="Numblist 3 Space"/>
    <w:aliases w:val="NumbList3Last,BTNumbList3Last"/>
    <w:basedOn w:val="BTNumbList3"/>
    <w:uiPriority w:val="15"/>
    <w:qFormat/>
    <w:rsid w:val="00E8509E"/>
    <w:pPr>
      <w:numPr>
        <w:ilvl w:val="0"/>
        <w:numId w:val="0"/>
      </w:numPr>
      <w:tabs>
        <w:tab w:val="num" w:pos="360"/>
        <w:tab w:val="num" w:pos="1920"/>
      </w:tabs>
      <w:spacing w:before="120" w:after="120" w:line="240" w:lineRule="auto"/>
      <w:ind w:left="1920" w:hanging="720"/>
      <w:jc w:val="left"/>
    </w:pPr>
    <w:rPr>
      <w:rFonts w:ascii="Verdana" w:hAnsi="Verdana" w:cstheme="minorBidi"/>
      <w:color w:val="000000" w:themeColor="text1"/>
      <w:szCs w:val="22"/>
    </w:rPr>
  </w:style>
  <w:style w:type="paragraph" w:customStyle="1" w:styleId="Heading1NoToc">
    <w:name w:val="Heading 1NoToc"/>
    <w:aliases w:val="Heading 1NoTOC"/>
    <w:basedOn w:val="Heading1"/>
    <w:uiPriority w:val="19"/>
    <w:qFormat/>
    <w:rsid w:val="00E8509E"/>
    <w:pPr>
      <w:keepLines/>
      <w:tabs>
        <w:tab w:val="clear" w:pos="480"/>
        <w:tab w:val="num" w:pos="680"/>
      </w:tabs>
      <w:spacing w:before="120" w:after="120"/>
      <w:ind w:left="680" w:hanging="680"/>
      <w:jc w:val="left"/>
    </w:pPr>
    <w:rPr>
      <w:rFonts w:ascii="Verdana" w:eastAsiaTheme="majorEastAsia" w:hAnsi="Verdana" w:cstheme="majorBidi"/>
      <w:bCs/>
      <w:smallCaps w:val="0"/>
      <w:color w:val="000000" w:themeColor="text1"/>
      <w:szCs w:val="28"/>
    </w:rPr>
  </w:style>
  <w:style w:type="paragraph" w:customStyle="1" w:styleId="Heading2NoToc">
    <w:name w:val="Heading 2NoToc"/>
    <w:aliases w:val="Heading 2NoTOC,PopOutQuote"/>
    <w:basedOn w:val="Heading2"/>
    <w:uiPriority w:val="19"/>
    <w:qFormat/>
    <w:rsid w:val="00E8509E"/>
    <w:pPr>
      <w:keepLines/>
      <w:numPr>
        <w:ilvl w:val="1"/>
      </w:numPr>
      <w:tabs>
        <w:tab w:val="num" w:pos="680"/>
        <w:tab w:val="num" w:pos="1200"/>
      </w:tabs>
      <w:spacing w:before="120" w:after="120"/>
      <w:ind w:left="680" w:hanging="680"/>
      <w:jc w:val="left"/>
    </w:pPr>
    <w:rPr>
      <w:rFonts w:ascii="Verdana" w:eastAsiaTheme="majorEastAsia" w:hAnsi="Verdana" w:cstheme="majorBidi"/>
      <w:bCs/>
      <w:color w:val="000000" w:themeColor="text1"/>
      <w:sz w:val="22"/>
      <w:szCs w:val="26"/>
    </w:rPr>
  </w:style>
  <w:style w:type="paragraph" w:customStyle="1" w:styleId="Heading3NoToc">
    <w:name w:val="Heading 3NoToc"/>
    <w:aliases w:val="Heading 3NoTOC"/>
    <w:basedOn w:val="Heading3"/>
    <w:uiPriority w:val="19"/>
    <w:qFormat/>
    <w:rsid w:val="00E8509E"/>
    <w:pPr>
      <w:keepLines/>
      <w:numPr>
        <w:ilvl w:val="2"/>
      </w:numPr>
      <w:tabs>
        <w:tab w:val="num" w:pos="680"/>
        <w:tab w:val="num" w:pos="1920"/>
      </w:tabs>
      <w:spacing w:before="120" w:after="120"/>
      <w:ind w:left="680" w:hanging="680"/>
      <w:jc w:val="left"/>
    </w:pPr>
    <w:rPr>
      <w:rFonts w:ascii="Verdana" w:eastAsiaTheme="majorEastAsia" w:hAnsi="Verdana" w:cstheme="majorBidi"/>
      <w:b/>
      <w:bCs/>
      <w:i w:val="0"/>
      <w:color w:val="000000" w:themeColor="text1"/>
      <w:sz w:val="20"/>
      <w:szCs w:val="22"/>
    </w:rPr>
  </w:style>
  <w:style w:type="paragraph" w:customStyle="1" w:styleId="Heading4NoToc">
    <w:name w:val="Heading 4NoToc"/>
    <w:aliases w:val="Heading 4NoTOC"/>
    <w:basedOn w:val="Heading4"/>
    <w:uiPriority w:val="19"/>
    <w:qFormat/>
    <w:rsid w:val="00E8509E"/>
    <w:pPr>
      <w:keepLines/>
      <w:tabs>
        <w:tab w:val="clear" w:pos="1920"/>
      </w:tabs>
      <w:spacing w:before="120" w:after="120"/>
      <w:ind w:left="0" w:firstLine="0"/>
      <w:jc w:val="left"/>
    </w:pPr>
    <w:rPr>
      <w:rFonts w:ascii="Verdana" w:eastAsiaTheme="majorEastAsia" w:hAnsi="Verdana" w:cstheme="majorBidi"/>
      <w:b/>
      <w:bCs/>
      <w:iCs/>
      <w:color w:val="000000" w:themeColor="text1"/>
      <w:sz w:val="20"/>
      <w:szCs w:val="22"/>
    </w:rPr>
  </w:style>
  <w:style w:type="paragraph" w:customStyle="1" w:styleId="Heading1NoNumbNoToc">
    <w:name w:val="Heading 1NoNumbNoToc"/>
    <w:aliases w:val="Heading 1NoNumbNoTOC"/>
    <w:basedOn w:val="Heading1NoNumb"/>
    <w:uiPriority w:val="22"/>
    <w:qFormat/>
    <w:rsid w:val="00E8509E"/>
    <w:rPr>
      <w:color w:val="000000" w:themeColor="text1"/>
    </w:rPr>
  </w:style>
  <w:style w:type="paragraph" w:customStyle="1" w:styleId="Heading4NoNumbNoToc">
    <w:name w:val="Heading 4NoNumbNoToc"/>
    <w:aliases w:val="Heading 4NoNumbNoTOC"/>
    <w:basedOn w:val="Heading4NoNumb"/>
    <w:uiPriority w:val="22"/>
    <w:qFormat/>
    <w:rsid w:val="00E8509E"/>
    <w:pPr>
      <w:spacing w:before="120" w:after="120" w:line="240" w:lineRule="auto"/>
      <w:outlineLvl w:val="2"/>
    </w:pPr>
    <w:rPr>
      <w:rFonts w:ascii="Verdana" w:hAnsi="Verdana"/>
      <w:i/>
      <w:iCs w:val="0"/>
      <w:color w:val="auto"/>
      <w:sz w:val="20"/>
      <w:szCs w:val="22"/>
    </w:rPr>
  </w:style>
  <w:style w:type="paragraph" w:customStyle="1" w:styleId="AnnexEquation">
    <w:name w:val="AnnexEquation"/>
    <w:basedOn w:val="Normal"/>
    <w:next w:val="BodyText"/>
    <w:uiPriority w:val="6"/>
    <w:qFormat/>
    <w:rsid w:val="00E8509E"/>
    <w:pPr>
      <w:keepNext/>
      <w:tabs>
        <w:tab w:val="num" w:pos="851"/>
      </w:tabs>
      <w:spacing w:before="120" w:after="120" w:line="260" w:lineRule="atLeast"/>
      <w:ind w:left="851" w:hanging="851"/>
      <w:jc w:val="left"/>
    </w:pPr>
    <w:rPr>
      <w:rFonts w:ascii="Arial" w:hAnsi="Arial" w:cs="Times New Roman"/>
      <w:color w:val="4F81BD" w:themeColor="accent1"/>
      <w:szCs w:val="24"/>
    </w:rPr>
  </w:style>
  <w:style w:type="paragraph" w:customStyle="1" w:styleId="TableBullet20">
    <w:name w:val="TableBullet2"/>
    <w:basedOn w:val="TableBullet1"/>
    <w:uiPriority w:val="6"/>
    <w:qFormat/>
    <w:rsid w:val="00E8509E"/>
    <w:pPr>
      <w:tabs>
        <w:tab w:val="num" w:pos="737"/>
      </w:tabs>
      <w:spacing w:before="0" w:line="220" w:lineRule="atLeast"/>
      <w:ind w:left="737" w:right="57" w:hanging="340"/>
    </w:pPr>
    <w:rPr>
      <w:rFonts w:ascii="Arial" w:hAnsi="Arial" w:cs="Times New Roman"/>
      <w:color w:val="auto"/>
      <w:szCs w:val="24"/>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rsid w:val="00E8509E"/>
    <w:pPr>
      <w:spacing w:before="60" w:after="160" w:line="240" w:lineRule="exact"/>
      <w:ind w:left="0" w:firstLine="0"/>
    </w:pPr>
    <w:rPr>
      <w:rFonts w:ascii="Verdana" w:hAnsi="Verdana"/>
      <w:color w:val="000000" w:themeColor="text1"/>
      <w:sz w:val="20"/>
      <w:szCs w:val="20"/>
      <w:vertAlign w:val="superscript"/>
    </w:rPr>
  </w:style>
  <w:style w:type="character" w:customStyle="1" w:styleId="TitlecostChar">
    <w:name w:val="Title_cost Char"/>
    <w:basedOn w:val="DefaultParagraphFont"/>
    <w:link w:val="Titlecost"/>
    <w:locked/>
    <w:rsid w:val="00E8509E"/>
    <w:rPr>
      <w:rFonts w:ascii="Verdana" w:hAnsi="Verdana"/>
      <w:b/>
      <w:bCs/>
      <w:color w:val="002395"/>
      <w:sz w:val="20"/>
    </w:rPr>
  </w:style>
  <w:style w:type="paragraph" w:customStyle="1" w:styleId="Titlecost">
    <w:name w:val="Title_cost"/>
    <w:basedOn w:val="Normal"/>
    <w:link w:val="TitlecostChar"/>
    <w:qFormat/>
    <w:rsid w:val="00E8509E"/>
    <w:pPr>
      <w:spacing w:before="120" w:after="120"/>
      <w:ind w:left="0" w:firstLine="0"/>
      <w:jc w:val="left"/>
    </w:pPr>
    <w:rPr>
      <w:rFonts w:ascii="Verdana" w:hAnsi="Verdana"/>
      <w:b/>
      <w:bCs/>
      <w:color w:val="002395"/>
      <w:sz w:val="20"/>
    </w:rPr>
  </w:style>
  <w:style w:type="character" w:customStyle="1" w:styleId="BlueHighlight">
    <w:name w:val="Blue Highlight"/>
    <w:basedOn w:val="DefaultParagraphFont"/>
    <w:uiPriority w:val="1"/>
    <w:qFormat/>
    <w:rsid w:val="00E8509E"/>
    <w:rPr>
      <w:color w:val="C0504D" w:themeColor="accent2"/>
    </w:rPr>
  </w:style>
  <w:style w:type="character" w:customStyle="1" w:styleId="UnresolvedMention1">
    <w:name w:val="Unresolved Mention1"/>
    <w:basedOn w:val="DefaultParagraphFont"/>
    <w:uiPriority w:val="99"/>
    <w:semiHidden/>
    <w:rsid w:val="00E8509E"/>
    <w:rPr>
      <w:color w:val="605E5C"/>
      <w:shd w:val="clear" w:color="auto" w:fill="E1DFDD"/>
    </w:rPr>
  </w:style>
  <w:style w:type="character" w:customStyle="1" w:styleId="UnresolvedMention2">
    <w:name w:val="Unresolved Mention2"/>
    <w:basedOn w:val="DefaultParagraphFont"/>
    <w:uiPriority w:val="99"/>
    <w:semiHidden/>
    <w:rsid w:val="00E8509E"/>
    <w:rPr>
      <w:color w:val="605E5C"/>
      <w:shd w:val="clear" w:color="auto" w:fill="E1DFDD"/>
    </w:rPr>
  </w:style>
  <w:style w:type="character" w:customStyle="1" w:styleId="UnresolvedMention3">
    <w:name w:val="Unresolved Mention3"/>
    <w:basedOn w:val="DefaultParagraphFont"/>
    <w:uiPriority w:val="99"/>
    <w:semiHidden/>
    <w:rsid w:val="00E8509E"/>
    <w:rPr>
      <w:color w:val="605E5C"/>
      <w:shd w:val="clear" w:color="auto" w:fill="E1DFDD"/>
    </w:rPr>
  </w:style>
  <w:style w:type="paragraph" w:customStyle="1" w:styleId="DisclaimerHeading">
    <w:name w:val="Disclaimer Heading"/>
    <w:basedOn w:val="DocHeadingSmall"/>
    <w:next w:val="Normal"/>
    <w:uiPriority w:val="99"/>
    <w:semiHidden/>
    <w:qFormat/>
    <w:rsid w:val="00E8509E"/>
  </w:style>
  <w:style w:type="paragraph" w:customStyle="1" w:styleId="BackPageHeading1">
    <w:name w:val="BackPageHeading 1"/>
    <w:basedOn w:val="Heading1NoNumb"/>
    <w:uiPriority w:val="99"/>
    <w:semiHidden/>
    <w:qFormat/>
    <w:rsid w:val="00E8509E"/>
    <w:pPr>
      <w:spacing w:after="240"/>
      <w:ind w:left="57" w:right="57"/>
      <w:jc w:val="center"/>
    </w:pPr>
    <w:rPr>
      <w:sz w:val="22"/>
    </w:rPr>
  </w:style>
  <w:style w:type="paragraph" w:customStyle="1" w:styleId="BackPageHeading2">
    <w:name w:val="BackPageHeading 2"/>
    <w:basedOn w:val="Heading2NoNumb"/>
    <w:uiPriority w:val="99"/>
    <w:semiHidden/>
    <w:qFormat/>
    <w:rsid w:val="00E8509E"/>
    <w:pPr>
      <w:ind w:left="57" w:right="57"/>
    </w:pPr>
    <w:rPr>
      <w:i/>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8C2C48"/>
    <w:pPr>
      <w:spacing w:line="160" w:lineRule="exact"/>
      <w:ind w:left="284" w:hanging="284"/>
    </w:pPr>
    <w:rPr>
      <w:rFonts w:ascii="Times New Roman" w:eastAsia="Times New Roman" w:hAnsi="Times New Roman" w:cs="Times New Roman"/>
      <w:sz w:val="24"/>
      <w:szCs w:val="20"/>
      <w:vertAlign w:val="superscript"/>
      <w:lang w:eastAsia="en-GB"/>
    </w:rPr>
  </w:style>
  <w:style w:type="character" w:customStyle="1" w:styleId="UnresolvedMention30">
    <w:name w:val="Unresolved Mention30"/>
    <w:basedOn w:val="DefaultParagraphFont"/>
    <w:uiPriority w:val="99"/>
    <w:semiHidden/>
    <w:rsid w:val="00CB341D"/>
    <w:rPr>
      <w:color w:val="605E5C"/>
      <w:shd w:val="clear" w:color="auto" w:fill="E1DFDD"/>
    </w:rPr>
  </w:style>
  <w:style w:type="paragraph" w:customStyle="1" w:styleId="xl64">
    <w:name w:val="xl64"/>
    <w:basedOn w:val="Normal"/>
    <w:rsid w:val="00CB341D"/>
    <w:pPr>
      <w:spacing w:before="100" w:beforeAutospacing="1" w:after="100" w:afterAutospacing="1"/>
      <w:ind w:left="0" w:firstLine="0"/>
      <w:jc w:val="left"/>
    </w:pPr>
    <w:rPr>
      <w:rFonts w:ascii="Times New Roman" w:eastAsia="Times New Roman" w:hAnsi="Times New Roman" w:cs="Times New Roman"/>
      <w:sz w:val="24"/>
      <w:szCs w:val="24"/>
      <w:lang w:eastAsia="en-GB"/>
    </w:rPr>
  </w:style>
  <w:style w:type="paragraph" w:customStyle="1" w:styleId="xl65">
    <w:name w:val="xl65"/>
    <w:basedOn w:val="Normal"/>
    <w:rsid w:val="00CB341D"/>
    <w:pPr>
      <w:shd w:val="clear" w:color="000000" w:fill="FFFFFF"/>
      <w:spacing w:before="100" w:beforeAutospacing="1" w:after="100" w:afterAutospacing="1"/>
      <w:ind w:left="0" w:firstLine="0"/>
      <w:jc w:val="left"/>
    </w:pPr>
    <w:rPr>
      <w:rFonts w:ascii="Times New Roman" w:eastAsia="Times New Roman" w:hAnsi="Times New Roman" w:cs="Times New Roman"/>
      <w:sz w:val="24"/>
      <w:szCs w:val="24"/>
      <w:lang w:eastAsia="en-GB"/>
    </w:rPr>
  </w:style>
  <w:style w:type="paragraph" w:customStyle="1" w:styleId="xl66">
    <w:name w:val="xl66"/>
    <w:basedOn w:val="Normal"/>
    <w:rsid w:val="00CB341D"/>
    <w:pPr>
      <w:shd w:val="clear" w:color="000000" w:fill="FFFFFF"/>
      <w:spacing w:before="100" w:beforeAutospacing="1" w:after="100" w:afterAutospacing="1"/>
      <w:ind w:left="0" w:firstLine="0"/>
      <w:jc w:val="center"/>
    </w:pPr>
    <w:rPr>
      <w:rFonts w:ascii="Times New Roman" w:eastAsia="Times New Roman" w:hAnsi="Times New Roman" w:cs="Times New Roman"/>
      <w:sz w:val="24"/>
      <w:szCs w:val="24"/>
      <w:lang w:eastAsia="en-GB"/>
    </w:rPr>
  </w:style>
  <w:style w:type="paragraph" w:customStyle="1" w:styleId="xl67">
    <w:name w:val="xl67"/>
    <w:basedOn w:val="Normal"/>
    <w:rsid w:val="00CB341D"/>
    <w:pPr>
      <w:pBdr>
        <w:top w:val="single" w:sz="4" w:space="0" w:color="D9D9D9"/>
        <w:left w:val="single" w:sz="4" w:space="0" w:color="D9D9D9"/>
        <w:bottom w:val="single" w:sz="4" w:space="0" w:color="D9D9D9"/>
        <w:right w:val="single" w:sz="4" w:space="0" w:color="D9D9D9"/>
      </w:pBdr>
      <w:spacing w:before="100" w:beforeAutospacing="1" w:after="100" w:afterAutospacing="1"/>
      <w:ind w:left="0" w:firstLine="0"/>
      <w:jc w:val="left"/>
    </w:pPr>
    <w:rPr>
      <w:rFonts w:ascii="Times New Roman" w:eastAsia="Times New Roman" w:hAnsi="Times New Roman" w:cs="Times New Roman"/>
      <w:sz w:val="24"/>
      <w:szCs w:val="24"/>
      <w:lang w:eastAsia="en-GB"/>
    </w:rPr>
  </w:style>
  <w:style w:type="paragraph" w:customStyle="1" w:styleId="xl68">
    <w:name w:val="xl68"/>
    <w:basedOn w:val="Normal"/>
    <w:rsid w:val="00CB341D"/>
    <w:pPr>
      <w:pBdr>
        <w:top w:val="single" w:sz="4" w:space="0" w:color="D9D9D9"/>
        <w:left w:val="single" w:sz="4" w:space="0" w:color="D9D9D9"/>
        <w:bottom w:val="single" w:sz="4" w:space="0" w:color="D9D9D9"/>
        <w:right w:val="single" w:sz="4" w:space="0" w:color="D9D9D9"/>
      </w:pBdr>
      <w:spacing w:before="100" w:beforeAutospacing="1" w:after="100" w:afterAutospacing="1"/>
      <w:ind w:left="0" w:firstLine="0"/>
      <w:jc w:val="center"/>
    </w:pPr>
    <w:rPr>
      <w:rFonts w:ascii="Times New Roman" w:eastAsia="Times New Roman" w:hAnsi="Times New Roman" w:cs="Times New Roman"/>
      <w:sz w:val="24"/>
      <w:szCs w:val="24"/>
      <w:lang w:eastAsia="en-GB"/>
    </w:rPr>
  </w:style>
  <w:style w:type="paragraph" w:customStyle="1" w:styleId="xl70">
    <w:name w:val="xl70"/>
    <w:basedOn w:val="Normal"/>
    <w:rsid w:val="00CB341D"/>
    <w:pPr>
      <w:pBdr>
        <w:top w:val="single" w:sz="4" w:space="0" w:color="auto"/>
        <w:left w:val="single" w:sz="4" w:space="0" w:color="auto"/>
        <w:bottom w:val="single" w:sz="4" w:space="0" w:color="auto"/>
        <w:right w:val="single" w:sz="4" w:space="0" w:color="auto"/>
      </w:pBdr>
      <w:shd w:val="clear" w:color="000000" w:fill="002395"/>
      <w:spacing w:before="100" w:beforeAutospacing="1" w:after="100" w:afterAutospacing="1"/>
      <w:ind w:left="0" w:firstLine="0"/>
      <w:jc w:val="center"/>
      <w:textAlignment w:val="top"/>
    </w:pPr>
    <w:rPr>
      <w:rFonts w:ascii="Times New Roman" w:eastAsia="Times New Roman" w:hAnsi="Times New Roman" w:cs="Times New Roman"/>
      <w:b/>
      <w:bCs/>
      <w:color w:val="FFFFFF"/>
      <w:sz w:val="18"/>
      <w:szCs w:val="18"/>
      <w:lang w:eastAsia="en-GB"/>
    </w:rPr>
  </w:style>
  <w:style w:type="numbering" w:customStyle="1" w:styleId="newlist5">
    <w:name w:val="new list 5"/>
    <w:uiPriority w:val="99"/>
    <w:rsid w:val="00CD0164"/>
    <w:pPr>
      <w:numPr>
        <w:numId w:val="255"/>
      </w:numPr>
    </w:pPr>
  </w:style>
  <w:style w:type="character" w:customStyle="1" w:styleId="UnresolvedMention300">
    <w:name w:val="Unresolved Mention300"/>
    <w:basedOn w:val="DefaultParagraphFont"/>
    <w:uiPriority w:val="99"/>
    <w:semiHidden/>
    <w:rsid w:val="00BC1090"/>
    <w:rPr>
      <w:color w:val="605E5C"/>
      <w:shd w:val="clear" w:color="auto" w:fill="E1DFDD"/>
    </w:rPr>
  </w:style>
  <w:style w:type="numbering" w:customStyle="1" w:styleId="Style1">
    <w:name w:val="Style1"/>
    <w:uiPriority w:val="99"/>
    <w:rsid w:val="00E50EA8"/>
    <w:pPr>
      <w:numPr>
        <w:numId w:val="344"/>
      </w:numPr>
    </w:pPr>
  </w:style>
  <w:style w:type="character" w:customStyle="1" w:styleId="normaltextrun">
    <w:name w:val="normaltextrun"/>
    <w:basedOn w:val="DefaultParagraphFont"/>
    <w:rsid w:val="00215F89"/>
  </w:style>
  <w:style w:type="character" w:customStyle="1" w:styleId="eop">
    <w:name w:val="eop"/>
    <w:basedOn w:val="DefaultParagraphFont"/>
    <w:rsid w:val="00215F89"/>
  </w:style>
  <w:style w:type="character" w:customStyle="1" w:styleId="tablecontentstyleChar">
    <w:name w:val="table content style Char"/>
    <w:basedOn w:val="DefaultParagraphFont"/>
    <w:link w:val="tablecontentstyle"/>
    <w:uiPriority w:val="1"/>
    <w:locked/>
    <w:rsid w:val="00883018"/>
    <w:rPr>
      <w:rFonts w:ascii="Times New Roman" w:eastAsia="Times New Roman" w:hAnsi="Times New Roman" w:cs="Times New Roman"/>
      <w:sz w:val="20"/>
    </w:rPr>
  </w:style>
  <w:style w:type="paragraph" w:customStyle="1" w:styleId="tablecontentstyle">
    <w:name w:val="table content style"/>
    <w:basedOn w:val="Normal"/>
    <w:link w:val="tablecontentstyleChar"/>
    <w:uiPriority w:val="1"/>
    <w:qFormat/>
    <w:rsid w:val="00883018"/>
    <w:pPr>
      <w:spacing w:before="120" w:after="200" w:line="276" w:lineRule="auto"/>
      <w:ind w:left="0" w:firstLine="0"/>
    </w:pPr>
    <w:rPr>
      <w:rFonts w:ascii="Times New Roman" w:eastAsia="Times New Roman" w:hAnsi="Times New Roman" w:cs="Times New Roman"/>
      <w:sz w:val="20"/>
    </w:rPr>
  </w:style>
  <w:style w:type="table" w:customStyle="1" w:styleId="CV111">
    <w:name w:val="CV111"/>
    <w:basedOn w:val="TableNormal"/>
    <w:next w:val="TableGrid"/>
    <w:uiPriority w:val="59"/>
    <w:rsid w:val="00007EF0"/>
    <w:pPr>
      <w:ind w:left="0" w:firstLine="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4F37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9238">
      <w:bodyDiv w:val="1"/>
      <w:marLeft w:val="0"/>
      <w:marRight w:val="0"/>
      <w:marTop w:val="0"/>
      <w:marBottom w:val="0"/>
      <w:divBdr>
        <w:top w:val="none" w:sz="0" w:space="0" w:color="auto"/>
        <w:left w:val="none" w:sz="0" w:space="0" w:color="auto"/>
        <w:bottom w:val="none" w:sz="0" w:space="0" w:color="auto"/>
        <w:right w:val="none" w:sz="0" w:space="0" w:color="auto"/>
      </w:divBdr>
    </w:div>
    <w:div w:id="14119642">
      <w:bodyDiv w:val="1"/>
      <w:marLeft w:val="0"/>
      <w:marRight w:val="0"/>
      <w:marTop w:val="0"/>
      <w:marBottom w:val="0"/>
      <w:divBdr>
        <w:top w:val="none" w:sz="0" w:space="0" w:color="auto"/>
        <w:left w:val="none" w:sz="0" w:space="0" w:color="auto"/>
        <w:bottom w:val="none" w:sz="0" w:space="0" w:color="auto"/>
        <w:right w:val="none" w:sz="0" w:space="0" w:color="auto"/>
      </w:divBdr>
    </w:div>
    <w:div w:id="14162120">
      <w:bodyDiv w:val="1"/>
      <w:marLeft w:val="0"/>
      <w:marRight w:val="0"/>
      <w:marTop w:val="0"/>
      <w:marBottom w:val="0"/>
      <w:divBdr>
        <w:top w:val="none" w:sz="0" w:space="0" w:color="auto"/>
        <w:left w:val="none" w:sz="0" w:space="0" w:color="auto"/>
        <w:bottom w:val="none" w:sz="0" w:space="0" w:color="auto"/>
        <w:right w:val="none" w:sz="0" w:space="0" w:color="auto"/>
      </w:divBdr>
    </w:div>
    <w:div w:id="19355915">
      <w:bodyDiv w:val="1"/>
      <w:marLeft w:val="0"/>
      <w:marRight w:val="0"/>
      <w:marTop w:val="0"/>
      <w:marBottom w:val="0"/>
      <w:divBdr>
        <w:top w:val="none" w:sz="0" w:space="0" w:color="auto"/>
        <w:left w:val="none" w:sz="0" w:space="0" w:color="auto"/>
        <w:bottom w:val="none" w:sz="0" w:space="0" w:color="auto"/>
        <w:right w:val="none" w:sz="0" w:space="0" w:color="auto"/>
      </w:divBdr>
    </w:div>
    <w:div w:id="24255951">
      <w:bodyDiv w:val="1"/>
      <w:marLeft w:val="0"/>
      <w:marRight w:val="0"/>
      <w:marTop w:val="0"/>
      <w:marBottom w:val="0"/>
      <w:divBdr>
        <w:top w:val="none" w:sz="0" w:space="0" w:color="auto"/>
        <w:left w:val="none" w:sz="0" w:space="0" w:color="auto"/>
        <w:bottom w:val="none" w:sz="0" w:space="0" w:color="auto"/>
        <w:right w:val="none" w:sz="0" w:space="0" w:color="auto"/>
      </w:divBdr>
    </w:div>
    <w:div w:id="25913582">
      <w:bodyDiv w:val="1"/>
      <w:marLeft w:val="0"/>
      <w:marRight w:val="0"/>
      <w:marTop w:val="0"/>
      <w:marBottom w:val="0"/>
      <w:divBdr>
        <w:top w:val="none" w:sz="0" w:space="0" w:color="auto"/>
        <w:left w:val="none" w:sz="0" w:space="0" w:color="auto"/>
        <w:bottom w:val="none" w:sz="0" w:space="0" w:color="auto"/>
        <w:right w:val="none" w:sz="0" w:space="0" w:color="auto"/>
      </w:divBdr>
    </w:div>
    <w:div w:id="34165037">
      <w:bodyDiv w:val="1"/>
      <w:marLeft w:val="0"/>
      <w:marRight w:val="0"/>
      <w:marTop w:val="0"/>
      <w:marBottom w:val="0"/>
      <w:divBdr>
        <w:top w:val="none" w:sz="0" w:space="0" w:color="auto"/>
        <w:left w:val="none" w:sz="0" w:space="0" w:color="auto"/>
        <w:bottom w:val="none" w:sz="0" w:space="0" w:color="auto"/>
        <w:right w:val="none" w:sz="0" w:space="0" w:color="auto"/>
      </w:divBdr>
    </w:div>
    <w:div w:id="43481870">
      <w:bodyDiv w:val="1"/>
      <w:marLeft w:val="0"/>
      <w:marRight w:val="0"/>
      <w:marTop w:val="0"/>
      <w:marBottom w:val="0"/>
      <w:divBdr>
        <w:top w:val="none" w:sz="0" w:space="0" w:color="auto"/>
        <w:left w:val="none" w:sz="0" w:space="0" w:color="auto"/>
        <w:bottom w:val="none" w:sz="0" w:space="0" w:color="auto"/>
        <w:right w:val="none" w:sz="0" w:space="0" w:color="auto"/>
      </w:divBdr>
    </w:div>
    <w:div w:id="54860297">
      <w:bodyDiv w:val="1"/>
      <w:marLeft w:val="0"/>
      <w:marRight w:val="0"/>
      <w:marTop w:val="0"/>
      <w:marBottom w:val="0"/>
      <w:divBdr>
        <w:top w:val="none" w:sz="0" w:space="0" w:color="auto"/>
        <w:left w:val="none" w:sz="0" w:space="0" w:color="auto"/>
        <w:bottom w:val="none" w:sz="0" w:space="0" w:color="auto"/>
        <w:right w:val="none" w:sz="0" w:space="0" w:color="auto"/>
      </w:divBdr>
    </w:div>
    <w:div w:id="57292136">
      <w:bodyDiv w:val="1"/>
      <w:marLeft w:val="0"/>
      <w:marRight w:val="0"/>
      <w:marTop w:val="0"/>
      <w:marBottom w:val="0"/>
      <w:divBdr>
        <w:top w:val="none" w:sz="0" w:space="0" w:color="auto"/>
        <w:left w:val="none" w:sz="0" w:space="0" w:color="auto"/>
        <w:bottom w:val="none" w:sz="0" w:space="0" w:color="auto"/>
        <w:right w:val="none" w:sz="0" w:space="0" w:color="auto"/>
      </w:divBdr>
    </w:div>
    <w:div w:id="106631801">
      <w:bodyDiv w:val="1"/>
      <w:marLeft w:val="0"/>
      <w:marRight w:val="0"/>
      <w:marTop w:val="0"/>
      <w:marBottom w:val="0"/>
      <w:divBdr>
        <w:top w:val="none" w:sz="0" w:space="0" w:color="auto"/>
        <w:left w:val="none" w:sz="0" w:space="0" w:color="auto"/>
        <w:bottom w:val="none" w:sz="0" w:space="0" w:color="auto"/>
        <w:right w:val="none" w:sz="0" w:space="0" w:color="auto"/>
      </w:divBdr>
    </w:div>
    <w:div w:id="211886689">
      <w:bodyDiv w:val="1"/>
      <w:marLeft w:val="0"/>
      <w:marRight w:val="0"/>
      <w:marTop w:val="0"/>
      <w:marBottom w:val="0"/>
      <w:divBdr>
        <w:top w:val="none" w:sz="0" w:space="0" w:color="auto"/>
        <w:left w:val="none" w:sz="0" w:space="0" w:color="auto"/>
        <w:bottom w:val="none" w:sz="0" w:space="0" w:color="auto"/>
        <w:right w:val="none" w:sz="0" w:space="0" w:color="auto"/>
      </w:divBdr>
    </w:div>
    <w:div w:id="236520421">
      <w:bodyDiv w:val="1"/>
      <w:marLeft w:val="0"/>
      <w:marRight w:val="0"/>
      <w:marTop w:val="0"/>
      <w:marBottom w:val="0"/>
      <w:divBdr>
        <w:top w:val="none" w:sz="0" w:space="0" w:color="auto"/>
        <w:left w:val="none" w:sz="0" w:space="0" w:color="auto"/>
        <w:bottom w:val="none" w:sz="0" w:space="0" w:color="auto"/>
        <w:right w:val="none" w:sz="0" w:space="0" w:color="auto"/>
      </w:divBdr>
      <w:divsChild>
        <w:div w:id="1776436119">
          <w:marLeft w:val="0"/>
          <w:marRight w:val="0"/>
          <w:marTop w:val="0"/>
          <w:marBottom w:val="0"/>
          <w:divBdr>
            <w:top w:val="none" w:sz="0" w:space="0" w:color="auto"/>
            <w:left w:val="none" w:sz="0" w:space="0" w:color="auto"/>
            <w:bottom w:val="none" w:sz="0" w:space="0" w:color="auto"/>
            <w:right w:val="none" w:sz="0" w:space="0" w:color="auto"/>
          </w:divBdr>
          <w:divsChild>
            <w:div w:id="1121073465">
              <w:marLeft w:val="0"/>
              <w:marRight w:val="0"/>
              <w:marTop w:val="0"/>
              <w:marBottom w:val="0"/>
              <w:divBdr>
                <w:top w:val="none" w:sz="0" w:space="0" w:color="auto"/>
                <w:left w:val="none" w:sz="0" w:space="0" w:color="auto"/>
                <w:bottom w:val="none" w:sz="0" w:space="0" w:color="auto"/>
                <w:right w:val="none" w:sz="0" w:space="0" w:color="auto"/>
              </w:divBdr>
              <w:divsChild>
                <w:div w:id="19851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675740">
      <w:bodyDiv w:val="1"/>
      <w:marLeft w:val="0"/>
      <w:marRight w:val="0"/>
      <w:marTop w:val="0"/>
      <w:marBottom w:val="0"/>
      <w:divBdr>
        <w:top w:val="none" w:sz="0" w:space="0" w:color="auto"/>
        <w:left w:val="none" w:sz="0" w:space="0" w:color="auto"/>
        <w:bottom w:val="none" w:sz="0" w:space="0" w:color="auto"/>
        <w:right w:val="none" w:sz="0" w:space="0" w:color="auto"/>
      </w:divBdr>
    </w:div>
    <w:div w:id="257253429">
      <w:bodyDiv w:val="1"/>
      <w:marLeft w:val="0"/>
      <w:marRight w:val="0"/>
      <w:marTop w:val="0"/>
      <w:marBottom w:val="0"/>
      <w:divBdr>
        <w:top w:val="none" w:sz="0" w:space="0" w:color="auto"/>
        <w:left w:val="none" w:sz="0" w:space="0" w:color="auto"/>
        <w:bottom w:val="none" w:sz="0" w:space="0" w:color="auto"/>
        <w:right w:val="none" w:sz="0" w:space="0" w:color="auto"/>
      </w:divBdr>
    </w:div>
    <w:div w:id="269511540">
      <w:bodyDiv w:val="1"/>
      <w:marLeft w:val="0"/>
      <w:marRight w:val="0"/>
      <w:marTop w:val="0"/>
      <w:marBottom w:val="0"/>
      <w:divBdr>
        <w:top w:val="none" w:sz="0" w:space="0" w:color="auto"/>
        <w:left w:val="none" w:sz="0" w:space="0" w:color="auto"/>
        <w:bottom w:val="none" w:sz="0" w:space="0" w:color="auto"/>
        <w:right w:val="none" w:sz="0" w:space="0" w:color="auto"/>
      </w:divBdr>
    </w:div>
    <w:div w:id="297876789">
      <w:bodyDiv w:val="1"/>
      <w:marLeft w:val="0"/>
      <w:marRight w:val="0"/>
      <w:marTop w:val="0"/>
      <w:marBottom w:val="0"/>
      <w:divBdr>
        <w:top w:val="none" w:sz="0" w:space="0" w:color="auto"/>
        <w:left w:val="none" w:sz="0" w:space="0" w:color="auto"/>
        <w:bottom w:val="none" w:sz="0" w:space="0" w:color="auto"/>
        <w:right w:val="none" w:sz="0" w:space="0" w:color="auto"/>
      </w:divBdr>
    </w:div>
    <w:div w:id="300230406">
      <w:bodyDiv w:val="1"/>
      <w:marLeft w:val="0"/>
      <w:marRight w:val="0"/>
      <w:marTop w:val="0"/>
      <w:marBottom w:val="0"/>
      <w:divBdr>
        <w:top w:val="none" w:sz="0" w:space="0" w:color="auto"/>
        <w:left w:val="none" w:sz="0" w:space="0" w:color="auto"/>
        <w:bottom w:val="none" w:sz="0" w:space="0" w:color="auto"/>
        <w:right w:val="none" w:sz="0" w:space="0" w:color="auto"/>
      </w:divBdr>
    </w:div>
    <w:div w:id="319037981">
      <w:bodyDiv w:val="1"/>
      <w:marLeft w:val="0"/>
      <w:marRight w:val="0"/>
      <w:marTop w:val="0"/>
      <w:marBottom w:val="0"/>
      <w:divBdr>
        <w:top w:val="none" w:sz="0" w:space="0" w:color="auto"/>
        <w:left w:val="none" w:sz="0" w:space="0" w:color="auto"/>
        <w:bottom w:val="none" w:sz="0" w:space="0" w:color="auto"/>
        <w:right w:val="none" w:sz="0" w:space="0" w:color="auto"/>
      </w:divBdr>
    </w:div>
    <w:div w:id="332954673">
      <w:bodyDiv w:val="1"/>
      <w:marLeft w:val="0"/>
      <w:marRight w:val="0"/>
      <w:marTop w:val="0"/>
      <w:marBottom w:val="0"/>
      <w:divBdr>
        <w:top w:val="none" w:sz="0" w:space="0" w:color="auto"/>
        <w:left w:val="none" w:sz="0" w:space="0" w:color="auto"/>
        <w:bottom w:val="none" w:sz="0" w:space="0" w:color="auto"/>
        <w:right w:val="none" w:sz="0" w:space="0" w:color="auto"/>
      </w:divBdr>
    </w:div>
    <w:div w:id="350649707">
      <w:bodyDiv w:val="1"/>
      <w:marLeft w:val="0"/>
      <w:marRight w:val="0"/>
      <w:marTop w:val="0"/>
      <w:marBottom w:val="0"/>
      <w:divBdr>
        <w:top w:val="none" w:sz="0" w:space="0" w:color="auto"/>
        <w:left w:val="none" w:sz="0" w:space="0" w:color="auto"/>
        <w:bottom w:val="none" w:sz="0" w:space="0" w:color="auto"/>
        <w:right w:val="none" w:sz="0" w:space="0" w:color="auto"/>
      </w:divBdr>
    </w:div>
    <w:div w:id="351415732">
      <w:bodyDiv w:val="1"/>
      <w:marLeft w:val="0"/>
      <w:marRight w:val="0"/>
      <w:marTop w:val="0"/>
      <w:marBottom w:val="0"/>
      <w:divBdr>
        <w:top w:val="none" w:sz="0" w:space="0" w:color="auto"/>
        <w:left w:val="none" w:sz="0" w:space="0" w:color="auto"/>
        <w:bottom w:val="none" w:sz="0" w:space="0" w:color="auto"/>
        <w:right w:val="none" w:sz="0" w:space="0" w:color="auto"/>
      </w:divBdr>
    </w:div>
    <w:div w:id="363945268">
      <w:bodyDiv w:val="1"/>
      <w:marLeft w:val="0"/>
      <w:marRight w:val="0"/>
      <w:marTop w:val="0"/>
      <w:marBottom w:val="0"/>
      <w:divBdr>
        <w:top w:val="none" w:sz="0" w:space="0" w:color="auto"/>
        <w:left w:val="none" w:sz="0" w:space="0" w:color="auto"/>
        <w:bottom w:val="none" w:sz="0" w:space="0" w:color="auto"/>
        <w:right w:val="none" w:sz="0" w:space="0" w:color="auto"/>
      </w:divBdr>
    </w:div>
    <w:div w:id="373507962">
      <w:bodyDiv w:val="1"/>
      <w:marLeft w:val="0"/>
      <w:marRight w:val="0"/>
      <w:marTop w:val="0"/>
      <w:marBottom w:val="0"/>
      <w:divBdr>
        <w:top w:val="none" w:sz="0" w:space="0" w:color="auto"/>
        <w:left w:val="none" w:sz="0" w:space="0" w:color="auto"/>
        <w:bottom w:val="none" w:sz="0" w:space="0" w:color="auto"/>
        <w:right w:val="none" w:sz="0" w:space="0" w:color="auto"/>
      </w:divBdr>
    </w:div>
    <w:div w:id="403576179">
      <w:bodyDiv w:val="1"/>
      <w:marLeft w:val="0"/>
      <w:marRight w:val="0"/>
      <w:marTop w:val="0"/>
      <w:marBottom w:val="0"/>
      <w:divBdr>
        <w:top w:val="none" w:sz="0" w:space="0" w:color="auto"/>
        <w:left w:val="none" w:sz="0" w:space="0" w:color="auto"/>
        <w:bottom w:val="none" w:sz="0" w:space="0" w:color="auto"/>
        <w:right w:val="none" w:sz="0" w:space="0" w:color="auto"/>
      </w:divBdr>
    </w:div>
    <w:div w:id="403911573">
      <w:bodyDiv w:val="1"/>
      <w:marLeft w:val="0"/>
      <w:marRight w:val="0"/>
      <w:marTop w:val="0"/>
      <w:marBottom w:val="0"/>
      <w:divBdr>
        <w:top w:val="none" w:sz="0" w:space="0" w:color="auto"/>
        <w:left w:val="none" w:sz="0" w:space="0" w:color="auto"/>
        <w:bottom w:val="none" w:sz="0" w:space="0" w:color="auto"/>
        <w:right w:val="none" w:sz="0" w:space="0" w:color="auto"/>
      </w:divBdr>
    </w:div>
    <w:div w:id="428502343">
      <w:bodyDiv w:val="1"/>
      <w:marLeft w:val="0"/>
      <w:marRight w:val="0"/>
      <w:marTop w:val="0"/>
      <w:marBottom w:val="0"/>
      <w:divBdr>
        <w:top w:val="none" w:sz="0" w:space="0" w:color="auto"/>
        <w:left w:val="none" w:sz="0" w:space="0" w:color="auto"/>
        <w:bottom w:val="none" w:sz="0" w:space="0" w:color="auto"/>
        <w:right w:val="none" w:sz="0" w:space="0" w:color="auto"/>
      </w:divBdr>
    </w:div>
    <w:div w:id="435365439">
      <w:bodyDiv w:val="1"/>
      <w:marLeft w:val="0"/>
      <w:marRight w:val="0"/>
      <w:marTop w:val="0"/>
      <w:marBottom w:val="0"/>
      <w:divBdr>
        <w:top w:val="none" w:sz="0" w:space="0" w:color="auto"/>
        <w:left w:val="none" w:sz="0" w:space="0" w:color="auto"/>
        <w:bottom w:val="none" w:sz="0" w:space="0" w:color="auto"/>
        <w:right w:val="none" w:sz="0" w:space="0" w:color="auto"/>
      </w:divBdr>
    </w:div>
    <w:div w:id="458455350">
      <w:bodyDiv w:val="1"/>
      <w:marLeft w:val="0"/>
      <w:marRight w:val="0"/>
      <w:marTop w:val="0"/>
      <w:marBottom w:val="0"/>
      <w:divBdr>
        <w:top w:val="none" w:sz="0" w:space="0" w:color="auto"/>
        <w:left w:val="none" w:sz="0" w:space="0" w:color="auto"/>
        <w:bottom w:val="none" w:sz="0" w:space="0" w:color="auto"/>
        <w:right w:val="none" w:sz="0" w:space="0" w:color="auto"/>
      </w:divBdr>
    </w:div>
    <w:div w:id="462966360">
      <w:bodyDiv w:val="1"/>
      <w:marLeft w:val="0"/>
      <w:marRight w:val="0"/>
      <w:marTop w:val="0"/>
      <w:marBottom w:val="0"/>
      <w:divBdr>
        <w:top w:val="none" w:sz="0" w:space="0" w:color="auto"/>
        <w:left w:val="none" w:sz="0" w:space="0" w:color="auto"/>
        <w:bottom w:val="none" w:sz="0" w:space="0" w:color="auto"/>
        <w:right w:val="none" w:sz="0" w:space="0" w:color="auto"/>
      </w:divBdr>
    </w:div>
    <w:div w:id="470094618">
      <w:bodyDiv w:val="1"/>
      <w:marLeft w:val="0"/>
      <w:marRight w:val="0"/>
      <w:marTop w:val="0"/>
      <w:marBottom w:val="0"/>
      <w:divBdr>
        <w:top w:val="none" w:sz="0" w:space="0" w:color="auto"/>
        <w:left w:val="none" w:sz="0" w:space="0" w:color="auto"/>
        <w:bottom w:val="none" w:sz="0" w:space="0" w:color="auto"/>
        <w:right w:val="none" w:sz="0" w:space="0" w:color="auto"/>
      </w:divBdr>
    </w:div>
    <w:div w:id="500897905">
      <w:bodyDiv w:val="1"/>
      <w:marLeft w:val="0"/>
      <w:marRight w:val="0"/>
      <w:marTop w:val="0"/>
      <w:marBottom w:val="0"/>
      <w:divBdr>
        <w:top w:val="none" w:sz="0" w:space="0" w:color="auto"/>
        <w:left w:val="none" w:sz="0" w:space="0" w:color="auto"/>
        <w:bottom w:val="none" w:sz="0" w:space="0" w:color="auto"/>
        <w:right w:val="none" w:sz="0" w:space="0" w:color="auto"/>
      </w:divBdr>
    </w:div>
    <w:div w:id="524633741">
      <w:bodyDiv w:val="1"/>
      <w:marLeft w:val="0"/>
      <w:marRight w:val="0"/>
      <w:marTop w:val="0"/>
      <w:marBottom w:val="0"/>
      <w:divBdr>
        <w:top w:val="none" w:sz="0" w:space="0" w:color="auto"/>
        <w:left w:val="none" w:sz="0" w:space="0" w:color="auto"/>
        <w:bottom w:val="none" w:sz="0" w:space="0" w:color="auto"/>
        <w:right w:val="none" w:sz="0" w:space="0" w:color="auto"/>
      </w:divBdr>
    </w:div>
    <w:div w:id="525944645">
      <w:bodyDiv w:val="1"/>
      <w:marLeft w:val="0"/>
      <w:marRight w:val="0"/>
      <w:marTop w:val="0"/>
      <w:marBottom w:val="0"/>
      <w:divBdr>
        <w:top w:val="none" w:sz="0" w:space="0" w:color="auto"/>
        <w:left w:val="none" w:sz="0" w:space="0" w:color="auto"/>
        <w:bottom w:val="none" w:sz="0" w:space="0" w:color="auto"/>
        <w:right w:val="none" w:sz="0" w:space="0" w:color="auto"/>
      </w:divBdr>
    </w:div>
    <w:div w:id="541792443">
      <w:bodyDiv w:val="1"/>
      <w:marLeft w:val="0"/>
      <w:marRight w:val="0"/>
      <w:marTop w:val="0"/>
      <w:marBottom w:val="0"/>
      <w:divBdr>
        <w:top w:val="none" w:sz="0" w:space="0" w:color="auto"/>
        <w:left w:val="none" w:sz="0" w:space="0" w:color="auto"/>
        <w:bottom w:val="none" w:sz="0" w:space="0" w:color="auto"/>
        <w:right w:val="none" w:sz="0" w:space="0" w:color="auto"/>
      </w:divBdr>
    </w:div>
    <w:div w:id="565997255">
      <w:bodyDiv w:val="1"/>
      <w:marLeft w:val="0"/>
      <w:marRight w:val="0"/>
      <w:marTop w:val="0"/>
      <w:marBottom w:val="0"/>
      <w:divBdr>
        <w:top w:val="none" w:sz="0" w:space="0" w:color="auto"/>
        <w:left w:val="none" w:sz="0" w:space="0" w:color="auto"/>
        <w:bottom w:val="none" w:sz="0" w:space="0" w:color="auto"/>
        <w:right w:val="none" w:sz="0" w:space="0" w:color="auto"/>
      </w:divBdr>
    </w:div>
    <w:div w:id="568275280">
      <w:bodyDiv w:val="1"/>
      <w:marLeft w:val="0"/>
      <w:marRight w:val="0"/>
      <w:marTop w:val="0"/>
      <w:marBottom w:val="0"/>
      <w:divBdr>
        <w:top w:val="none" w:sz="0" w:space="0" w:color="auto"/>
        <w:left w:val="none" w:sz="0" w:space="0" w:color="auto"/>
        <w:bottom w:val="none" w:sz="0" w:space="0" w:color="auto"/>
        <w:right w:val="none" w:sz="0" w:space="0" w:color="auto"/>
      </w:divBdr>
    </w:div>
    <w:div w:id="577859408">
      <w:bodyDiv w:val="1"/>
      <w:marLeft w:val="0"/>
      <w:marRight w:val="0"/>
      <w:marTop w:val="0"/>
      <w:marBottom w:val="0"/>
      <w:divBdr>
        <w:top w:val="none" w:sz="0" w:space="0" w:color="auto"/>
        <w:left w:val="none" w:sz="0" w:space="0" w:color="auto"/>
        <w:bottom w:val="none" w:sz="0" w:space="0" w:color="auto"/>
        <w:right w:val="none" w:sz="0" w:space="0" w:color="auto"/>
      </w:divBdr>
    </w:div>
    <w:div w:id="581835931">
      <w:bodyDiv w:val="1"/>
      <w:marLeft w:val="0"/>
      <w:marRight w:val="0"/>
      <w:marTop w:val="0"/>
      <w:marBottom w:val="0"/>
      <w:divBdr>
        <w:top w:val="none" w:sz="0" w:space="0" w:color="auto"/>
        <w:left w:val="none" w:sz="0" w:space="0" w:color="auto"/>
        <w:bottom w:val="none" w:sz="0" w:space="0" w:color="auto"/>
        <w:right w:val="none" w:sz="0" w:space="0" w:color="auto"/>
      </w:divBdr>
    </w:div>
    <w:div w:id="593515700">
      <w:bodyDiv w:val="1"/>
      <w:marLeft w:val="0"/>
      <w:marRight w:val="0"/>
      <w:marTop w:val="0"/>
      <w:marBottom w:val="0"/>
      <w:divBdr>
        <w:top w:val="none" w:sz="0" w:space="0" w:color="auto"/>
        <w:left w:val="none" w:sz="0" w:space="0" w:color="auto"/>
        <w:bottom w:val="none" w:sz="0" w:space="0" w:color="auto"/>
        <w:right w:val="none" w:sz="0" w:space="0" w:color="auto"/>
      </w:divBdr>
    </w:div>
    <w:div w:id="598609502">
      <w:bodyDiv w:val="1"/>
      <w:marLeft w:val="0"/>
      <w:marRight w:val="0"/>
      <w:marTop w:val="0"/>
      <w:marBottom w:val="0"/>
      <w:divBdr>
        <w:top w:val="none" w:sz="0" w:space="0" w:color="auto"/>
        <w:left w:val="none" w:sz="0" w:space="0" w:color="auto"/>
        <w:bottom w:val="none" w:sz="0" w:space="0" w:color="auto"/>
        <w:right w:val="none" w:sz="0" w:space="0" w:color="auto"/>
      </w:divBdr>
    </w:div>
    <w:div w:id="601691736">
      <w:bodyDiv w:val="1"/>
      <w:marLeft w:val="0"/>
      <w:marRight w:val="0"/>
      <w:marTop w:val="0"/>
      <w:marBottom w:val="0"/>
      <w:divBdr>
        <w:top w:val="none" w:sz="0" w:space="0" w:color="auto"/>
        <w:left w:val="none" w:sz="0" w:space="0" w:color="auto"/>
        <w:bottom w:val="none" w:sz="0" w:space="0" w:color="auto"/>
        <w:right w:val="none" w:sz="0" w:space="0" w:color="auto"/>
      </w:divBdr>
    </w:div>
    <w:div w:id="643318039">
      <w:bodyDiv w:val="1"/>
      <w:marLeft w:val="0"/>
      <w:marRight w:val="0"/>
      <w:marTop w:val="0"/>
      <w:marBottom w:val="0"/>
      <w:divBdr>
        <w:top w:val="none" w:sz="0" w:space="0" w:color="auto"/>
        <w:left w:val="none" w:sz="0" w:space="0" w:color="auto"/>
        <w:bottom w:val="none" w:sz="0" w:space="0" w:color="auto"/>
        <w:right w:val="none" w:sz="0" w:space="0" w:color="auto"/>
      </w:divBdr>
    </w:div>
    <w:div w:id="645816791">
      <w:bodyDiv w:val="1"/>
      <w:marLeft w:val="0"/>
      <w:marRight w:val="0"/>
      <w:marTop w:val="0"/>
      <w:marBottom w:val="0"/>
      <w:divBdr>
        <w:top w:val="none" w:sz="0" w:space="0" w:color="auto"/>
        <w:left w:val="none" w:sz="0" w:space="0" w:color="auto"/>
        <w:bottom w:val="none" w:sz="0" w:space="0" w:color="auto"/>
        <w:right w:val="none" w:sz="0" w:space="0" w:color="auto"/>
      </w:divBdr>
    </w:div>
    <w:div w:id="651835128">
      <w:bodyDiv w:val="1"/>
      <w:marLeft w:val="0"/>
      <w:marRight w:val="0"/>
      <w:marTop w:val="0"/>
      <w:marBottom w:val="0"/>
      <w:divBdr>
        <w:top w:val="none" w:sz="0" w:space="0" w:color="auto"/>
        <w:left w:val="none" w:sz="0" w:space="0" w:color="auto"/>
        <w:bottom w:val="none" w:sz="0" w:space="0" w:color="auto"/>
        <w:right w:val="none" w:sz="0" w:space="0" w:color="auto"/>
      </w:divBdr>
    </w:div>
    <w:div w:id="652100535">
      <w:bodyDiv w:val="1"/>
      <w:marLeft w:val="0"/>
      <w:marRight w:val="0"/>
      <w:marTop w:val="0"/>
      <w:marBottom w:val="0"/>
      <w:divBdr>
        <w:top w:val="none" w:sz="0" w:space="0" w:color="auto"/>
        <w:left w:val="none" w:sz="0" w:space="0" w:color="auto"/>
        <w:bottom w:val="none" w:sz="0" w:space="0" w:color="auto"/>
        <w:right w:val="none" w:sz="0" w:space="0" w:color="auto"/>
      </w:divBdr>
    </w:div>
    <w:div w:id="652828792">
      <w:bodyDiv w:val="1"/>
      <w:marLeft w:val="0"/>
      <w:marRight w:val="0"/>
      <w:marTop w:val="0"/>
      <w:marBottom w:val="0"/>
      <w:divBdr>
        <w:top w:val="none" w:sz="0" w:space="0" w:color="auto"/>
        <w:left w:val="none" w:sz="0" w:space="0" w:color="auto"/>
        <w:bottom w:val="none" w:sz="0" w:space="0" w:color="auto"/>
        <w:right w:val="none" w:sz="0" w:space="0" w:color="auto"/>
      </w:divBdr>
    </w:div>
    <w:div w:id="662705734">
      <w:bodyDiv w:val="1"/>
      <w:marLeft w:val="0"/>
      <w:marRight w:val="0"/>
      <w:marTop w:val="0"/>
      <w:marBottom w:val="0"/>
      <w:divBdr>
        <w:top w:val="none" w:sz="0" w:space="0" w:color="auto"/>
        <w:left w:val="none" w:sz="0" w:space="0" w:color="auto"/>
        <w:bottom w:val="none" w:sz="0" w:space="0" w:color="auto"/>
        <w:right w:val="none" w:sz="0" w:space="0" w:color="auto"/>
      </w:divBdr>
    </w:div>
    <w:div w:id="669529437">
      <w:bodyDiv w:val="1"/>
      <w:marLeft w:val="0"/>
      <w:marRight w:val="0"/>
      <w:marTop w:val="0"/>
      <w:marBottom w:val="0"/>
      <w:divBdr>
        <w:top w:val="none" w:sz="0" w:space="0" w:color="auto"/>
        <w:left w:val="none" w:sz="0" w:space="0" w:color="auto"/>
        <w:bottom w:val="none" w:sz="0" w:space="0" w:color="auto"/>
        <w:right w:val="none" w:sz="0" w:space="0" w:color="auto"/>
      </w:divBdr>
    </w:div>
    <w:div w:id="675621856">
      <w:bodyDiv w:val="1"/>
      <w:marLeft w:val="0"/>
      <w:marRight w:val="0"/>
      <w:marTop w:val="0"/>
      <w:marBottom w:val="0"/>
      <w:divBdr>
        <w:top w:val="none" w:sz="0" w:space="0" w:color="auto"/>
        <w:left w:val="none" w:sz="0" w:space="0" w:color="auto"/>
        <w:bottom w:val="none" w:sz="0" w:space="0" w:color="auto"/>
        <w:right w:val="none" w:sz="0" w:space="0" w:color="auto"/>
      </w:divBdr>
    </w:div>
    <w:div w:id="688141767">
      <w:bodyDiv w:val="1"/>
      <w:marLeft w:val="0"/>
      <w:marRight w:val="0"/>
      <w:marTop w:val="0"/>
      <w:marBottom w:val="0"/>
      <w:divBdr>
        <w:top w:val="none" w:sz="0" w:space="0" w:color="auto"/>
        <w:left w:val="none" w:sz="0" w:space="0" w:color="auto"/>
        <w:bottom w:val="none" w:sz="0" w:space="0" w:color="auto"/>
        <w:right w:val="none" w:sz="0" w:space="0" w:color="auto"/>
      </w:divBdr>
    </w:div>
    <w:div w:id="697001031">
      <w:bodyDiv w:val="1"/>
      <w:marLeft w:val="0"/>
      <w:marRight w:val="0"/>
      <w:marTop w:val="0"/>
      <w:marBottom w:val="0"/>
      <w:divBdr>
        <w:top w:val="none" w:sz="0" w:space="0" w:color="auto"/>
        <w:left w:val="none" w:sz="0" w:space="0" w:color="auto"/>
        <w:bottom w:val="none" w:sz="0" w:space="0" w:color="auto"/>
        <w:right w:val="none" w:sz="0" w:space="0" w:color="auto"/>
      </w:divBdr>
    </w:div>
    <w:div w:id="714694768">
      <w:bodyDiv w:val="1"/>
      <w:marLeft w:val="0"/>
      <w:marRight w:val="0"/>
      <w:marTop w:val="0"/>
      <w:marBottom w:val="0"/>
      <w:divBdr>
        <w:top w:val="none" w:sz="0" w:space="0" w:color="auto"/>
        <w:left w:val="none" w:sz="0" w:space="0" w:color="auto"/>
        <w:bottom w:val="none" w:sz="0" w:space="0" w:color="auto"/>
        <w:right w:val="none" w:sz="0" w:space="0" w:color="auto"/>
      </w:divBdr>
    </w:div>
    <w:div w:id="718210682">
      <w:bodyDiv w:val="1"/>
      <w:marLeft w:val="0"/>
      <w:marRight w:val="0"/>
      <w:marTop w:val="0"/>
      <w:marBottom w:val="0"/>
      <w:divBdr>
        <w:top w:val="none" w:sz="0" w:space="0" w:color="auto"/>
        <w:left w:val="none" w:sz="0" w:space="0" w:color="auto"/>
        <w:bottom w:val="none" w:sz="0" w:space="0" w:color="auto"/>
        <w:right w:val="none" w:sz="0" w:space="0" w:color="auto"/>
      </w:divBdr>
    </w:div>
    <w:div w:id="724639975">
      <w:bodyDiv w:val="1"/>
      <w:marLeft w:val="0"/>
      <w:marRight w:val="0"/>
      <w:marTop w:val="0"/>
      <w:marBottom w:val="0"/>
      <w:divBdr>
        <w:top w:val="none" w:sz="0" w:space="0" w:color="auto"/>
        <w:left w:val="none" w:sz="0" w:space="0" w:color="auto"/>
        <w:bottom w:val="none" w:sz="0" w:space="0" w:color="auto"/>
        <w:right w:val="none" w:sz="0" w:space="0" w:color="auto"/>
      </w:divBdr>
    </w:div>
    <w:div w:id="735514075">
      <w:bodyDiv w:val="1"/>
      <w:marLeft w:val="0"/>
      <w:marRight w:val="0"/>
      <w:marTop w:val="0"/>
      <w:marBottom w:val="0"/>
      <w:divBdr>
        <w:top w:val="none" w:sz="0" w:space="0" w:color="auto"/>
        <w:left w:val="none" w:sz="0" w:space="0" w:color="auto"/>
        <w:bottom w:val="none" w:sz="0" w:space="0" w:color="auto"/>
        <w:right w:val="none" w:sz="0" w:space="0" w:color="auto"/>
      </w:divBdr>
    </w:div>
    <w:div w:id="737824149">
      <w:bodyDiv w:val="1"/>
      <w:marLeft w:val="0"/>
      <w:marRight w:val="0"/>
      <w:marTop w:val="0"/>
      <w:marBottom w:val="0"/>
      <w:divBdr>
        <w:top w:val="none" w:sz="0" w:space="0" w:color="auto"/>
        <w:left w:val="none" w:sz="0" w:space="0" w:color="auto"/>
        <w:bottom w:val="none" w:sz="0" w:space="0" w:color="auto"/>
        <w:right w:val="none" w:sz="0" w:space="0" w:color="auto"/>
      </w:divBdr>
    </w:div>
    <w:div w:id="754781954">
      <w:bodyDiv w:val="1"/>
      <w:marLeft w:val="0"/>
      <w:marRight w:val="0"/>
      <w:marTop w:val="0"/>
      <w:marBottom w:val="0"/>
      <w:divBdr>
        <w:top w:val="none" w:sz="0" w:space="0" w:color="auto"/>
        <w:left w:val="none" w:sz="0" w:space="0" w:color="auto"/>
        <w:bottom w:val="none" w:sz="0" w:space="0" w:color="auto"/>
        <w:right w:val="none" w:sz="0" w:space="0" w:color="auto"/>
      </w:divBdr>
    </w:div>
    <w:div w:id="757294225">
      <w:bodyDiv w:val="1"/>
      <w:marLeft w:val="0"/>
      <w:marRight w:val="0"/>
      <w:marTop w:val="0"/>
      <w:marBottom w:val="0"/>
      <w:divBdr>
        <w:top w:val="none" w:sz="0" w:space="0" w:color="auto"/>
        <w:left w:val="none" w:sz="0" w:space="0" w:color="auto"/>
        <w:bottom w:val="none" w:sz="0" w:space="0" w:color="auto"/>
        <w:right w:val="none" w:sz="0" w:space="0" w:color="auto"/>
      </w:divBdr>
    </w:div>
    <w:div w:id="769199181">
      <w:bodyDiv w:val="1"/>
      <w:marLeft w:val="0"/>
      <w:marRight w:val="0"/>
      <w:marTop w:val="0"/>
      <w:marBottom w:val="0"/>
      <w:divBdr>
        <w:top w:val="none" w:sz="0" w:space="0" w:color="auto"/>
        <w:left w:val="none" w:sz="0" w:space="0" w:color="auto"/>
        <w:bottom w:val="none" w:sz="0" w:space="0" w:color="auto"/>
        <w:right w:val="none" w:sz="0" w:space="0" w:color="auto"/>
      </w:divBdr>
    </w:div>
    <w:div w:id="799344927">
      <w:bodyDiv w:val="1"/>
      <w:marLeft w:val="0"/>
      <w:marRight w:val="0"/>
      <w:marTop w:val="0"/>
      <w:marBottom w:val="0"/>
      <w:divBdr>
        <w:top w:val="none" w:sz="0" w:space="0" w:color="auto"/>
        <w:left w:val="none" w:sz="0" w:space="0" w:color="auto"/>
        <w:bottom w:val="none" w:sz="0" w:space="0" w:color="auto"/>
        <w:right w:val="none" w:sz="0" w:space="0" w:color="auto"/>
      </w:divBdr>
    </w:div>
    <w:div w:id="820148401">
      <w:bodyDiv w:val="1"/>
      <w:marLeft w:val="0"/>
      <w:marRight w:val="0"/>
      <w:marTop w:val="0"/>
      <w:marBottom w:val="0"/>
      <w:divBdr>
        <w:top w:val="none" w:sz="0" w:space="0" w:color="auto"/>
        <w:left w:val="none" w:sz="0" w:space="0" w:color="auto"/>
        <w:bottom w:val="none" w:sz="0" w:space="0" w:color="auto"/>
        <w:right w:val="none" w:sz="0" w:space="0" w:color="auto"/>
      </w:divBdr>
    </w:div>
    <w:div w:id="826440492">
      <w:bodyDiv w:val="1"/>
      <w:marLeft w:val="0"/>
      <w:marRight w:val="0"/>
      <w:marTop w:val="0"/>
      <w:marBottom w:val="0"/>
      <w:divBdr>
        <w:top w:val="none" w:sz="0" w:space="0" w:color="auto"/>
        <w:left w:val="none" w:sz="0" w:space="0" w:color="auto"/>
        <w:bottom w:val="none" w:sz="0" w:space="0" w:color="auto"/>
        <w:right w:val="none" w:sz="0" w:space="0" w:color="auto"/>
      </w:divBdr>
    </w:div>
    <w:div w:id="831603963">
      <w:bodyDiv w:val="1"/>
      <w:marLeft w:val="0"/>
      <w:marRight w:val="0"/>
      <w:marTop w:val="0"/>
      <w:marBottom w:val="0"/>
      <w:divBdr>
        <w:top w:val="none" w:sz="0" w:space="0" w:color="auto"/>
        <w:left w:val="none" w:sz="0" w:space="0" w:color="auto"/>
        <w:bottom w:val="none" w:sz="0" w:space="0" w:color="auto"/>
        <w:right w:val="none" w:sz="0" w:space="0" w:color="auto"/>
      </w:divBdr>
    </w:div>
    <w:div w:id="859701268">
      <w:bodyDiv w:val="1"/>
      <w:marLeft w:val="0"/>
      <w:marRight w:val="0"/>
      <w:marTop w:val="0"/>
      <w:marBottom w:val="0"/>
      <w:divBdr>
        <w:top w:val="none" w:sz="0" w:space="0" w:color="auto"/>
        <w:left w:val="none" w:sz="0" w:space="0" w:color="auto"/>
        <w:bottom w:val="none" w:sz="0" w:space="0" w:color="auto"/>
        <w:right w:val="none" w:sz="0" w:space="0" w:color="auto"/>
      </w:divBdr>
    </w:div>
    <w:div w:id="860364447">
      <w:bodyDiv w:val="1"/>
      <w:marLeft w:val="0"/>
      <w:marRight w:val="0"/>
      <w:marTop w:val="0"/>
      <w:marBottom w:val="0"/>
      <w:divBdr>
        <w:top w:val="none" w:sz="0" w:space="0" w:color="auto"/>
        <w:left w:val="none" w:sz="0" w:space="0" w:color="auto"/>
        <w:bottom w:val="none" w:sz="0" w:space="0" w:color="auto"/>
        <w:right w:val="none" w:sz="0" w:space="0" w:color="auto"/>
      </w:divBdr>
    </w:div>
    <w:div w:id="861088622">
      <w:bodyDiv w:val="1"/>
      <w:marLeft w:val="0"/>
      <w:marRight w:val="0"/>
      <w:marTop w:val="0"/>
      <w:marBottom w:val="0"/>
      <w:divBdr>
        <w:top w:val="none" w:sz="0" w:space="0" w:color="auto"/>
        <w:left w:val="none" w:sz="0" w:space="0" w:color="auto"/>
        <w:bottom w:val="none" w:sz="0" w:space="0" w:color="auto"/>
        <w:right w:val="none" w:sz="0" w:space="0" w:color="auto"/>
      </w:divBdr>
    </w:div>
    <w:div w:id="862791126">
      <w:bodyDiv w:val="1"/>
      <w:marLeft w:val="0"/>
      <w:marRight w:val="0"/>
      <w:marTop w:val="0"/>
      <w:marBottom w:val="0"/>
      <w:divBdr>
        <w:top w:val="none" w:sz="0" w:space="0" w:color="auto"/>
        <w:left w:val="none" w:sz="0" w:space="0" w:color="auto"/>
        <w:bottom w:val="none" w:sz="0" w:space="0" w:color="auto"/>
        <w:right w:val="none" w:sz="0" w:space="0" w:color="auto"/>
      </w:divBdr>
    </w:div>
    <w:div w:id="886603435">
      <w:bodyDiv w:val="1"/>
      <w:marLeft w:val="0"/>
      <w:marRight w:val="0"/>
      <w:marTop w:val="0"/>
      <w:marBottom w:val="0"/>
      <w:divBdr>
        <w:top w:val="none" w:sz="0" w:space="0" w:color="auto"/>
        <w:left w:val="none" w:sz="0" w:space="0" w:color="auto"/>
        <w:bottom w:val="none" w:sz="0" w:space="0" w:color="auto"/>
        <w:right w:val="none" w:sz="0" w:space="0" w:color="auto"/>
      </w:divBdr>
    </w:div>
    <w:div w:id="911084521">
      <w:bodyDiv w:val="1"/>
      <w:marLeft w:val="0"/>
      <w:marRight w:val="0"/>
      <w:marTop w:val="0"/>
      <w:marBottom w:val="0"/>
      <w:divBdr>
        <w:top w:val="none" w:sz="0" w:space="0" w:color="auto"/>
        <w:left w:val="none" w:sz="0" w:space="0" w:color="auto"/>
        <w:bottom w:val="none" w:sz="0" w:space="0" w:color="auto"/>
        <w:right w:val="none" w:sz="0" w:space="0" w:color="auto"/>
      </w:divBdr>
    </w:div>
    <w:div w:id="916204501">
      <w:bodyDiv w:val="1"/>
      <w:marLeft w:val="0"/>
      <w:marRight w:val="0"/>
      <w:marTop w:val="0"/>
      <w:marBottom w:val="0"/>
      <w:divBdr>
        <w:top w:val="none" w:sz="0" w:space="0" w:color="auto"/>
        <w:left w:val="none" w:sz="0" w:space="0" w:color="auto"/>
        <w:bottom w:val="none" w:sz="0" w:space="0" w:color="auto"/>
        <w:right w:val="none" w:sz="0" w:space="0" w:color="auto"/>
      </w:divBdr>
    </w:div>
    <w:div w:id="930742336">
      <w:bodyDiv w:val="1"/>
      <w:marLeft w:val="0"/>
      <w:marRight w:val="0"/>
      <w:marTop w:val="0"/>
      <w:marBottom w:val="0"/>
      <w:divBdr>
        <w:top w:val="none" w:sz="0" w:space="0" w:color="auto"/>
        <w:left w:val="none" w:sz="0" w:space="0" w:color="auto"/>
        <w:bottom w:val="none" w:sz="0" w:space="0" w:color="auto"/>
        <w:right w:val="none" w:sz="0" w:space="0" w:color="auto"/>
      </w:divBdr>
    </w:div>
    <w:div w:id="935018158">
      <w:bodyDiv w:val="1"/>
      <w:marLeft w:val="0"/>
      <w:marRight w:val="0"/>
      <w:marTop w:val="0"/>
      <w:marBottom w:val="0"/>
      <w:divBdr>
        <w:top w:val="none" w:sz="0" w:space="0" w:color="auto"/>
        <w:left w:val="none" w:sz="0" w:space="0" w:color="auto"/>
        <w:bottom w:val="none" w:sz="0" w:space="0" w:color="auto"/>
        <w:right w:val="none" w:sz="0" w:space="0" w:color="auto"/>
      </w:divBdr>
    </w:div>
    <w:div w:id="957565504">
      <w:bodyDiv w:val="1"/>
      <w:marLeft w:val="0"/>
      <w:marRight w:val="0"/>
      <w:marTop w:val="0"/>
      <w:marBottom w:val="0"/>
      <w:divBdr>
        <w:top w:val="none" w:sz="0" w:space="0" w:color="auto"/>
        <w:left w:val="none" w:sz="0" w:space="0" w:color="auto"/>
        <w:bottom w:val="none" w:sz="0" w:space="0" w:color="auto"/>
        <w:right w:val="none" w:sz="0" w:space="0" w:color="auto"/>
      </w:divBdr>
    </w:div>
    <w:div w:id="966006456">
      <w:bodyDiv w:val="1"/>
      <w:marLeft w:val="0"/>
      <w:marRight w:val="0"/>
      <w:marTop w:val="0"/>
      <w:marBottom w:val="0"/>
      <w:divBdr>
        <w:top w:val="none" w:sz="0" w:space="0" w:color="auto"/>
        <w:left w:val="none" w:sz="0" w:space="0" w:color="auto"/>
        <w:bottom w:val="none" w:sz="0" w:space="0" w:color="auto"/>
        <w:right w:val="none" w:sz="0" w:space="0" w:color="auto"/>
      </w:divBdr>
    </w:div>
    <w:div w:id="970478824">
      <w:bodyDiv w:val="1"/>
      <w:marLeft w:val="0"/>
      <w:marRight w:val="0"/>
      <w:marTop w:val="0"/>
      <w:marBottom w:val="0"/>
      <w:divBdr>
        <w:top w:val="none" w:sz="0" w:space="0" w:color="auto"/>
        <w:left w:val="none" w:sz="0" w:space="0" w:color="auto"/>
        <w:bottom w:val="none" w:sz="0" w:space="0" w:color="auto"/>
        <w:right w:val="none" w:sz="0" w:space="0" w:color="auto"/>
      </w:divBdr>
    </w:div>
    <w:div w:id="970981565">
      <w:bodyDiv w:val="1"/>
      <w:marLeft w:val="0"/>
      <w:marRight w:val="0"/>
      <w:marTop w:val="0"/>
      <w:marBottom w:val="0"/>
      <w:divBdr>
        <w:top w:val="none" w:sz="0" w:space="0" w:color="auto"/>
        <w:left w:val="none" w:sz="0" w:space="0" w:color="auto"/>
        <w:bottom w:val="none" w:sz="0" w:space="0" w:color="auto"/>
        <w:right w:val="none" w:sz="0" w:space="0" w:color="auto"/>
      </w:divBdr>
    </w:div>
    <w:div w:id="980423059">
      <w:bodyDiv w:val="1"/>
      <w:marLeft w:val="0"/>
      <w:marRight w:val="0"/>
      <w:marTop w:val="0"/>
      <w:marBottom w:val="0"/>
      <w:divBdr>
        <w:top w:val="none" w:sz="0" w:space="0" w:color="auto"/>
        <w:left w:val="none" w:sz="0" w:space="0" w:color="auto"/>
        <w:bottom w:val="none" w:sz="0" w:space="0" w:color="auto"/>
        <w:right w:val="none" w:sz="0" w:space="0" w:color="auto"/>
      </w:divBdr>
    </w:div>
    <w:div w:id="981084189">
      <w:bodyDiv w:val="1"/>
      <w:marLeft w:val="0"/>
      <w:marRight w:val="0"/>
      <w:marTop w:val="0"/>
      <w:marBottom w:val="0"/>
      <w:divBdr>
        <w:top w:val="none" w:sz="0" w:space="0" w:color="auto"/>
        <w:left w:val="none" w:sz="0" w:space="0" w:color="auto"/>
        <w:bottom w:val="none" w:sz="0" w:space="0" w:color="auto"/>
        <w:right w:val="none" w:sz="0" w:space="0" w:color="auto"/>
      </w:divBdr>
    </w:div>
    <w:div w:id="992835686">
      <w:bodyDiv w:val="1"/>
      <w:marLeft w:val="0"/>
      <w:marRight w:val="0"/>
      <w:marTop w:val="0"/>
      <w:marBottom w:val="0"/>
      <w:divBdr>
        <w:top w:val="none" w:sz="0" w:space="0" w:color="auto"/>
        <w:left w:val="none" w:sz="0" w:space="0" w:color="auto"/>
        <w:bottom w:val="none" w:sz="0" w:space="0" w:color="auto"/>
        <w:right w:val="none" w:sz="0" w:space="0" w:color="auto"/>
      </w:divBdr>
    </w:div>
    <w:div w:id="997541223">
      <w:bodyDiv w:val="1"/>
      <w:marLeft w:val="0"/>
      <w:marRight w:val="0"/>
      <w:marTop w:val="0"/>
      <w:marBottom w:val="0"/>
      <w:divBdr>
        <w:top w:val="none" w:sz="0" w:space="0" w:color="auto"/>
        <w:left w:val="none" w:sz="0" w:space="0" w:color="auto"/>
        <w:bottom w:val="none" w:sz="0" w:space="0" w:color="auto"/>
        <w:right w:val="none" w:sz="0" w:space="0" w:color="auto"/>
      </w:divBdr>
    </w:div>
    <w:div w:id="1017390401">
      <w:bodyDiv w:val="1"/>
      <w:marLeft w:val="0"/>
      <w:marRight w:val="0"/>
      <w:marTop w:val="0"/>
      <w:marBottom w:val="0"/>
      <w:divBdr>
        <w:top w:val="none" w:sz="0" w:space="0" w:color="auto"/>
        <w:left w:val="none" w:sz="0" w:space="0" w:color="auto"/>
        <w:bottom w:val="none" w:sz="0" w:space="0" w:color="auto"/>
        <w:right w:val="none" w:sz="0" w:space="0" w:color="auto"/>
      </w:divBdr>
    </w:div>
    <w:div w:id="1023630824">
      <w:bodyDiv w:val="1"/>
      <w:marLeft w:val="0"/>
      <w:marRight w:val="0"/>
      <w:marTop w:val="0"/>
      <w:marBottom w:val="0"/>
      <w:divBdr>
        <w:top w:val="none" w:sz="0" w:space="0" w:color="auto"/>
        <w:left w:val="none" w:sz="0" w:space="0" w:color="auto"/>
        <w:bottom w:val="none" w:sz="0" w:space="0" w:color="auto"/>
        <w:right w:val="none" w:sz="0" w:space="0" w:color="auto"/>
      </w:divBdr>
    </w:div>
    <w:div w:id="1029064830">
      <w:bodyDiv w:val="1"/>
      <w:marLeft w:val="0"/>
      <w:marRight w:val="0"/>
      <w:marTop w:val="0"/>
      <w:marBottom w:val="0"/>
      <w:divBdr>
        <w:top w:val="none" w:sz="0" w:space="0" w:color="auto"/>
        <w:left w:val="none" w:sz="0" w:space="0" w:color="auto"/>
        <w:bottom w:val="none" w:sz="0" w:space="0" w:color="auto"/>
        <w:right w:val="none" w:sz="0" w:space="0" w:color="auto"/>
      </w:divBdr>
    </w:div>
    <w:div w:id="1043406615">
      <w:bodyDiv w:val="1"/>
      <w:marLeft w:val="0"/>
      <w:marRight w:val="0"/>
      <w:marTop w:val="0"/>
      <w:marBottom w:val="0"/>
      <w:divBdr>
        <w:top w:val="none" w:sz="0" w:space="0" w:color="auto"/>
        <w:left w:val="none" w:sz="0" w:space="0" w:color="auto"/>
        <w:bottom w:val="none" w:sz="0" w:space="0" w:color="auto"/>
        <w:right w:val="none" w:sz="0" w:space="0" w:color="auto"/>
      </w:divBdr>
    </w:div>
    <w:div w:id="1046492142">
      <w:bodyDiv w:val="1"/>
      <w:marLeft w:val="0"/>
      <w:marRight w:val="0"/>
      <w:marTop w:val="0"/>
      <w:marBottom w:val="0"/>
      <w:divBdr>
        <w:top w:val="none" w:sz="0" w:space="0" w:color="auto"/>
        <w:left w:val="none" w:sz="0" w:space="0" w:color="auto"/>
        <w:bottom w:val="none" w:sz="0" w:space="0" w:color="auto"/>
        <w:right w:val="none" w:sz="0" w:space="0" w:color="auto"/>
      </w:divBdr>
    </w:div>
    <w:div w:id="1080372008">
      <w:bodyDiv w:val="1"/>
      <w:marLeft w:val="0"/>
      <w:marRight w:val="0"/>
      <w:marTop w:val="0"/>
      <w:marBottom w:val="0"/>
      <w:divBdr>
        <w:top w:val="none" w:sz="0" w:space="0" w:color="auto"/>
        <w:left w:val="none" w:sz="0" w:space="0" w:color="auto"/>
        <w:bottom w:val="none" w:sz="0" w:space="0" w:color="auto"/>
        <w:right w:val="none" w:sz="0" w:space="0" w:color="auto"/>
      </w:divBdr>
    </w:div>
    <w:div w:id="1087967917">
      <w:bodyDiv w:val="1"/>
      <w:marLeft w:val="0"/>
      <w:marRight w:val="0"/>
      <w:marTop w:val="0"/>
      <w:marBottom w:val="0"/>
      <w:divBdr>
        <w:top w:val="none" w:sz="0" w:space="0" w:color="auto"/>
        <w:left w:val="none" w:sz="0" w:space="0" w:color="auto"/>
        <w:bottom w:val="none" w:sz="0" w:space="0" w:color="auto"/>
        <w:right w:val="none" w:sz="0" w:space="0" w:color="auto"/>
      </w:divBdr>
    </w:div>
    <w:div w:id="1097676759">
      <w:bodyDiv w:val="1"/>
      <w:marLeft w:val="0"/>
      <w:marRight w:val="0"/>
      <w:marTop w:val="0"/>
      <w:marBottom w:val="0"/>
      <w:divBdr>
        <w:top w:val="none" w:sz="0" w:space="0" w:color="auto"/>
        <w:left w:val="none" w:sz="0" w:space="0" w:color="auto"/>
        <w:bottom w:val="none" w:sz="0" w:space="0" w:color="auto"/>
        <w:right w:val="none" w:sz="0" w:space="0" w:color="auto"/>
      </w:divBdr>
    </w:div>
    <w:div w:id="1098018323">
      <w:bodyDiv w:val="1"/>
      <w:marLeft w:val="0"/>
      <w:marRight w:val="0"/>
      <w:marTop w:val="0"/>
      <w:marBottom w:val="0"/>
      <w:divBdr>
        <w:top w:val="none" w:sz="0" w:space="0" w:color="auto"/>
        <w:left w:val="none" w:sz="0" w:space="0" w:color="auto"/>
        <w:bottom w:val="none" w:sz="0" w:space="0" w:color="auto"/>
        <w:right w:val="none" w:sz="0" w:space="0" w:color="auto"/>
      </w:divBdr>
    </w:div>
    <w:div w:id="1098909107">
      <w:bodyDiv w:val="1"/>
      <w:marLeft w:val="0"/>
      <w:marRight w:val="0"/>
      <w:marTop w:val="0"/>
      <w:marBottom w:val="0"/>
      <w:divBdr>
        <w:top w:val="none" w:sz="0" w:space="0" w:color="auto"/>
        <w:left w:val="none" w:sz="0" w:space="0" w:color="auto"/>
        <w:bottom w:val="none" w:sz="0" w:space="0" w:color="auto"/>
        <w:right w:val="none" w:sz="0" w:space="0" w:color="auto"/>
      </w:divBdr>
    </w:div>
    <w:div w:id="1101417377">
      <w:bodyDiv w:val="1"/>
      <w:marLeft w:val="0"/>
      <w:marRight w:val="0"/>
      <w:marTop w:val="0"/>
      <w:marBottom w:val="0"/>
      <w:divBdr>
        <w:top w:val="none" w:sz="0" w:space="0" w:color="auto"/>
        <w:left w:val="none" w:sz="0" w:space="0" w:color="auto"/>
        <w:bottom w:val="none" w:sz="0" w:space="0" w:color="auto"/>
        <w:right w:val="none" w:sz="0" w:space="0" w:color="auto"/>
      </w:divBdr>
    </w:div>
    <w:div w:id="1111441299">
      <w:bodyDiv w:val="1"/>
      <w:marLeft w:val="0"/>
      <w:marRight w:val="0"/>
      <w:marTop w:val="0"/>
      <w:marBottom w:val="0"/>
      <w:divBdr>
        <w:top w:val="none" w:sz="0" w:space="0" w:color="auto"/>
        <w:left w:val="none" w:sz="0" w:space="0" w:color="auto"/>
        <w:bottom w:val="none" w:sz="0" w:space="0" w:color="auto"/>
        <w:right w:val="none" w:sz="0" w:space="0" w:color="auto"/>
      </w:divBdr>
    </w:div>
    <w:div w:id="1127045583">
      <w:bodyDiv w:val="1"/>
      <w:marLeft w:val="0"/>
      <w:marRight w:val="0"/>
      <w:marTop w:val="0"/>
      <w:marBottom w:val="0"/>
      <w:divBdr>
        <w:top w:val="none" w:sz="0" w:space="0" w:color="auto"/>
        <w:left w:val="none" w:sz="0" w:space="0" w:color="auto"/>
        <w:bottom w:val="none" w:sz="0" w:space="0" w:color="auto"/>
        <w:right w:val="none" w:sz="0" w:space="0" w:color="auto"/>
      </w:divBdr>
      <w:divsChild>
        <w:div w:id="1690450366">
          <w:marLeft w:val="1080"/>
          <w:marRight w:val="0"/>
          <w:marTop w:val="0"/>
          <w:marBottom w:val="240"/>
          <w:divBdr>
            <w:top w:val="none" w:sz="0" w:space="0" w:color="auto"/>
            <w:left w:val="none" w:sz="0" w:space="0" w:color="auto"/>
            <w:bottom w:val="none" w:sz="0" w:space="0" w:color="auto"/>
            <w:right w:val="none" w:sz="0" w:space="0" w:color="auto"/>
          </w:divBdr>
        </w:div>
      </w:divsChild>
    </w:div>
    <w:div w:id="1134756358">
      <w:bodyDiv w:val="1"/>
      <w:marLeft w:val="0"/>
      <w:marRight w:val="0"/>
      <w:marTop w:val="0"/>
      <w:marBottom w:val="0"/>
      <w:divBdr>
        <w:top w:val="none" w:sz="0" w:space="0" w:color="auto"/>
        <w:left w:val="none" w:sz="0" w:space="0" w:color="auto"/>
        <w:bottom w:val="none" w:sz="0" w:space="0" w:color="auto"/>
        <w:right w:val="none" w:sz="0" w:space="0" w:color="auto"/>
      </w:divBdr>
    </w:div>
    <w:div w:id="1140419613">
      <w:bodyDiv w:val="1"/>
      <w:marLeft w:val="0"/>
      <w:marRight w:val="0"/>
      <w:marTop w:val="0"/>
      <w:marBottom w:val="0"/>
      <w:divBdr>
        <w:top w:val="none" w:sz="0" w:space="0" w:color="auto"/>
        <w:left w:val="none" w:sz="0" w:space="0" w:color="auto"/>
        <w:bottom w:val="none" w:sz="0" w:space="0" w:color="auto"/>
        <w:right w:val="none" w:sz="0" w:space="0" w:color="auto"/>
      </w:divBdr>
    </w:div>
    <w:div w:id="1145396068">
      <w:bodyDiv w:val="1"/>
      <w:marLeft w:val="0"/>
      <w:marRight w:val="0"/>
      <w:marTop w:val="0"/>
      <w:marBottom w:val="0"/>
      <w:divBdr>
        <w:top w:val="none" w:sz="0" w:space="0" w:color="auto"/>
        <w:left w:val="none" w:sz="0" w:space="0" w:color="auto"/>
        <w:bottom w:val="none" w:sz="0" w:space="0" w:color="auto"/>
        <w:right w:val="none" w:sz="0" w:space="0" w:color="auto"/>
      </w:divBdr>
    </w:div>
    <w:div w:id="1162307837">
      <w:bodyDiv w:val="1"/>
      <w:marLeft w:val="0"/>
      <w:marRight w:val="0"/>
      <w:marTop w:val="0"/>
      <w:marBottom w:val="0"/>
      <w:divBdr>
        <w:top w:val="none" w:sz="0" w:space="0" w:color="auto"/>
        <w:left w:val="none" w:sz="0" w:space="0" w:color="auto"/>
        <w:bottom w:val="none" w:sz="0" w:space="0" w:color="auto"/>
        <w:right w:val="none" w:sz="0" w:space="0" w:color="auto"/>
      </w:divBdr>
    </w:div>
    <w:div w:id="1168061317">
      <w:bodyDiv w:val="1"/>
      <w:marLeft w:val="0"/>
      <w:marRight w:val="0"/>
      <w:marTop w:val="0"/>
      <w:marBottom w:val="0"/>
      <w:divBdr>
        <w:top w:val="none" w:sz="0" w:space="0" w:color="auto"/>
        <w:left w:val="none" w:sz="0" w:space="0" w:color="auto"/>
        <w:bottom w:val="none" w:sz="0" w:space="0" w:color="auto"/>
        <w:right w:val="none" w:sz="0" w:space="0" w:color="auto"/>
      </w:divBdr>
    </w:div>
    <w:div w:id="1172914214">
      <w:bodyDiv w:val="1"/>
      <w:marLeft w:val="0"/>
      <w:marRight w:val="0"/>
      <w:marTop w:val="0"/>
      <w:marBottom w:val="0"/>
      <w:divBdr>
        <w:top w:val="none" w:sz="0" w:space="0" w:color="auto"/>
        <w:left w:val="none" w:sz="0" w:space="0" w:color="auto"/>
        <w:bottom w:val="none" w:sz="0" w:space="0" w:color="auto"/>
        <w:right w:val="none" w:sz="0" w:space="0" w:color="auto"/>
      </w:divBdr>
    </w:div>
    <w:div w:id="1172989771">
      <w:bodyDiv w:val="1"/>
      <w:marLeft w:val="0"/>
      <w:marRight w:val="0"/>
      <w:marTop w:val="0"/>
      <w:marBottom w:val="0"/>
      <w:divBdr>
        <w:top w:val="none" w:sz="0" w:space="0" w:color="auto"/>
        <w:left w:val="none" w:sz="0" w:space="0" w:color="auto"/>
        <w:bottom w:val="none" w:sz="0" w:space="0" w:color="auto"/>
        <w:right w:val="none" w:sz="0" w:space="0" w:color="auto"/>
      </w:divBdr>
    </w:div>
    <w:div w:id="1198200751">
      <w:bodyDiv w:val="1"/>
      <w:marLeft w:val="0"/>
      <w:marRight w:val="0"/>
      <w:marTop w:val="0"/>
      <w:marBottom w:val="0"/>
      <w:divBdr>
        <w:top w:val="none" w:sz="0" w:space="0" w:color="auto"/>
        <w:left w:val="none" w:sz="0" w:space="0" w:color="auto"/>
        <w:bottom w:val="none" w:sz="0" w:space="0" w:color="auto"/>
        <w:right w:val="none" w:sz="0" w:space="0" w:color="auto"/>
      </w:divBdr>
    </w:div>
    <w:div w:id="1210141445">
      <w:bodyDiv w:val="1"/>
      <w:marLeft w:val="0"/>
      <w:marRight w:val="0"/>
      <w:marTop w:val="0"/>
      <w:marBottom w:val="0"/>
      <w:divBdr>
        <w:top w:val="none" w:sz="0" w:space="0" w:color="auto"/>
        <w:left w:val="none" w:sz="0" w:space="0" w:color="auto"/>
        <w:bottom w:val="none" w:sz="0" w:space="0" w:color="auto"/>
        <w:right w:val="none" w:sz="0" w:space="0" w:color="auto"/>
      </w:divBdr>
    </w:div>
    <w:div w:id="1220359658">
      <w:bodyDiv w:val="1"/>
      <w:marLeft w:val="0"/>
      <w:marRight w:val="0"/>
      <w:marTop w:val="0"/>
      <w:marBottom w:val="0"/>
      <w:divBdr>
        <w:top w:val="none" w:sz="0" w:space="0" w:color="auto"/>
        <w:left w:val="none" w:sz="0" w:space="0" w:color="auto"/>
        <w:bottom w:val="none" w:sz="0" w:space="0" w:color="auto"/>
        <w:right w:val="none" w:sz="0" w:space="0" w:color="auto"/>
      </w:divBdr>
    </w:div>
    <w:div w:id="1233812088">
      <w:bodyDiv w:val="1"/>
      <w:marLeft w:val="0"/>
      <w:marRight w:val="0"/>
      <w:marTop w:val="0"/>
      <w:marBottom w:val="0"/>
      <w:divBdr>
        <w:top w:val="none" w:sz="0" w:space="0" w:color="auto"/>
        <w:left w:val="none" w:sz="0" w:space="0" w:color="auto"/>
        <w:bottom w:val="none" w:sz="0" w:space="0" w:color="auto"/>
        <w:right w:val="none" w:sz="0" w:space="0" w:color="auto"/>
      </w:divBdr>
    </w:div>
    <w:div w:id="1239097268">
      <w:bodyDiv w:val="1"/>
      <w:marLeft w:val="0"/>
      <w:marRight w:val="0"/>
      <w:marTop w:val="0"/>
      <w:marBottom w:val="0"/>
      <w:divBdr>
        <w:top w:val="none" w:sz="0" w:space="0" w:color="auto"/>
        <w:left w:val="none" w:sz="0" w:space="0" w:color="auto"/>
        <w:bottom w:val="none" w:sz="0" w:space="0" w:color="auto"/>
        <w:right w:val="none" w:sz="0" w:space="0" w:color="auto"/>
      </w:divBdr>
    </w:div>
    <w:div w:id="1239170296">
      <w:bodyDiv w:val="1"/>
      <w:marLeft w:val="0"/>
      <w:marRight w:val="0"/>
      <w:marTop w:val="0"/>
      <w:marBottom w:val="0"/>
      <w:divBdr>
        <w:top w:val="none" w:sz="0" w:space="0" w:color="auto"/>
        <w:left w:val="none" w:sz="0" w:space="0" w:color="auto"/>
        <w:bottom w:val="none" w:sz="0" w:space="0" w:color="auto"/>
        <w:right w:val="none" w:sz="0" w:space="0" w:color="auto"/>
      </w:divBdr>
    </w:div>
    <w:div w:id="1266228377">
      <w:bodyDiv w:val="1"/>
      <w:marLeft w:val="0"/>
      <w:marRight w:val="0"/>
      <w:marTop w:val="0"/>
      <w:marBottom w:val="0"/>
      <w:divBdr>
        <w:top w:val="none" w:sz="0" w:space="0" w:color="auto"/>
        <w:left w:val="none" w:sz="0" w:space="0" w:color="auto"/>
        <w:bottom w:val="none" w:sz="0" w:space="0" w:color="auto"/>
        <w:right w:val="none" w:sz="0" w:space="0" w:color="auto"/>
      </w:divBdr>
    </w:div>
    <w:div w:id="1267151887">
      <w:bodyDiv w:val="1"/>
      <w:marLeft w:val="0"/>
      <w:marRight w:val="0"/>
      <w:marTop w:val="0"/>
      <w:marBottom w:val="0"/>
      <w:divBdr>
        <w:top w:val="none" w:sz="0" w:space="0" w:color="auto"/>
        <w:left w:val="none" w:sz="0" w:space="0" w:color="auto"/>
        <w:bottom w:val="none" w:sz="0" w:space="0" w:color="auto"/>
        <w:right w:val="none" w:sz="0" w:space="0" w:color="auto"/>
      </w:divBdr>
    </w:div>
    <w:div w:id="1299652955">
      <w:bodyDiv w:val="1"/>
      <w:marLeft w:val="0"/>
      <w:marRight w:val="0"/>
      <w:marTop w:val="0"/>
      <w:marBottom w:val="0"/>
      <w:divBdr>
        <w:top w:val="none" w:sz="0" w:space="0" w:color="auto"/>
        <w:left w:val="none" w:sz="0" w:space="0" w:color="auto"/>
        <w:bottom w:val="none" w:sz="0" w:space="0" w:color="auto"/>
        <w:right w:val="none" w:sz="0" w:space="0" w:color="auto"/>
      </w:divBdr>
    </w:div>
    <w:div w:id="1312445905">
      <w:bodyDiv w:val="1"/>
      <w:marLeft w:val="0"/>
      <w:marRight w:val="0"/>
      <w:marTop w:val="0"/>
      <w:marBottom w:val="0"/>
      <w:divBdr>
        <w:top w:val="none" w:sz="0" w:space="0" w:color="auto"/>
        <w:left w:val="none" w:sz="0" w:space="0" w:color="auto"/>
        <w:bottom w:val="none" w:sz="0" w:space="0" w:color="auto"/>
        <w:right w:val="none" w:sz="0" w:space="0" w:color="auto"/>
      </w:divBdr>
    </w:div>
    <w:div w:id="1321041838">
      <w:bodyDiv w:val="1"/>
      <w:marLeft w:val="0"/>
      <w:marRight w:val="0"/>
      <w:marTop w:val="0"/>
      <w:marBottom w:val="0"/>
      <w:divBdr>
        <w:top w:val="none" w:sz="0" w:space="0" w:color="auto"/>
        <w:left w:val="none" w:sz="0" w:space="0" w:color="auto"/>
        <w:bottom w:val="none" w:sz="0" w:space="0" w:color="auto"/>
        <w:right w:val="none" w:sz="0" w:space="0" w:color="auto"/>
      </w:divBdr>
    </w:div>
    <w:div w:id="1323042544">
      <w:bodyDiv w:val="1"/>
      <w:marLeft w:val="0"/>
      <w:marRight w:val="0"/>
      <w:marTop w:val="0"/>
      <w:marBottom w:val="0"/>
      <w:divBdr>
        <w:top w:val="none" w:sz="0" w:space="0" w:color="auto"/>
        <w:left w:val="none" w:sz="0" w:space="0" w:color="auto"/>
        <w:bottom w:val="none" w:sz="0" w:space="0" w:color="auto"/>
        <w:right w:val="none" w:sz="0" w:space="0" w:color="auto"/>
      </w:divBdr>
    </w:div>
    <w:div w:id="1346711212">
      <w:bodyDiv w:val="1"/>
      <w:marLeft w:val="0"/>
      <w:marRight w:val="0"/>
      <w:marTop w:val="0"/>
      <w:marBottom w:val="0"/>
      <w:divBdr>
        <w:top w:val="none" w:sz="0" w:space="0" w:color="auto"/>
        <w:left w:val="none" w:sz="0" w:space="0" w:color="auto"/>
        <w:bottom w:val="none" w:sz="0" w:space="0" w:color="auto"/>
        <w:right w:val="none" w:sz="0" w:space="0" w:color="auto"/>
      </w:divBdr>
    </w:div>
    <w:div w:id="1357347516">
      <w:bodyDiv w:val="1"/>
      <w:marLeft w:val="0"/>
      <w:marRight w:val="0"/>
      <w:marTop w:val="0"/>
      <w:marBottom w:val="0"/>
      <w:divBdr>
        <w:top w:val="none" w:sz="0" w:space="0" w:color="auto"/>
        <w:left w:val="none" w:sz="0" w:space="0" w:color="auto"/>
        <w:bottom w:val="none" w:sz="0" w:space="0" w:color="auto"/>
        <w:right w:val="none" w:sz="0" w:space="0" w:color="auto"/>
      </w:divBdr>
    </w:div>
    <w:div w:id="1361396644">
      <w:bodyDiv w:val="1"/>
      <w:marLeft w:val="0"/>
      <w:marRight w:val="0"/>
      <w:marTop w:val="0"/>
      <w:marBottom w:val="0"/>
      <w:divBdr>
        <w:top w:val="none" w:sz="0" w:space="0" w:color="auto"/>
        <w:left w:val="none" w:sz="0" w:space="0" w:color="auto"/>
        <w:bottom w:val="none" w:sz="0" w:space="0" w:color="auto"/>
        <w:right w:val="none" w:sz="0" w:space="0" w:color="auto"/>
      </w:divBdr>
      <w:divsChild>
        <w:div w:id="1565138621">
          <w:marLeft w:val="0"/>
          <w:marRight w:val="0"/>
          <w:marTop w:val="0"/>
          <w:marBottom w:val="0"/>
          <w:divBdr>
            <w:top w:val="none" w:sz="0" w:space="0" w:color="auto"/>
            <w:left w:val="none" w:sz="0" w:space="0" w:color="auto"/>
            <w:bottom w:val="none" w:sz="0" w:space="0" w:color="auto"/>
            <w:right w:val="none" w:sz="0" w:space="0" w:color="auto"/>
          </w:divBdr>
        </w:div>
      </w:divsChild>
    </w:div>
    <w:div w:id="1378819761">
      <w:bodyDiv w:val="1"/>
      <w:marLeft w:val="0"/>
      <w:marRight w:val="0"/>
      <w:marTop w:val="0"/>
      <w:marBottom w:val="0"/>
      <w:divBdr>
        <w:top w:val="none" w:sz="0" w:space="0" w:color="auto"/>
        <w:left w:val="none" w:sz="0" w:space="0" w:color="auto"/>
        <w:bottom w:val="none" w:sz="0" w:space="0" w:color="auto"/>
        <w:right w:val="none" w:sz="0" w:space="0" w:color="auto"/>
      </w:divBdr>
    </w:div>
    <w:div w:id="1379283568">
      <w:bodyDiv w:val="1"/>
      <w:marLeft w:val="0"/>
      <w:marRight w:val="0"/>
      <w:marTop w:val="0"/>
      <w:marBottom w:val="0"/>
      <w:divBdr>
        <w:top w:val="none" w:sz="0" w:space="0" w:color="auto"/>
        <w:left w:val="none" w:sz="0" w:space="0" w:color="auto"/>
        <w:bottom w:val="none" w:sz="0" w:space="0" w:color="auto"/>
        <w:right w:val="none" w:sz="0" w:space="0" w:color="auto"/>
      </w:divBdr>
    </w:div>
    <w:div w:id="1379627054">
      <w:bodyDiv w:val="1"/>
      <w:marLeft w:val="0"/>
      <w:marRight w:val="0"/>
      <w:marTop w:val="0"/>
      <w:marBottom w:val="0"/>
      <w:divBdr>
        <w:top w:val="none" w:sz="0" w:space="0" w:color="auto"/>
        <w:left w:val="none" w:sz="0" w:space="0" w:color="auto"/>
        <w:bottom w:val="none" w:sz="0" w:space="0" w:color="auto"/>
        <w:right w:val="none" w:sz="0" w:space="0" w:color="auto"/>
      </w:divBdr>
    </w:div>
    <w:div w:id="1433672761">
      <w:bodyDiv w:val="1"/>
      <w:marLeft w:val="0"/>
      <w:marRight w:val="0"/>
      <w:marTop w:val="0"/>
      <w:marBottom w:val="0"/>
      <w:divBdr>
        <w:top w:val="none" w:sz="0" w:space="0" w:color="auto"/>
        <w:left w:val="none" w:sz="0" w:space="0" w:color="auto"/>
        <w:bottom w:val="none" w:sz="0" w:space="0" w:color="auto"/>
        <w:right w:val="none" w:sz="0" w:space="0" w:color="auto"/>
      </w:divBdr>
    </w:div>
    <w:div w:id="1451247479">
      <w:bodyDiv w:val="1"/>
      <w:marLeft w:val="0"/>
      <w:marRight w:val="0"/>
      <w:marTop w:val="0"/>
      <w:marBottom w:val="0"/>
      <w:divBdr>
        <w:top w:val="none" w:sz="0" w:space="0" w:color="auto"/>
        <w:left w:val="none" w:sz="0" w:space="0" w:color="auto"/>
        <w:bottom w:val="none" w:sz="0" w:space="0" w:color="auto"/>
        <w:right w:val="none" w:sz="0" w:space="0" w:color="auto"/>
      </w:divBdr>
    </w:div>
    <w:div w:id="1459452636">
      <w:bodyDiv w:val="1"/>
      <w:marLeft w:val="0"/>
      <w:marRight w:val="0"/>
      <w:marTop w:val="0"/>
      <w:marBottom w:val="0"/>
      <w:divBdr>
        <w:top w:val="none" w:sz="0" w:space="0" w:color="auto"/>
        <w:left w:val="none" w:sz="0" w:space="0" w:color="auto"/>
        <w:bottom w:val="none" w:sz="0" w:space="0" w:color="auto"/>
        <w:right w:val="none" w:sz="0" w:space="0" w:color="auto"/>
      </w:divBdr>
    </w:div>
    <w:div w:id="1470515905">
      <w:bodyDiv w:val="1"/>
      <w:marLeft w:val="0"/>
      <w:marRight w:val="0"/>
      <w:marTop w:val="0"/>
      <w:marBottom w:val="0"/>
      <w:divBdr>
        <w:top w:val="none" w:sz="0" w:space="0" w:color="auto"/>
        <w:left w:val="none" w:sz="0" w:space="0" w:color="auto"/>
        <w:bottom w:val="none" w:sz="0" w:space="0" w:color="auto"/>
        <w:right w:val="none" w:sz="0" w:space="0" w:color="auto"/>
      </w:divBdr>
    </w:div>
    <w:div w:id="1489050994">
      <w:bodyDiv w:val="1"/>
      <w:marLeft w:val="0"/>
      <w:marRight w:val="0"/>
      <w:marTop w:val="0"/>
      <w:marBottom w:val="0"/>
      <w:divBdr>
        <w:top w:val="none" w:sz="0" w:space="0" w:color="auto"/>
        <w:left w:val="none" w:sz="0" w:space="0" w:color="auto"/>
        <w:bottom w:val="none" w:sz="0" w:space="0" w:color="auto"/>
        <w:right w:val="none" w:sz="0" w:space="0" w:color="auto"/>
      </w:divBdr>
    </w:div>
    <w:div w:id="1492328997">
      <w:bodyDiv w:val="1"/>
      <w:marLeft w:val="0"/>
      <w:marRight w:val="0"/>
      <w:marTop w:val="0"/>
      <w:marBottom w:val="0"/>
      <w:divBdr>
        <w:top w:val="none" w:sz="0" w:space="0" w:color="auto"/>
        <w:left w:val="none" w:sz="0" w:space="0" w:color="auto"/>
        <w:bottom w:val="none" w:sz="0" w:space="0" w:color="auto"/>
        <w:right w:val="none" w:sz="0" w:space="0" w:color="auto"/>
      </w:divBdr>
    </w:div>
    <w:div w:id="1500389241">
      <w:bodyDiv w:val="1"/>
      <w:marLeft w:val="0"/>
      <w:marRight w:val="0"/>
      <w:marTop w:val="0"/>
      <w:marBottom w:val="0"/>
      <w:divBdr>
        <w:top w:val="none" w:sz="0" w:space="0" w:color="auto"/>
        <w:left w:val="none" w:sz="0" w:space="0" w:color="auto"/>
        <w:bottom w:val="none" w:sz="0" w:space="0" w:color="auto"/>
        <w:right w:val="none" w:sz="0" w:space="0" w:color="auto"/>
      </w:divBdr>
    </w:div>
    <w:div w:id="1527871340">
      <w:bodyDiv w:val="1"/>
      <w:marLeft w:val="0"/>
      <w:marRight w:val="0"/>
      <w:marTop w:val="0"/>
      <w:marBottom w:val="0"/>
      <w:divBdr>
        <w:top w:val="none" w:sz="0" w:space="0" w:color="auto"/>
        <w:left w:val="none" w:sz="0" w:space="0" w:color="auto"/>
        <w:bottom w:val="none" w:sz="0" w:space="0" w:color="auto"/>
        <w:right w:val="none" w:sz="0" w:space="0" w:color="auto"/>
      </w:divBdr>
    </w:div>
    <w:div w:id="1541357795">
      <w:bodyDiv w:val="1"/>
      <w:marLeft w:val="0"/>
      <w:marRight w:val="0"/>
      <w:marTop w:val="0"/>
      <w:marBottom w:val="0"/>
      <w:divBdr>
        <w:top w:val="none" w:sz="0" w:space="0" w:color="auto"/>
        <w:left w:val="none" w:sz="0" w:space="0" w:color="auto"/>
        <w:bottom w:val="none" w:sz="0" w:space="0" w:color="auto"/>
        <w:right w:val="none" w:sz="0" w:space="0" w:color="auto"/>
      </w:divBdr>
    </w:div>
    <w:div w:id="1554655925">
      <w:bodyDiv w:val="1"/>
      <w:marLeft w:val="0"/>
      <w:marRight w:val="0"/>
      <w:marTop w:val="0"/>
      <w:marBottom w:val="0"/>
      <w:divBdr>
        <w:top w:val="none" w:sz="0" w:space="0" w:color="auto"/>
        <w:left w:val="none" w:sz="0" w:space="0" w:color="auto"/>
        <w:bottom w:val="none" w:sz="0" w:space="0" w:color="auto"/>
        <w:right w:val="none" w:sz="0" w:space="0" w:color="auto"/>
      </w:divBdr>
    </w:div>
    <w:div w:id="1557082863">
      <w:bodyDiv w:val="1"/>
      <w:marLeft w:val="0"/>
      <w:marRight w:val="0"/>
      <w:marTop w:val="0"/>
      <w:marBottom w:val="0"/>
      <w:divBdr>
        <w:top w:val="none" w:sz="0" w:space="0" w:color="auto"/>
        <w:left w:val="none" w:sz="0" w:space="0" w:color="auto"/>
        <w:bottom w:val="none" w:sz="0" w:space="0" w:color="auto"/>
        <w:right w:val="none" w:sz="0" w:space="0" w:color="auto"/>
      </w:divBdr>
    </w:div>
    <w:div w:id="1557086737">
      <w:bodyDiv w:val="1"/>
      <w:marLeft w:val="0"/>
      <w:marRight w:val="0"/>
      <w:marTop w:val="0"/>
      <w:marBottom w:val="0"/>
      <w:divBdr>
        <w:top w:val="none" w:sz="0" w:space="0" w:color="auto"/>
        <w:left w:val="none" w:sz="0" w:space="0" w:color="auto"/>
        <w:bottom w:val="none" w:sz="0" w:space="0" w:color="auto"/>
        <w:right w:val="none" w:sz="0" w:space="0" w:color="auto"/>
      </w:divBdr>
    </w:div>
    <w:div w:id="1586256091">
      <w:bodyDiv w:val="1"/>
      <w:marLeft w:val="0"/>
      <w:marRight w:val="0"/>
      <w:marTop w:val="0"/>
      <w:marBottom w:val="0"/>
      <w:divBdr>
        <w:top w:val="none" w:sz="0" w:space="0" w:color="auto"/>
        <w:left w:val="none" w:sz="0" w:space="0" w:color="auto"/>
        <w:bottom w:val="none" w:sz="0" w:space="0" w:color="auto"/>
        <w:right w:val="none" w:sz="0" w:space="0" w:color="auto"/>
      </w:divBdr>
    </w:div>
    <w:div w:id="1606573885">
      <w:bodyDiv w:val="1"/>
      <w:marLeft w:val="0"/>
      <w:marRight w:val="0"/>
      <w:marTop w:val="0"/>
      <w:marBottom w:val="0"/>
      <w:divBdr>
        <w:top w:val="none" w:sz="0" w:space="0" w:color="auto"/>
        <w:left w:val="none" w:sz="0" w:space="0" w:color="auto"/>
        <w:bottom w:val="none" w:sz="0" w:space="0" w:color="auto"/>
        <w:right w:val="none" w:sz="0" w:space="0" w:color="auto"/>
      </w:divBdr>
    </w:div>
    <w:div w:id="1642954238">
      <w:bodyDiv w:val="1"/>
      <w:marLeft w:val="0"/>
      <w:marRight w:val="0"/>
      <w:marTop w:val="0"/>
      <w:marBottom w:val="0"/>
      <w:divBdr>
        <w:top w:val="none" w:sz="0" w:space="0" w:color="auto"/>
        <w:left w:val="none" w:sz="0" w:space="0" w:color="auto"/>
        <w:bottom w:val="none" w:sz="0" w:space="0" w:color="auto"/>
        <w:right w:val="none" w:sz="0" w:space="0" w:color="auto"/>
      </w:divBdr>
    </w:div>
    <w:div w:id="1659070529">
      <w:bodyDiv w:val="1"/>
      <w:marLeft w:val="0"/>
      <w:marRight w:val="0"/>
      <w:marTop w:val="0"/>
      <w:marBottom w:val="0"/>
      <w:divBdr>
        <w:top w:val="none" w:sz="0" w:space="0" w:color="auto"/>
        <w:left w:val="none" w:sz="0" w:space="0" w:color="auto"/>
        <w:bottom w:val="none" w:sz="0" w:space="0" w:color="auto"/>
        <w:right w:val="none" w:sz="0" w:space="0" w:color="auto"/>
      </w:divBdr>
    </w:div>
    <w:div w:id="1701004887">
      <w:bodyDiv w:val="1"/>
      <w:marLeft w:val="0"/>
      <w:marRight w:val="0"/>
      <w:marTop w:val="0"/>
      <w:marBottom w:val="0"/>
      <w:divBdr>
        <w:top w:val="none" w:sz="0" w:space="0" w:color="auto"/>
        <w:left w:val="none" w:sz="0" w:space="0" w:color="auto"/>
        <w:bottom w:val="none" w:sz="0" w:space="0" w:color="auto"/>
        <w:right w:val="none" w:sz="0" w:space="0" w:color="auto"/>
      </w:divBdr>
    </w:div>
    <w:div w:id="1702632460">
      <w:bodyDiv w:val="1"/>
      <w:marLeft w:val="0"/>
      <w:marRight w:val="0"/>
      <w:marTop w:val="0"/>
      <w:marBottom w:val="0"/>
      <w:divBdr>
        <w:top w:val="none" w:sz="0" w:space="0" w:color="auto"/>
        <w:left w:val="none" w:sz="0" w:space="0" w:color="auto"/>
        <w:bottom w:val="none" w:sz="0" w:space="0" w:color="auto"/>
        <w:right w:val="none" w:sz="0" w:space="0" w:color="auto"/>
      </w:divBdr>
    </w:div>
    <w:div w:id="1738477669">
      <w:bodyDiv w:val="1"/>
      <w:marLeft w:val="0"/>
      <w:marRight w:val="0"/>
      <w:marTop w:val="0"/>
      <w:marBottom w:val="0"/>
      <w:divBdr>
        <w:top w:val="none" w:sz="0" w:space="0" w:color="auto"/>
        <w:left w:val="none" w:sz="0" w:space="0" w:color="auto"/>
        <w:bottom w:val="none" w:sz="0" w:space="0" w:color="auto"/>
        <w:right w:val="none" w:sz="0" w:space="0" w:color="auto"/>
      </w:divBdr>
    </w:div>
    <w:div w:id="1761368472">
      <w:bodyDiv w:val="1"/>
      <w:marLeft w:val="0"/>
      <w:marRight w:val="0"/>
      <w:marTop w:val="0"/>
      <w:marBottom w:val="0"/>
      <w:divBdr>
        <w:top w:val="none" w:sz="0" w:space="0" w:color="auto"/>
        <w:left w:val="none" w:sz="0" w:space="0" w:color="auto"/>
        <w:bottom w:val="none" w:sz="0" w:space="0" w:color="auto"/>
        <w:right w:val="none" w:sz="0" w:space="0" w:color="auto"/>
      </w:divBdr>
    </w:div>
    <w:div w:id="1764763590">
      <w:bodyDiv w:val="1"/>
      <w:marLeft w:val="0"/>
      <w:marRight w:val="0"/>
      <w:marTop w:val="0"/>
      <w:marBottom w:val="0"/>
      <w:divBdr>
        <w:top w:val="none" w:sz="0" w:space="0" w:color="auto"/>
        <w:left w:val="none" w:sz="0" w:space="0" w:color="auto"/>
        <w:bottom w:val="none" w:sz="0" w:space="0" w:color="auto"/>
        <w:right w:val="none" w:sz="0" w:space="0" w:color="auto"/>
      </w:divBdr>
    </w:div>
    <w:div w:id="1784769055">
      <w:bodyDiv w:val="1"/>
      <w:marLeft w:val="0"/>
      <w:marRight w:val="0"/>
      <w:marTop w:val="0"/>
      <w:marBottom w:val="0"/>
      <w:divBdr>
        <w:top w:val="none" w:sz="0" w:space="0" w:color="auto"/>
        <w:left w:val="none" w:sz="0" w:space="0" w:color="auto"/>
        <w:bottom w:val="none" w:sz="0" w:space="0" w:color="auto"/>
        <w:right w:val="none" w:sz="0" w:space="0" w:color="auto"/>
      </w:divBdr>
    </w:div>
    <w:div w:id="1784954671">
      <w:bodyDiv w:val="1"/>
      <w:marLeft w:val="0"/>
      <w:marRight w:val="0"/>
      <w:marTop w:val="0"/>
      <w:marBottom w:val="0"/>
      <w:divBdr>
        <w:top w:val="none" w:sz="0" w:space="0" w:color="auto"/>
        <w:left w:val="none" w:sz="0" w:space="0" w:color="auto"/>
        <w:bottom w:val="none" w:sz="0" w:space="0" w:color="auto"/>
        <w:right w:val="none" w:sz="0" w:space="0" w:color="auto"/>
      </w:divBdr>
    </w:div>
    <w:div w:id="1789082256">
      <w:bodyDiv w:val="1"/>
      <w:marLeft w:val="0"/>
      <w:marRight w:val="0"/>
      <w:marTop w:val="0"/>
      <w:marBottom w:val="0"/>
      <w:divBdr>
        <w:top w:val="none" w:sz="0" w:space="0" w:color="auto"/>
        <w:left w:val="none" w:sz="0" w:space="0" w:color="auto"/>
        <w:bottom w:val="none" w:sz="0" w:space="0" w:color="auto"/>
        <w:right w:val="none" w:sz="0" w:space="0" w:color="auto"/>
      </w:divBdr>
    </w:div>
    <w:div w:id="1819492661">
      <w:bodyDiv w:val="1"/>
      <w:marLeft w:val="0"/>
      <w:marRight w:val="0"/>
      <w:marTop w:val="0"/>
      <w:marBottom w:val="0"/>
      <w:divBdr>
        <w:top w:val="none" w:sz="0" w:space="0" w:color="auto"/>
        <w:left w:val="none" w:sz="0" w:space="0" w:color="auto"/>
        <w:bottom w:val="none" w:sz="0" w:space="0" w:color="auto"/>
        <w:right w:val="none" w:sz="0" w:space="0" w:color="auto"/>
      </w:divBdr>
    </w:div>
    <w:div w:id="1825393859">
      <w:bodyDiv w:val="1"/>
      <w:marLeft w:val="0"/>
      <w:marRight w:val="0"/>
      <w:marTop w:val="0"/>
      <w:marBottom w:val="0"/>
      <w:divBdr>
        <w:top w:val="none" w:sz="0" w:space="0" w:color="auto"/>
        <w:left w:val="none" w:sz="0" w:space="0" w:color="auto"/>
        <w:bottom w:val="none" w:sz="0" w:space="0" w:color="auto"/>
        <w:right w:val="none" w:sz="0" w:space="0" w:color="auto"/>
      </w:divBdr>
    </w:div>
    <w:div w:id="1826701719">
      <w:bodyDiv w:val="1"/>
      <w:marLeft w:val="0"/>
      <w:marRight w:val="0"/>
      <w:marTop w:val="0"/>
      <w:marBottom w:val="0"/>
      <w:divBdr>
        <w:top w:val="none" w:sz="0" w:space="0" w:color="auto"/>
        <w:left w:val="none" w:sz="0" w:space="0" w:color="auto"/>
        <w:bottom w:val="none" w:sz="0" w:space="0" w:color="auto"/>
        <w:right w:val="none" w:sz="0" w:space="0" w:color="auto"/>
      </w:divBdr>
    </w:div>
    <w:div w:id="1835951630">
      <w:bodyDiv w:val="1"/>
      <w:marLeft w:val="0"/>
      <w:marRight w:val="0"/>
      <w:marTop w:val="0"/>
      <w:marBottom w:val="0"/>
      <w:divBdr>
        <w:top w:val="none" w:sz="0" w:space="0" w:color="auto"/>
        <w:left w:val="none" w:sz="0" w:space="0" w:color="auto"/>
        <w:bottom w:val="none" w:sz="0" w:space="0" w:color="auto"/>
        <w:right w:val="none" w:sz="0" w:space="0" w:color="auto"/>
      </w:divBdr>
    </w:div>
    <w:div w:id="1869029812">
      <w:bodyDiv w:val="1"/>
      <w:marLeft w:val="0"/>
      <w:marRight w:val="0"/>
      <w:marTop w:val="0"/>
      <w:marBottom w:val="0"/>
      <w:divBdr>
        <w:top w:val="none" w:sz="0" w:space="0" w:color="auto"/>
        <w:left w:val="none" w:sz="0" w:space="0" w:color="auto"/>
        <w:bottom w:val="none" w:sz="0" w:space="0" w:color="auto"/>
        <w:right w:val="none" w:sz="0" w:space="0" w:color="auto"/>
      </w:divBdr>
    </w:div>
    <w:div w:id="1875998435">
      <w:bodyDiv w:val="1"/>
      <w:marLeft w:val="0"/>
      <w:marRight w:val="0"/>
      <w:marTop w:val="0"/>
      <w:marBottom w:val="0"/>
      <w:divBdr>
        <w:top w:val="none" w:sz="0" w:space="0" w:color="auto"/>
        <w:left w:val="none" w:sz="0" w:space="0" w:color="auto"/>
        <w:bottom w:val="none" w:sz="0" w:space="0" w:color="auto"/>
        <w:right w:val="none" w:sz="0" w:space="0" w:color="auto"/>
      </w:divBdr>
    </w:div>
    <w:div w:id="1876458368">
      <w:bodyDiv w:val="1"/>
      <w:marLeft w:val="0"/>
      <w:marRight w:val="0"/>
      <w:marTop w:val="0"/>
      <w:marBottom w:val="0"/>
      <w:divBdr>
        <w:top w:val="none" w:sz="0" w:space="0" w:color="auto"/>
        <w:left w:val="none" w:sz="0" w:space="0" w:color="auto"/>
        <w:bottom w:val="none" w:sz="0" w:space="0" w:color="auto"/>
        <w:right w:val="none" w:sz="0" w:space="0" w:color="auto"/>
      </w:divBdr>
    </w:div>
    <w:div w:id="1881672331">
      <w:bodyDiv w:val="1"/>
      <w:marLeft w:val="0"/>
      <w:marRight w:val="0"/>
      <w:marTop w:val="0"/>
      <w:marBottom w:val="0"/>
      <w:divBdr>
        <w:top w:val="none" w:sz="0" w:space="0" w:color="auto"/>
        <w:left w:val="none" w:sz="0" w:space="0" w:color="auto"/>
        <w:bottom w:val="none" w:sz="0" w:space="0" w:color="auto"/>
        <w:right w:val="none" w:sz="0" w:space="0" w:color="auto"/>
      </w:divBdr>
      <w:divsChild>
        <w:div w:id="12656939">
          <w:marLeft w:val="2117"/>
          <w:marRight w:val="0"/>
          <w:marTop w:val="0"/>
          <w:marBottom w:val="240"/>
          <w:divBdr>
            <w:top w:val="none" w:sz="0" w:space="0" w:color="auto"/>
            <w:left w:val="none" w:sz="0" w:space="0" w:color="auto"/>
            <w:bottom w:val="none" w:sz="0" w:space="0" w:color="auto"/>
            <w:right w:val="none" w:sz="0" w:space="0" w:color="auto"/>
          </w:divBdr>
        </w:div>
        <w:div w:id="150171665">
          <w:marLeft w:val="2117"/>
          <w:marRight w:val="0"/>
          <w:marTop w:val="0"/>
          <w:marBottom w:val="240"/>
          <w:divBdr>
            <w:top w:val="none" w:sz="0" w:space="0" w:color="auto"/>
            <w:left w:val="none" w:sz="0" w:space="0" w:color="auto"/>
            <w:bottom w:val="none" w:sz="0" w:space="0" w:color="auto"/>
            <w:right w:val="none" w:sz="0" w:space="0" w:color="auto"/>
          </w:divBdr>
        </w:div>
        <w:div w:id="561721589">
          <w:marLeft w:val="2117"/>
          <w:marRight w:val="0"/>
          <w:marTop w:val="0"/>
          <w:marBottom w:val="240"/>
          <w:divBdr>
            <w:top w:val="none" w:sz="0" w:space="0" w:color="auto"/>
            <w:left w:val="none" w:sz="0" w:space="0" w:color="auto"/>
            <w:bottom w:val="none" w:sz="0" w:space="0" w:color="auto"/>
            <w:right w:val="none" w:sz="0" w:space="0" w:color="auto"/>
          </w:divBdr>
        </w:div>
        <w:div w:id="774401940">
          <w:marLeft w:val="2117"/>
          <w:marRight w:val="0"/>
          <w:marTop w:val="0"/>
          <w:marBottom w:val="240"/>
          <w:divBdr>
            <w:top w:val="none" w:sz="0" w:space="0" w:color="auto"/>
            <w:left w:val="none" w:sz="0" w:space="0" w:color="auto"/>
            <w:bottom w:val="none" w:sz="0" w:space="0" w:color="auto"/>
            <w:right w:val="none" w:sz="0" w:space="0" w:color="auto"/>
          </w:divBdr>
        </w:div>
        <w:div w:id="843129124">
          <w:marLeft w:val="2117"/>
          <w:marRight w:val="0"/>
          <w:marTop w:val="0"/>
          <w:marBottom w:val="240"/>
          <w:divBdr>
            <w:top w:val="none" w:sz="0" w:space="0" w:color="auto"/>
            <w:left w:val="none" w:sz="0" w:space="0" w:color="auto"/>
            <w:bottom w:val="none" w:sz="0" w:space="0" w:color="auto"/>
            <w:right w:val="none" w:sz="0" w:space="0" w:color="auto"/>
          </w:divBdr>
        </w:div>
        <w:div w:id="1100369774">
          <w:marLeft w:val="2117"/>
          <w:marRight w:val="0"/>
          <w:marTop w:val="0"/>
          <w:marBottom w:val="240"/>
          <w:divBdr>
            <w:top w:val="none" w:sz="0" w:space="0" w:color="auto"/>
            <w:left w:val="none" w:sz="0" w:space="0" w:color="auto"/>
            <w:bottom w:val="none" w:sz="0" w:space="0" w:color="auto"/>
            <w:right w:val="none" w:sz="0" w:space="0" w:color="auto"/>
          </w:divBdr>
        </w:div>
        <w:div w:id="1263805840">
          <w:marLeft w:val="2117"/>
          <w:marRight w:val="0"/>
          <w:marTop w:val="0"/>
          <w:marBottom w:val="240"/>
          <w:divBdr>
            <w:top w:val="none" w:sz="0" w:space="0" w:color="auto"/>
            <w:left w:val="none" w:sz="0" w:space="0" w:color="auto"/>
            <w:bottom w:val="none" w:sz="0" w:space="0" w:color="auto"/>
            <w:right w:val="none" w:sz="0" w:space="0" w:color="auto"/>
          </w:divBdr>
        </w:div>
        <w:div w:id="1556088759">
          <w:marLeft w:val="2117"/>
          <w:marRight w:val="0"/>
          <w:marTop w:val="0"/>
          <w:marBottom w:val="240"/>
          <w:divBdr>
            <w:top w:val="none" w:sz="0" w:space="0" w:color="auto"/>
            <w:left w:val="none" w:sz="0" w:space="0" w:color="auto"/>
            <w:bottom w:val="none" w:sz="0" w:space="0" w:color="auto"/>
            <w:right w:val="none" w:sz="0" w:space="0" w:color="auto"/>
          </w:divBdr>
        </w:div>
        <w:div w:id="2011523753">
          <w:marLeft w:val="1080"/>
          <w:marRight w:val="0"/>
          <w:marTop w:val="0"/>
          <w:marBottom w:val="240"/>
          <w:divBdr>
            <w:top w:val="none" w:sz="0" w:space="0" w:color="auto"/>
            <w:left w:val="none" w:sz="0" w:space="0" w:color="auto"/>
            <w:bottom w:val="none" w:sz="0" w:space="0" w:color="auto"/>
            <w:right w:val="none" w:sz="0" w:space="0" w:color="auto"/>
          </w:divBdr>
        </w:div>
      </w:divsChild>
    </w:div>
    <w:div w:id="1882590685">
      <w:bodyDiv w:val="1"/>
      <w:marLeft w:val="0"/>
      <w:marRight w:val="0"/>
      <w:marTop w:val="0"/>
      <w:marBottom w:val="0"/>
      <w:divBdr>
        <w:top w:val="none" w:sz="0" w:space="0" w:color="auto"/>
        <w:left w:val="none" w:sz="0" w:space="0" w:color="auto"/>
        <w:bottom w:val="none" w:sz="0" w:space="0" w:color="auto"/>
        <w:right w:val="none" w:sz="0" w:space="0" w:color="auto"/>
      </w:divBdr>
    </w:div>
    <w:div w:id="1889687508">
      <w:bodyDiv w:val="1"/>
      <w:marLeft w:val="0"/>
      <w:marRight w:val="0"/>
      <w:marTop w:val="0"/>
      <w:marBottom w:val="0"/>
      <w:divBdr>
        <w:top w:val="none" w:sz="0" w:space="0" w:color="auto"/>
        <w:left w:val="none" w:sz="0" w:space="0" w:color="auto"/>
        <w:bottom w:val="none" w:sz="0" w:space="0" w:color="auto"/>
        <w:right w:val="none" w:sz="0" w:space="0" w:color="auto"/>
      </w:divBdr>
      <w:divsChild>
        <w:div w:id="1808887325">
          <w:marLeft w:val="0"/>
          <w:marRight w:val="0"/>
          <w:marTop w:val="0"/>
          <w:marBottom w:val="0"/>
          <w:divBdr>
            <w:top w:val="none" w:sz="0" w:space="0" w:color="auto"/>
            <w:left w:val="none" w:sz="0" w:space="0" w:color="auto"/>
            <w:bottom w:val="none" w:sz="0" w:space="0" w:color="auto"/>
            <w:right w:val="none" w:sz="0" w:space="0" w:color="auto"/>
          </w:divBdr>
          <w:divsChild>
            <w:div w:id="78790856">
              <w:marLeft w:val="0"/>
              <w:marRight w:val="0"/>
              <w:marTop w:val="0"/>
              <w:marBottom w:val="0"/>
              <w:divBdr>
                <w:top w:val="none" w:sz="0" w:space="0" w:color="auto"/>
                <w:left w:val="none" w:sz="0" w:space="0" w:color="auto"/>
                <w:bottom w:val="none" w:sz="0" w:space="0" w:color="auto"/>
                <w:right w:val="none" w:sz="0" w:space="0" w:color="auto"/>
              </w:divBdr>
            </w:div>
            <w:div w:id="568350807">
              <w:marLeft w:val="0"/>
              <w:marRight w:val="0"/>
              <w:marTop w:val="0"/>
              <w:marBottom w:val="0"/>
              <w:divBdr>
                <w:top w:val="none" w:sz="0" w:space="0" w:color="auto"/>
                <w:left w:val="none" w:sz="0" w:space="0" w:color="auto"/>
                <w:bottom w:val="none" w:sz="0" w:space="0" w:color="auto"/>
                <w:right w:val="none" w:sz="0" w:space="0" w:color="auto"/>
              </w:divBdr>
            </w:div>
            <w:div w:id="802388389">
              <w:marLeft w:val="0"/>
              <w:marRight w:val="0"/>
              <w:marTop w:val="0"/>
              <w:marBottom w:val="0"/>
              <w:divBdr>
                <w:top w:val="none" w:sz="0" w:space="0" w:color="auto"/>
                <w:left w:val="none" w:sz="0" w:space="0" w:color="auto"/>
                <w:bottom w:val="none" w:sz="0" w:space="0" w:color="auto"/>
                <w:right w:val="none" w:sz="0" w:space="0" w:color="auto"/>
              </w:divBdr>
            </w:div>
            <w:div w:id="1288396280">
              <w:marLeft w:val="0"/>
              <w:marRight w:val="0"/>
              <w:marTop w:val="0"/>
              <w:marBottom w:val="0"/>
              <w:divBdr>
                <w:top w:val="none" w:sz="0" w:space="0" w:color="auto"/>
                <w:left w:val="none" w:sz="0" w:space="0" w:color="auto"/>
                <w:bottom w:val="none" w:sz="0" w:space="0" w:color="auto"/>
                <w:right w:val="none" w:sz="0" w:space="0" w:color="auto"/>
              </w:divBdr>
            </w:div>
            <w:div w:id="134644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3712">
      <w:bodyDiv w:val="1"/>
      <w:marLeft w:val="0"/>
      <w:marRight w:val="0"/>
      <w:marTop w:val="0"/>
      <w:marBottom w:val="0"/>
      <w:divBdr>
        <w:top w:val="none" w:sz="0" w:space="0" w:color="auto"/>
        <w:left w:val="none" w:sz="0" w:space="0" w:color="auto"/>
        <w:bottom w:val="none" w:sz="0" w:space="0" w:color="auto"/>
        <w:right w:val="none" w:sz="0" w:space="0" w:color="auto"/>
      </w:divBdr>
    </w:div>
    <w:div w:id="1924145141">
      <w:bodyDiv w:val="1"/>
      <w:marLeft w:val="0"/>
      <w:marRight w:val="0"/>
      <w:marTop w:val="0"/>
      <w:marBottom w:val="0"/>
      <w:divBdr>
        <w:top w:val="none" w:sz="0" w:space="0" w:color="auto"/>
        <w:left w:val="none" w:sz="0" w:space="0" w:color="auto"/>
        <w:bottom w:val="none" w:sz="0" w:space="0" w:color="auto"/>
        <w:right w:val="none" w:sz="0" w:space="0" w:color="auto"/>
      </w:divBdr>
    </w:div>
    <w:div w:id="1929315048">
      <w:bodyDiv w:val="1"/>
      <w:marLeft w:val="0"/>
      <w:marRight w:val="0"/>
      <w:marTop w:val="0"/>
      <w:marBottom w:val="0"/>
      <w:divBdr>
        <w:top w:val="none" w:sz="0" w:space="0" w:color="auto"/>
        <w:left w:val="none" w:sz="0" w:space="0" w:color="auto"/>
        <w:bottom w:val="none" w:sz="0" w:space="0" w:color="auto"/>
        <w:right w:val="none" w:sz="0" w:space="0" w:color="auto"/>
      </w:divBdr>
    </w:div>
    <w:div w:id="1930500463">
      <w:bodyDiv w:val="1"/>
      <w:marLeft w:val="0"/>
      <w:marRight w:val="0"/>
      <w:marTop w:val="0"/>
      <w:marBottom w:val="0"/>
      <w:divBdr>
        <w:top w:val="none" w:sz="0" w:space="0" w:color="auto"/>
        <w:left w:val="none" w:sz="0" w:space="0" w:color="auto"/>
        <w:bottom w:val="none" w:sz="0" w:space="0" w:color="auto"/>
        <w:right w:val="none" w:sz="0" w:space="0" w:color="auto"/>
      </w:divBdr>
    </w:div>
    <w:div w:id="1935631927">
      <w:bodyDiv w:val="1"/>
      <w:marLeft w:val="0"/>
      <w:marRight w:val="0"/>
      <w:marTop w:val="0"/>
      <w:marBottom w:val="0"/>
      <w:divBdr>
        <w:top w:val="none" w:sz="0" w:space="0" w:color="auto"/>
        <w:left w:val="none" w:sz="0" w:space="0" w:color="auto"/>
        <w:bottom w:val="none" w:sz="0" w:space="0" w:color="auto"/>
        <w:right w:val="none" w:sz="0" w:space="0" w:color="auto"/>
      </w:divBdr>
    </w:div>
    <w:div w:id="1959795094">
      <w:bodyDiv w:val="1"/>
      <w:marLeft w:val="0"/>
      <w:marRight w:val="0"/>
      <w:marTop w:val="0"/>
      <w:marBottom w:val="0"/>
      <w:divBdr>
        <w:top w:val="none" w:sz="0" w:space="0" w:color="auto"/>
        <w:left w:val="none" w:sz="0" w:space="0" w:color="auto"/>
        <w:bottom w:val="none" w:sz="0" w:space="0" w:color="auto"/>
        <w:right w:val="none" w:sz="0" w:space="0" w:color="auto"/>
      </w:divBdr>
    </w:div>
    <w:div w:id="1965623504">
      <w:bodyDiv w:val="1"/>
      <w:marLeft w:val="0"/>
      <w:marRight w:val="0"/>
      <w:marTop w:val="0"/>
      <w:marBottom w:val="0"/>
      <w:divBdr>
        <w:top w:val="none" w:sz="0" w:space="0" w:color="auto"/>
        <w:left w:val="none" w:sz="0" w:space="0" w:color="auto"/>
        <w:bottom w:val="none" w:sz="0" w:space="0" w:color="auto"/>
        <w:right w:val="none" w:sz="0" w:space="0" w:color="auto"/>
      </w:divBdr>
    </w:div>
    <w:div w:id="1977369514">
      <w:bodyDiv w:val="1"/>
      <w:marLeft w:val="0"/>
      <w:marRight w:val="0"/>
      <w:marTop w:val="0"/>
      <w:marBottom w:val="0"/>
      <w:divBdr>
        <w:top w:val="none" w:sz="0" w:space="0" w:color="auto"/>
        <w:left w:val="none" w:sz="0" w:space="0" w:color="auto"/>
        <w:bottom w:val="none" w:sz="0" w:space="0" w:color="auto"/>
        <w:right w:val="none" w:sz="0" w:space="0" w:color="auto"/>
      </w:divBdr>
    </w:div>
    <w:div w:id="1980525733">
      <w:bodyDiv w:val="1"/>
      <w:marLeft w:val="0"/>
      <w:marRight w:val="0"/>
      <w:marTop w:val="0"/>
      <w:marBottom w:val="0"/>
      <w:divBdr>
        <w:top w:val="none" w:sz="0" w:space="0" w:color="auto"/>
        <w:left w:val="none" w:sz="0" w:space="0" w:color="auto"/>
        <w:bottom w:val="none" w:sz="0" w:space="0" w:color="auto"/>
        <w:right w:val="none" w:sz="0" w:space="0" w:color="auto"/>
      </w:divBdr>
    </w:div>
    <w:div w:id="1985308228">
      <w:bodyDiv w:val="1"/>
      <w:marLeft w:val="0"/>
      <w:marRight w:val="0"/>
      <w:marTop w:val="0"/>
      <w:marBottom w:val="0"/>
      <w:divBdr>
        <w:top w:val="none" w:sz="0" w:space="0" w:color="auto"/>
        <w:left w:val="none" w:sz="0" w:space="0" w:color="auto"/>
        <w:bottom w:val="none" w:sz="0" w:space="0" w:color="auto"/>
        <w:right w:val="none" w:sz="0" w:space="0" w:color="auto"/>
      </w:divBdr>
    </w:div>
    <w:div w:id="1988438288">
      <w:bodyDiv w:val="1"/>
      <w:marLeft w:val="0"/>
      <w:marRight w:val="0"/>
      <w:marTop w:val="0"/>
      <w:marBottom w:val="0"/>
      <w:divBdr>
        <w:top w:val="none" w:sz="0" w:space="0" w:color="auto"/>
        <w:left w:val="none" w:sz="0" w:space="0" w:color="auto"/>
        <w:bottom w:val="none" w:sz="0" w:space="0" w:color="auto"/>
        <w:right w:val="none" w:sz="0" w:space="0" w:color="auto"/>
      </w:divBdr>
    </w:div>
    <w:div w:id="1988511909">
      <w:bodyDiv w:val="1"/>
      <w:marLeft w:val="0"/>
      <w:marRight w:val="0"/>
      <w:marTop w:val="0"/>
      <w:marBottom w:val="0"/>
      <w:divBdr>
        <w:top w:val="none" w:sz="0" w:space="0" w:color="auto"/>
        <w:left w:val="none" w:sz="0" w:space="0" w:color="auto"/>
        <w:bottom w:val="none" w:sz="0" w:space="0" w:color="auto"/>
        <w:right w:val="none" w:sz="0" w:space="0" w:color="auto"/>
      </w:divBdr>
    </w:div>
    <w:div w:id="1995798508">
      <w:bodyDiv w:val="1"/>
      <w:marLeft w:val="0"/>
      <w:marRight w:val="0"/>
      <w:marTop w:val="0"/>
      <w:marBottom w:val="0"/>
      <w:divBdr>
        <w:top w:val="none" w:sz="0" w:space="0" w:color="auto"/>
        <w:left w:val="none" w:sz="0" w:space="0" w:color="auto"/>
        <w:bottom w:val="none" w:sz="0" w:space="0" w:color="auto"/>
        <w:right w:val="none" w:sz="0" w:space="0" w:color="auto"/>
      </w:divBdr>
    </w:div>
    <w:div w:id="1998679752">
      <w:bodyDiv w:val="1"/>
      <w:marLeft w:val="0"/>
      <w:marRight w:val="0"/>
      <w:marTop w:val="0"/>
      <w:marBottom w:val="0"/>
      <w:divBdr>
        <w:top w:val="none" w:sz="0" w:space="0" w:color="auto"/>
        <w:left w:val="none" w:sz="0" w:space="0" w:color="auto"/>
        <w:bottom w:val="none" w:sz="0" w:space="0" w:color="auto"/>
        <w:right w:val="none" w:sz="0" w:space="0" w:color="auto"/>
      </w:divBdr>
    </w:div>
    <w:div w:id="2013951146">
      <w:bodyDiv w:val="1"/>
      <w:marLeft w:val="0"/>
      <w:marRight w:val="0"/>
      <w:marTop w:val="0"/>
      <w:marBottom w:val="0"/>
      <w:divBdr>
        <w:top w:val="none" w:sz="0" w:space="0" w:color="auto"/>
        <w:left w:val="none" w:sz="0" w:space="0" w:color="auto"/>
        <w:bottom w:val="none" w:sz="0" w:space="0" w:color="auto"/>
        <w:right w:val="none" w:sz="0" w:space="0" w:color="auto"/>
      </w:divBdr>
    </w:div>
    <w:div w:id="2014989688">
      <w:bodyDiv w:val="1"/>
      <w:marLeft w:val="0"/>
      <w:marRight w:val="0"/>
      <w:marTop w:val="0"/>
      <w:marBottom w:val="0"/>
      <w:divBdr>
        <w:top w:val="none" w:sz="0" w:space="0" w:color="auto"/>
        <w:left w:val="none" w:sz="0" w:space="0" w:color="auto"/>
        <w:bottom w:val="none" w:sz="0" w:space="0" w:color="auto"/>
        <w:right w:val="none" w:sz="0" w:space="0" w:color="auto"/>
      </w:divBdr>
    </w:div>
    <w:div w:id="2052027368">
      <w:bodyDiv w:val="1"/>
      <w:marLeft w:val="0"/>
      <w:marRight w:val="0"/>
      <w:marTop w:val="0"/>
      <w:marBottom w:val="0"/>
      <w:divBdr>
        <w:top w:val="none" w:sz="0" w:space="0" w:color="auto"/>
        <w:left w:val="none" w:sz="0" w:space="0" w:color="auto"/>
        <w:bottom w:val="none" w:sz="0" w:space="0" w:color="auto"/>
        <w:right w:val="none" w:sz="0" w:space="0" w:color="auto"/>
      </w:divBdr>
    </w:div>
    <w:div w:id="2059667707">
      <w:bodyDiv w:val="1"/>
      <w:marLeft w:val="0"/>
      <w:marRight w:val="0"/>
      <w:marTop w:val="0"/>
      <w:marBottom w:val="0"/>
      <w:divBdr>
        <w:top w:val="none" w:sz="0" w:space="0" w:color="auto"/>
        <w:left w:val="none" w:sz="0" w:space="0" w:color="auto"/>
        <w:bottom w:val="none" w:sz="0" w:space="0" w:color="auto"/>
        <w:right w:val="none" w:sz="0" w:space="0" w:color="auto"/>
      </w:divBdr>
    </w:div>
    <w:div w:id="2074616065">
      <w:bodyDiv w:val="1"/>
      <w:marLeft w:val="0"/>
      <w:marRight w:val="0"/>
      <w:marTop w:val="0"/>
      <w:marBottom w:val="0"/>
      <w:divBdr>
        <w:top w:val="none" w:sz="0" w:space="0" w:color="auto"/>
        <w:left w:val="none" w:sz="0" w:space="0" w:color="auto"/>
        <w:bottom w:val="none" w:sz="0" w:space="0" w:color="auto"/>
        <w:right w:val="none" w:sz="0" w:space="0" w:color="auto"/>
      </w:divBdr>
    </w:div>
    <w:div w:id="2089495084">
      <w:bodyDiv w:val="1"/>
      <w:marLeft w:val="0"/>
      <w:marRight w:val="0"/>
      <w:marTop w:val="0"/>
      <w:marBottom w:val="0"/>
      <w:divBdr>
        <w:top w:val="none" w:sz="0" w:space="0" w:color="auto"/>
        <w:left w:val="none" w:sz="0" w:space="0" w:color="auto"/>
        <w:bottom w:val="none" w:sz="0" w:space="0" w:color="auto"/>
        <w:right w:val="none" w:sz="0" w:space="0" w:color="auto"/>
      </w:divBdr>
    </w:div>
    <w:div w:id="2092969018">
      <w:bodyDiv w:val="1"/>
      <w:marLeft w:val="0"/>
      <w:marRight w:val="0"/>
      <w:marTop w:val="0"/>
      <w:marBottom w:val="0"/>
      <w:divBdr>
        <w:top w:val="none" w:sz="0" w:space="0" w:color="auto"/>
        <w:left w:val="none" w:sz="0" w:space="0" w:color="auto"/>
        <w:bottom w:val="none" w:sz="0" w:space="0" w:color="auto"/>
        <w:right w:val="none" w:sz="0" w:space="0" w:color="auto"/>
      </w:divBdr>
    </w:div>
    <w:div w:id="2102023873">
      <w:bodyDiv w:val="1"/>
      <w:marLeft w:val="0"/>
      <w:marRight w:val="0"/>
      <w:marTop w:val="0"/>
      <w:marBottom w:val="0"/>
      <w:divBdr>
        <w:top w:val="none" w:sz="0" w:space="0" w:color="auto"/>
        <w:left w:val="none" w:sz="0" w:space="0" w:color="auto"/>
        <w:bottom w:val="none" w:sz="0" w:space="0" w:color="auto"/>
        <w:right w:val="none" w:sz="0" w:space="0" w:color="auto"/>
      </w:divBdr>
    </w:div>
    <w:div w:id="2102988183">
      <w:bodyDiv w:val="1"/>
      <w:marLeft w:val="0"/>
      <w:marRight w:val="0"/>
      <w:marTop w:val="0"/>
      <w:marBottom w:val="0"/>
      <w:divBdr>
        <w:top w:val="none" w:sz="0" w:space="0" w:color="auto"/>
        <w:left w:val="none" w:sz="0" w:space="0" w:color="auto"/>
        <w:bottom w:val="none" w:sz="0" w:space="0" w:color="auto"/>
        <w:right w:val="none" w:sz="0" w:space="0" w:color="auto"/>
      </w:divBdr>
    </w:div>
    <w:div w:id="2107461972">
      <w:bodyDiv w:val="1"/>
      <w:marLeft w:val="0"/>
      <w:marRight w:val="0"/>
      <w:marTop w:val="0"/>
      <w:marBottom w:val="0"/>
      <w:divBdr>
        <w:top w:val="none" w:sz="0" w:space="0" w:color="auto"/>
        <w:left w:val="none" w:sz="0" w:space="0" w:color="auto"/>
        <w:bottom w:val="none" w:sz="0" w:space="0" w:color="auto"/>
        <w:right w:val="none" w:sz="0" w:space="0" w:color="auto"/>
      </w:divBdr>
    </w:div>
    <w:div w:id="2125926530">
      <w:bodyDiv w:val="1"/>
      <w:marLeft w:val="0"/>
      <w:marRight w:val="0"/>
      <w:marTop w:val="0"/>
      <w:marBottom w:val="0"/>
      <w:divBdr>
        <w:top w:val="none" w:sz="0" w:space="0" w:color="auto"/>
        <w:left w:val="none" w:sz="0" w:space="0" w:color="auto"/>
        <w:bottom w:val="none" w:sz="0" w:space="0" w:color="auto"/>
        <w:right w:val="none" w:sz="0" w:space="0" w:color="auto"/>
      </w:divBdr>
    </w:div>
    <w:div w:id="2130317824">
      <w:bodyDiv w:val="1"/>
      <w:marLeft w:val="0"/>
      <w:marRight w:val="0"/>
      <w:marTop w:val="0"/>
      <w:marBottom w:val="0"/>
      <w:divBdr>
        <w:top w:val="none" w:sz="0" w:space="0" w:color="auto"/>
        <w:left w:val="none" w:sz="0" w:space="0" w:color="auto"/>
        <w:bottom w:val="none" w:sz="0" w:space="0" w:color="auto"/>
        <w:right w:val="none" w:sz="0" w:space="0" w:color="auto"/>
      </w:divBdr>
    </w:div>
    <w:div w:id="2131167948">
      <w:bodyDiv w:val="1"/>
      <w:marLeft w:val="0"/>
      <w:marRight w:val="0"/>
      <w:marTop w:val="0"/>
      <w:marBottom w:val="0"/>
      <w:divBdr>
        <w:top w:val="none" w:sz="0" w:space="0" w:color="auto"/>
        <w:left w:val="none" w:sz="0" w:space="0" w:color="auto"/>
        <w:bottom w:val="none" w:sz="0" w:space="0" w:color="auto"/>
        <w:right w:val="none" w:sz="0" w:space="0" w:color="auto"/>
      </w:divBdr>
    </w:div>
    <w:div w:id="2131776494">
      <w:bodyDiv w:val="1"/>
      <w:marLeft w:val="0"/>
      <w:marRight w:val="0"/>
      <w:marTop w:val="0"/>
      <w:marBottom w:val="0"/>
      <w:divBdr>
        <w:top w:val="none" w:sz="0" w:space="0" w:color="auto"/>
        <w:left w:val="none" w:sz="0" w:space="0" w:color="auto"/>
        <w:bottom w:val="none" w:sz="0" w:space="0" w:color="auto"/>
        <w:right w:val="none" w:sz="0" w:space="0" w:color="auto"/>
      </w:divBdr>
    </w:div>
    <w:div w:id="2145000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50.xml"/><Relationship Id="rId21" Type="http://schemas.openxmlformats.org/officeDocument/2006/relationships/footer" Target="footer5.xml"/><Relationship Id="rId42" Type="http://schemas.openxmlformats.org/officeDocument/2006/relationships/footer" Target="footer15.xml"/><Relationship Id="rId47" Type="http://schemas.openxmlformats.org/officeDocument/2006/relationships/header" Target="header18.xml"/><Relationship Id="rId63" Type="http://schemas.openxmlformats.org/officeDocument/2006/relationships/footer" Target="footer25.xml"/><Relationship Id="rId68" Type="http://schemas.openxmlformats.org/officeDocument/2006/relationships/header" Target="header29.xml"/><Relationship Id="rId84" Type="http://schemas.openxmlformats.org/officeDocument/2006/relationships/header" Target="header33.xml"/><Relationship Id="rId89" Type="http://schemas.openxmlformats.org/officeDocument/2006/relationships/footer" Target="footer35.xml"/><Relationship Id="rId112" Type="http://schemas.openxmlformats.org/officeDocument/2006/relationships/footer" Target="footer46.xml"/><Relationship Id="rId133" Type="http://schemas.openxmlformats.org/officeDocument/2006/relationships/footer" Target="footer57.xml"/><Relationship Id="rId138" Type="http://schemas.openxmlformats.org/officeDocument/2006/relationships/header" Target="header60.xml"/><Relationship Id="rId16" Type="http://schemas.openxmlformats.org/officeDocument/2006/relationships/header" Target="header3.xml"/><Relationship Id="rId107" Type="http://schemas.openxmlformats.org/officeDocument/2006/relationships/footer" Target="footer44.xml"/><Relationship Id="rId11" Type="http://schemas.openxmlformats.org/officeDocument/2006/relationships/image" Target="media/image1.emf"/><Relationship Id="rId32" Type="http://schemas.openxmlformats.org/officeDocument/2006/relationships/header" Target="header11.xml"/><Relationship Id="rId37" Type="http://schemas.openxmlformats.org/officeDocument/2006/relationships/header" Target="header13.xml"/><Relationship Id="rId53" Type="http://schemas.openxmlformats.org/officeDocument/2006/relationships/header" Target="header21.xml"/><Relationship Id="rId58" Type="http://schemas.openxmlformats.org/officeDocument/2006/relationships/footer" Target="footer23.xml"/><Relationship Id="rId74" Type="http://schemas.openxmlformats.org/officeDocument/2006/relationships/image" Target="media/image4.png"/><Relationship Id="rId79" Type="http://schemas.openxmlformats.org/officeDocument/2006/relationships/image" Target="media/image9.png"/><Relationship Id="rId102" Type="http://schemas.openxmlformats.org/officeDocument/2006/relationships/header" Target="header42.xml"/><Relationship Id="rId123" Type="http://schemas.openxmlformats.org/officeDocument/2006/relationships/header" Target="header53.xml"/><Relationship Id="rId128" Type="http://schemas.openxmlformats.org/officeDocument/2006/relationships/header" Target="header55.xml"/><Relationship Id="rId5" Type="http://schemas.openxmlformats.org/officeDocument/2006/relationships/numbering" Target="numbering.xml"/><Relationship Id="rId90" Type="http://schemas.openxmlformats.org/officeDocument/2006/relationships/header" Target="header36.xml"/><Relationship Id="rId95" Type="http://schemas.openxmlformats.org/officeDocument/2006/relationships/footer" Target="footer38.xml"/><Relationship Id="rId22" Type="http://schemas.openxmlformats.org/officeDocument/2006/relationships/header" Target="header6.xml"/><Relationship Id="rId27" Type="http://schemas.openxmlformats.org/officeDocument/2006/relationships/footer" Target="footer8.xml"/><Relationship Id="rId43" Type="http://schemas.openxmlformats.org/officeDocument/2006/relationships/header" Target="header16.xml"/><Relationship Id="rId48" Type="http://schemas.openxmlformats.org/officeDocument/2006/relationships/footer" Target="footer18.xml"/><Relationship Id="rId64" Type="http://schemas.openxmlformats.org/officeDocument/2006/relationships/footer" Target="footer26.xml"/><Relationship Id="rId69" Type="http://schemas.openxmlformats.org/officeDocument/2006/relationships/footer" Target="footer28.xml"/><Relationship Id="rId113" Type="http://schemas.openxmlformats.org/officeDocument/2006/relationships/footer" Target="footer47.xml"/><Relationship Id="rId118" Type="http://schemas.openxmlformats.org/officeDocument/2006/relationships/footer" Target="footer49.xml"/><Relationship Id="rId134" Type="http://schemas.openxmlformats.org/officeDocument/2006/relationships/header" Target="header58.xml"/><Relationship Id="rId139" Type="http://schemas.openxmlformats.org/officeDocument/2006/relationships/footer" Target="footer60.xml"/><Relationship Id="rId8" Type="http://schemas.openxmlformats.org/officeDocument/2006/relationships/webSettings" Target="webSettings.xml"/><Relationship Id="rId51" Type="http://schemas.openxmlformats.org/officeDocument/2006/relationships/footer" Target="footer19.xml"/><Relationship Id="rId72" Type="http://schemas.openxmlformats.org/officeDocument/2006/relationships/footer" Target="footer30.xml"/><Relationship Id="rId80" Type="http://schemas.openxmlformats.org/officeDocument/2006/relationships/header" Target="header31.xml"/><Relationship Id="rId85" Type="http://schemas.openxmlformats.org/officeDocument/2006/relationships/footer" Target="footer33.xml"/><Relationship Id="rId93" Type="http://schemas.openxmlformats.org/officeDocument/2006/relationships/header" Target="header38.xml"/><Relationship Id="rId98" Type="http://schemas.openxmlformats.org/officeDocument/2006/relationships/header" Target="header40.xml"/><Relationship Id="rId121" Type="http://schemas.openxmlformats.org/officeDocument/2006/relationships/footer" Target="footer5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footer" Target="footer17.xml"/><Relationship Id="rId59" Type="http://schemas.openxmlformats.org/officeDocument/2006/relationships/header" Target="header24.xml"/><Relationship Id="rId67" Type="http://schemas.openxmlformats.org/officeDocument/2006/relationships/header" Target="header28.xml"/><Relationship Id="rId103" Type="http://schemas.openxmlformats.org/officeDocument/2006/relationships/footer" Target="footer42.xml"/><Relationship Id="rId108" Type="http://schemas.openxmlformats.org/officeDocument/2006/relationships/header" Target="header45.xml"/><Relationship Id="rId116" Type="http://schemas.openxmlformats.org/officeDocument/2006/relationships/header" Target="header49.xml"/><Relationship Id="rId124" Type="http://schemas.openxmlformats.org/officeDocument/2006/relationships/footer" Target="footer52.xml"/><Relationship Id="rId129" Type="http://schemas.openxmlformats.org/officeDocument/2006/relationships/header" Target="header56.xml"/><Relationship Id="rId137" Type="http://schemas.openxmlformats.org/officeDocument/2006/relationships/footer" Target="footer59.xml"/><Relationship Id="rId20" Type="http://schemas.openxmlformats.org/officeDocument/2006/relationships/footer" Target="footer4.xml"/><Relationship Id="rId41" Type="http://schemas.openxmlformats.org/officeDocument/2006/relationships/header" Target="header15.xml"/><Relationship Id="rId54" Type="http://schemas.openxmlformats.org/officeDocument/2006/relationships/footer" Target="footer21.xml"/><Relationship Id="rId62" Type="http://schemas.openxmlformats.org/officeDocument/2006/relationships/header" Target="header26.xml"/><Relationship Id="rId70" Type="http://schemas.openxmlformats.org/officeDocument/2006/relationships/footer" Target="footer29.xml"/><Relationship Id="rId75" Type="http://schemas.openxmlformats.org/officeDocument/2006/relationships/image" Target="media/image5.png"/><Relationship Id="rId83" Type="http://schemas.openxmlformats.org/officeDocument/2006/relationships/footer" Target="footer32.xml"/><Relationship Id="rId88" Type="http://schemas.openxmlformats.org/officeDocument/2006/relationships/footer" Target="footer34.xml"/><Relationship Id="rId91" Type="http://schemas.openxmlformats.org/officeDocument/2006/relationships/footer" Target="footer36.xml"/><Relationship Id="rId96" Type="http://schemas.openxmlformats.org/officeDocument/2006/relationships/header" Target="header39.xml"/><Relationship Id="rId111" Type="http://schemas.openxmlformats.org/officeDocument/2006/relationships/header" Target="header47.xml"/><Relationship Id="rId132" Type="http://schemas.openxmlformats.org/officeDocument/2006/relationships/header" Target="header57.xm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footer" Target="footer12.xml"/><Relationship Id="rId49" Type="http://schemas.openxmlformats.org/officeDocument/2006/relationships/header" Target="header19.xml"/><Relationship Id="rId57" Type="http://schemas.openxmlformats.org/officeDocument/2006/relationships/footer" Target="footer22.xml"/><Relationship Id="rId106" Type="http://schemas.openxmlformats.org/officeDocument/2006/relationships/footer" Target="footer43.xml"/><Relationship Id="rId114" Type="http://schemas.openxmlformats.org/officeDocument/2006/relationships/header" Target="header48.xml"/><Relationship Id="rId119" Type="http://schemas.openxmlformats.org/officeDocument/2006/relationships/footer" Target="footer50.xml"/><Relationship Id="rId127" Type="http://schemas.openxmlformats.org/officeDocument/2006/relationships/footer" Target="footer54.xml"/><Relationship Id="rId10" Type="http://schemas.openxmlformats.org/officeDocument/2006/relationships/endnotes" Target="endnotes.xml"/><Relationship Id="rId31" Type="http://schemas.openxmlformats.org/officeDocument/2006/relationships/header" Target="header10.xml"/><Relationship Id="rId44" Type="http://schemas.openxmlformats.org/officeDocument/2006/relationships/header" Target="header17.xml"/><Relationship Id="rId52" Type="http://schemas.openxmlformats.org/officeDocument/2006/relationships/footer" Target="footer20.xml"/><Relationship Id="rId60" Type="http://schemas.openxmlformats.org/officeDocument/2006/relationships/footer" Target="footer24.xml"/><Relationship Id="rId65" Type="http://schemas.openxmlformats.org/officeDocument/2006/relationships/header" Target="header27.xml"/><Relationship Id="rId73" Type="http://schemas.openxmlformats.org/officeDocument/2006/relationships/image" Target="media/image3.png"/><Relationship Id="rId78" Type="http://schemas.openxmlformats.org/officeDocument/2006/relationships/image" Target="media/image8.png"/><Relationship Id="rId81" Type="http://schemas.openxmlformats.org/officeDocument/2006/relationships/header" Target="header32.xml"/><Relationship Id="rId86" Type="http://schemas.openxmlformats.org/officeDocument/2006/relationships/header" Target="header34.xml"/><Relationship Id="rId94" Type="http://schemas.openxmlformats.org/officeDocument/2006/relationships/footer" Target="footer37.xml"/><Relationship Id="rId99" Type="http://schemas.openxmlformats.org/officeDocument/2006/relationships/header" Target="header41.xml"/><Relationship Id="rId101" Type="http://schemas.openxmlformats.org/officeDocument/2006/relationships/footer" Target="footer41.xml"/><Relationship Id="rId122" Type="http://schemas.openxmlformats.org/officeDocument/2006/relationships/header" Target="header52.xml"/><Relationship Id="rId130" Type="http://schemas.openxmlformats.org/officeDocument/2006/relationships/footer" Target="footer55.xml"/><Relationship Id="rId135" Type="http://schemas.openxmlformats.org/officeDocument/2006/relationships/header" Target="header5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3.xml"/><Relationship Id="rId109" Type="http://schemas.openxmlformats.org/officeDocument/2006/relationships/footer" Target="footer45.xml"/><Relationship Id="rId34" Type="http://schemas.openxmlformats.org/officeDocument/2006/relationships/footer" Target="footer11.xml"/><Relationship Id="rId50" Type="http://schemas.openxmlformats.org/officeDocument/2006/relationships/header" Target="header20.xml"/><Relationship Id="rId55" Type="http://schemas.openxmlformats.org/officeDocument/2006/relationships/header" Target="header22.xml"/><Relationship Id="rId76" Type="http://schemas.openxmlformats.org/officeDocument/2006/relationships/image" Target="media/image6.png"/><Relationship Id="rId97" Type="http://schemas.openxmlformats.org/officeDocument/2006/relationships/footer" Target="footer39.xml"/><Relationship Id="rId104" Type="http://schemas.openxmlformats.org/officeDocument/2006/relationships/header" Target="header43.xml"/><Relationship Id="rId120" Type="http://schemas.openxmlformats.org/officeDocument/2006/relationships/header" Target="header51.xml"/><Relationship Id="rId125" Type="http://schemas.openxmlformats.org/officeDocument/2006/relationships/footer" Target="footer53.xml"/><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30.xml"/><Relationship Id="rId92" Type="http://schemas.openxmlformats.org/officeDocument/2006/relationships/header" Target="header37.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footer" Target="footer14.xml"/><Relationship Id="rId45" Type="http://schemas.openxmlformats.org/officeDocument/2006/relationships/footer" Target="footer16.xml"/><Relationship Id="rId66" Type="http://schemas.openxmlformats.org/officeDocument/2006/relationships/footer" Target="footer27.xml"/><Relationship Id="rId87" Type="http://schemas.openxmlformats.org/officeDocument/2006/relationships/header" Target="header35.xml"/><Relationship Id="rId110" Type="http://schemas.openxmlformats.org/officeDocument/2006/relationships/header" Target="header46.xml"/><Relationship Id="rId115" Type="http://schemas.openxmlformats.org/officeDocument/2006/relationships/footer" Target="footer48.xml"/><Relationship Id="rId131" Type="http://schemas.openxmlformats.org/officeDocument/2006/relationships/footer" Target="footer56.xml"/><Relationship Id="rId136" Type="http://schemas.openxmlformats.org/officeDocument/2006/relationships/footer" Target="footer58.xml"/><Relationship Id="rId61" Type="http://schemas.openxmlformats.org/officeDocument/2006/relationships/header" Target="header25.xml"/><Relationship Id="rId82" Type="http://schemas.openxmlformats.org/officeDocument/2006/relationships/footer" Target="footer31.xm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image" Target="media/image2.png"/><Relationship Id="rId35" Type="http://schemas.openxmlformats.org/officeDocument/2006/relationships/header" Target="header12.xml"/><Relationship Id="rId56" Type="http://schemas.openxmlformats.org/officeDocument/2006/relationships/header" Target="header23.xml"/><Relationship Id="rId77" Type="http://schemas.openxmlformats.org/officeDocument/2006/relationships/image" Target="media/image7.png"/><Relationship Id="rId100" Type="http://schemas.openxmlformats.org/officeDocument/2006/relationships/footer" Target="footer40.xml"/><Relationship Id="rId105" Type="http://schemas.openxmlformats.org/officeDocument/2006/relationships/header" Target="header44.xml"/><Relationship Id="rId126" Type="http://schemas.openxmlformats.org/officeDocument/2006/relationships/header" Target="header54.xml"/></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environment/enveco/economics_policy/pdf/studies/KH0319438ENN.pdf" TargetMode="External"/><Relationship Id="rId18" Type="http://schemas.openxmlformats.org/officeDocument/2006/relationships/hyperlink" Target="https://www.europarl.europa.eu/RegData/etudes/BRIE/2021/690619/EPRS_BRI(2021)690619_EN.pdf" TargetMode="External"/><Relationship Id="rId26" Type="http://schemas.openxmlformats.org/officeDocument/2006/relationships/hyperlink" Target="https://appsso.eurostat.ec.europa.eu/nui/show.do?dataset=proj_19np&amp;lang=en" TargetMode="External"/><Relationship Id="rId39" Type="http://schemas.openxmlformats.org/officeDocument/2006/relationships/hyperlink" Target="https://eur-lex.europa.eu/legal-content/EN/TXT/PDF/?uri=CELEX:52019SC0347&amp;from=EN" TargetMode="External"/><Relationship Id="rId21" Type="http://schemas.openxmlformats.org/officeDocument/2006/relationships/hyperlink" Target="https://eur-lex.europa.eu/legal-content/EN/TXT/PDF/?uri=CELEX:52016SC0164&amp;from=EN" TargetMode="External"/><Relationship Id="rId34" Type="http://schemas.openxmlformats.org/officeDocument/2006/relationships/hyperlink" Target="http://www.atlete.eu/2/doc/Draft_GuidelinesRev4_october2013" TargetMode="External"/><Relationship Id="rId42" Type="http://schemas.openxmlformats.org/officeDocument/2006/relationships/hyperlink" Target="https://eur-lex.europa.eu/legal-content/EN/TXT/PDF/?uri=CELEX:52016SC0164&amp;from=EN" TargetMode="External"/><Relationship Id="rId47" Type="http://schemas.openxmlformats.org/officeDocument/2006/relationships/hyperlink" Target="https://ec.europa.eu/info/sites/info/files/cpc_review_support_study_1_en.pdf" TargetMode="External"/><Relationship Id="rId50" Type="http://schemas.openxmlformats.org/officeDocument/2006/relationships/hyperlink" Target="https://ec.europa.eu/environment/eussd/smgp/pdf/ia_report.pdf" TargetMode="External"/><Relationship Id="rId55" Type="http://schemas.openxmlformats.org/officeDocument/2006/relationships/hyperlink" Target="https://ec.europa.eu/environment/eussd/smgp/" TargetMode="External"/><Relationship Id="rId7" Type="http://schemas.openxmlformats.org/officeDocument/2006/relationships/hyperlink" Target="https://www.europarl.europa.eu/RegData/etudes/BRIE/2016/581999/EPRS_BRI(2016)581999_EN.pdf" TargetMode="External"/><Relationship Id="rId12" Type="http://schemas.openxmlformats.org/officeDocument/2006/relationships/hyperlink" Target="https://www.oecd-ilibrary.org/environment-and-sustainable-development/a-characterisation-of-environmental-labelling-and-information-schemes_5k3z11hpdgq2-en" TargetMode="External"/><Relationship Id="rId17" Type="http://schemas.openxmlformats.org/officeDocument/2006/relationships/hyperlink" Target="https://ec.europa.eu/info/sites/info/files/cpc_review_support_study_1_en.pdf" TargetMode="External"/><Relationship Id="rId25" Type="http://schemas.openxmlformats.org/officeDocument/2006/relationships/hyperlink" Target="https://ec.europa.eu/info/law/better-regulation/have-your-say/initiatives/12467-Empowering-the-consumer-for-the-green-transition" TargetMode="External"/><Relationship Id="rId33" Type="http://schemas.openxmlformats.org/officeDocument/2006/relationships/hyperlink" Target="https://eur-lex.europa.eu/legal-content/EN/TXT/PDF/?uri=CELEX:52019SC0341&amp;from=EN" TargetMode="External"/><Relationship Id="rId38" Type="http://schemas.openxmlformats.org/officeDocument/2006/relationships/hyperlink" Target="https://eur-lex.europa.eu/legal-content/EN/TXT/PDF/?uri=CELEX:52019SC0341&amp;from=EN" TargetMode="External"/><Relationship Id="rId46" Type="http://schemas.openxmlformats.org/officeDocument/2006/relationships/hyperlink" Target="https://ec.europa.eu/info/sites/info/files/cpc_review_support_study_1_en.pdf" TargetMode="External"/><Relationship Id="rId59" Type="http://schemas.openxmlformats.org/officeDocument/2006/relationships/hyperlink" Target="https://www.beuc.eu/publications/beuc-x-2018-057_premature_obsolescence.pdf" TargetMode="External"/><Relationship Id="rId2" Type="http://schemas.openxmlformats.org/officeDocument/2006/relationships/hyperlink" Target="https://eur-lex.europa.eu/legal-content/EN/TXT/?uri=CELEX%3A52016SC0163" TargetMode="External"/><Relationship Id="rId16" Type="http://schemas.openxmlformats.org/officeDocument/2006/relationships/hyperlink" Target="https://ec.europa.eu/jrc/en/publication/analysis-and-development-scoring-system-repair-and-upgrade-products" TargetMode="External"/><Relationship Id="rId20" Type="http://schemas.openxmlformats.org/officeDocument/2006/relationships/hyperlink" Target="https://ec.europa.eu/info/sites/info/files/cpc_review_support_study_1_en.pdf" TargetMode="External"/><Relationship Id="rId29" Type="http://schemas.openxmlformats.org/officeDocument/2006/relationships/hyperlink" Target="https://www.consumentenbond.nl/binaries/content/assets/cbhippowebsite/gidsen/digitaalgids/2016/nummer-3---mei/dg201605p20_enquete_levensduur.pdf" TargetMode="External"/><Relationship Id="rId41" Type="http://schemas.openxmlformats.org/officeDocument/2006/relationships/hyperlink" Target="https://ec.europa.eu/info/sites/info/files/cpc_review_support_study_1_en.pdf;" TargetMode="External"/><Relationship Id="rId54" Type="http://schemas.openxmlformats.org/officeDocument/2006/relationships/hyperlink" Target="https://www.beuc.eu/publications/beuc-x-2018-057_premature_obsolescence.pdf" TargetMode="External"/><Relationship Id="rId1" Type="http://schemas.openxmlformats.org/officeDocument/2006/relationships/hyperlink" Target="https://ec.europa.eu/info/files/factual-summary-report-public-consultation-new-consumer-agenda_en" TargetMode="External"/><Relationship Id="rId6" Type="http://schemas.openxmlformats.org/officeDocument/2006/relationships/hyperlink" Target="https://www.europarl.europa.eu/RegData/etudes/BRIE/2016/581999/EPRS_BRI(2016)581999_EN.pdf" TargetMode="External"/><Relationship Id="rId11" Type="http://schemas.openxmlformats.org/officeDocument/2006/relationships/hyperlink" Target="https://eur-lex.europa.eu/legal-content/EN/TXT/?uri=CELEX%3A52016SC0163" TargetMode="External"/><Relationship Id="rId24" Type="http://schemas.openxmlformats.org/officeDocument/2006/relationships/hyperlink" Target="https://ec.europa.eu/info/law/better-regulation/have-your-say/initiatives/12467-Empowering-the-consumer-for-the-green-transition/public-consultation" TargetMode="External"/><Relationship Id="rId32" Type="http://schemas.openxmlformats.org/officeDocument/2006/relationships/hyperlink" Target="https://eur-lex.europa.eu/legal-content/EN/TXT/PDF/?uri=CELEX:52019SC0354&amp;from=EN" TargetMode="External"/><Relationship Id="rId37" Type="http://schemas.openxmlformats.org/officeDocument/2006/relationships/hyperlink" Target="https://eur-lex.europa.eu/legal-content/EN/TXT/PDF/?uri=CELEX:52019SC0354&amp;from=EN" TargetMode="External"/><Relationship Id="rId40" Type="http://schemas.openxmlformats.org/officeDocument/2006/relationships/hyperlink" Target="https://eur-lex.europa.eu/legal-content/EN/TXT/PDF/?uri=CELEX:52019SC0341&amp;from=EN" TargetMode="External"/><Relationship Id="rId45" Type="http://schemas.openxmlformats.org/officeDocument/2006/relationships/hyperlink" Target="https://eur-lex.europa.eu/legal-content/EN/TXT/PDF/?uri=CELEX:52019SC0341&amp;from=EN" TargetMode="External"/><Relationship Id="rId53" Type="http://schemas.openxmlformats.org/officeDocument/2006/relationships/hyperlink" Target="https://www.beuc.eu/publications/beuc-x-2018-057_premature_obsolescence.pdf" TargetMode="External"/><Relationship Id="rId58" Type="http://schemas.openxmlformats.org/officeDocument/2006/relationships/hyperlink" Target="https://ec.europa.eu/info/energy-climate-change-environment/standards-tools-and-labels/products-labelling-rules-and-requirements/energy-label-and-ecodesign/about_en" TargetMode="External"/><Relationship Id="rId5" Type="http://schemas.openxmlformats.org/officeDocument/2006/relationships/hyperlink" Target="https://www.europarl.europa.eu/RegData/etudes/BRIE/2016/581999/EPRS_BRI(2016)581999_EN.pdf" TargetMode="External"/><Relationship Id="rId15" Type="http://schemas.openxmlformats.org/officeDocument/2006/relationships/hyperlink" Target="https://ec.europa.eu/commission/presscorner/detail/en/ip_21_269" TargetMode="External"/><Relationship Id="rId23" Type="http://schemas.openxmlformats.org/officeDocument/2006/relationships/hyperlink" Target="https://ec.europa.eu/info/law/better-regulation/have-your-say/initiatives/12467-Empowering-the-consumer-for-the-green-transition/feedback?p_id=8017477" TargetMode="External"/><Relationship Id="rId28" Type="http://schemas.openxmlformats.org/officeDocument/2006/relationships/hyperlink" Target="https://sites.psu.edu/cstruthersblog/2016/04/27/the-cost-of-recycling-e-waste-is-becoming-a-problem/" TargetMode="External"/><Relationship Id="rId36" Type="http://schemas.openxmlformats.org/officeDocument/2006/relationships/hyperlink" Target="https://eur-lex.europa.eu/legal-content/EN/TXT/PDF/?uri=CELEX:52019SC0347&amp;from=EN" TargetMode="External"/><Relationship Id="rId49" Type="http://schemas.openxmlformats.org/officeDocument/2006/relationships/hyperlink" Target="https://ec.europa.eu/transparency/regdoc/rep/10102/2016/EN/SWD-2016-303-F1-EN-MAIN-PART-1.PDF" TargetMode="External"/><Relationship Id="rId57" Type="http://schemas.openxmlformats.org/officeDocument/2006/relationships/hyperlink" Target="https://ec.europa.eu/transparency/regdoc/rep/10102/2016/EN/SWD-2016-303-F1-EN-MAIN-PART-1.PDF" TargetMode="External"/><Relationship Id="rId10" Type="http://schemas.openxmlformats.org/officeDocument/2006/relationships/hyperlink" Target="https://www.agcm.it/media/comunicati-stampa/2018/10/PS11009-PS11039" TargetMode="External"/><Relationship Id="rId19" Type="http://schemas.openxmlformats.org/officeDocument/2006/relationships/hyperlink" Target="https://ec.europa.eu/info/sites/info/files/cpc_review_support_study_1_en.pdf" TargetMode="External"/><Relationship Id="rId31" Type="http://schemas.openxmlformats.org/officeDocument/2006/relationships/hyperlink" Target="https://eur-lex.europa.eu/legal-content/EN/TXT/PDF/?uri=CELEX:52019SC0347&amp;from=EN" TargetMode="External"/><Relationship Id="rId44" Type="http://schemas.openxmlformats.org/officeDocument/2006/relationships/hyperlink" Target="https://eur-lex.europa.eu/legal-content/EN/TXT/PDF/?uri=CELEX:52019SC0354&amp;from=EN" TargetMode="External"/><Relationship Id="rId52" Type="http://schemas.openxmlformats.org/officeDocument/2006/relationships/hyperlink" Target="https://ec.europa.eu/regional_policy/sources/docgener/studies/pdf/cba_guide.pdf" TargetMode="External"/><Relationship Id="rId60" Type="http://schemas.openxmlformats.org/officeDocument/2006/relationships/hyperlink" Target="https://www.eea.europa.eu/publications/circular-by-design" TargetMode="External"/><Relationship Id="rId4" Type="http://schemas.openxmlformats.org/officeDocument/2006/relationships/hyperlink" Target="https://ec.europa.eu/newsroom/just/items/59332" TargetMode="External"/><Relationship Id="rId9" Type="http://schemas.openxmlformats.org/officeDocument/2006/relationships/hyperlink" Target="https://en.agcm.it/en/media/detail?id=4d458a5b-49ad-4d30-80e9-d3e9692fca36" TargetMode="External"/><Relationship Id="rId14" Type="http://schemas.openxmlformats.org/officeDocument/2006/relationships/hyperlink" Target="https://www.test-achats.be/action/espace-presse/communiques-de-presse/2020/class-action-apple" TargetMode="External"/><Relationship Id="rId22" Type="http://schemas.openxmlformats.org/officeDocument/2006/relationships/hyperlink" Target="https://ec.europa.eu/transparency/regdoc/rep/10102/2016/EN/SWD-2016-303-F1-EN-MAIN-PART-1.PDF" TargetMode="External"/><Relationship Id="rId27" Type="http://schemas.openxmlformats.org/officeDocument/2006/relationships/hyperlink" Target="https://www.apple.com/environment/pdf/products/notebooks/13-inch_MacBookPro_PER_may2019.pdf" TargetMode="External"/><Relationship Id="rId30" Type="http://schemas.openxmlformats.org/officeDocument/2006/relationships/hyperlink" Target="https://www.consumentenbond.nl/binaries/content/assets/cbhippowebsite/gidsen/digitaalgids/2016/nummer-3---mei/dg201605p20_enquete_levensduur.pdf" TargetMode="External"/><Relationship Id="rId35" Type="http://schemas.openxmlformats.org/officeDocument/2006/relationships/hyperlink" Target="https://ec.europa.eu/transparency/regdoc/rep/10102/2019/EN/SWD-2019-341-F1-EN-MAIN-PART-1.PDF" TargetMode="External"/><Relationship Id="rId43" Type="http://schemas.openxmlformats.org/officeDocument/2006/relationships/hyperlink" Target="https://eur-lex.europa.eu/legal-content/EN/TXT/PDF/?uri=CELEX:52019SC0347&amp;from=EN" TargetMode="External"/><Relationship Id="rId48" Type="http://schemas.openxmlformats.org/officeDocument/2006/relationships/hyperlink" Target="https://eur-lex.europa.eu/legal-content/EN/TXT/PDF/?uri=CELEX:52016SC0164&amp;from=EN" TargetMode="External"/><Relationship Id="rId56" Type="http://schemas.openxmlformats.org/officeDocument/2006/relationships/hyperlink" Target="https://ec.europa.eu/info/sites/info/files/legal-guarantees-final-report_en.pdf" TargetMode="External"/><Relationship Id="rId8" Type="http://schemas.openxmlformats.org/officeDocument/2006/relationships/hyperlink" Target="https://www.beuc.eu/publications/beuc-x-2021-002_nintendo_-_premature_obsolescence_complaint_to_the_ec.pdf" TargetMode="External"/><Relationship Id="rId51" Type="http://schemas.openxmlformats.org/officeDocument/2006/relationships/hyperlink" Target="https://www.ebrd.com/news/publications/institutional-documents/methodology-for-the-economic-assessment-of-ebrd-projects-with-high-greenhouse-gasemissions.html" TargetMode="External"/><Relationship Id="rId3" Type="http://schemas.openxmlformats.org/officeDocument/2006/relationships/hyperlink" Target="https://ec.europa.eu/info/law/better-regulation/have-your-say/initiatives/13150-Sustainable-consumption-of-goods-promoting-repair-and-reuse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95A687319ECAE54E90D3A12635A71F9A" ma:contentTypeVersion="0" ma:contentTypeDescription="Create a new document in this library." ma:contentTypeScope="" ma:versionID="720b68c848a8da292d99a25b6a7e5caf">
  <xsd:schema xmlns:xsd="http://www.w3.org/2001/XMLSchema" xmlns:xs="http://www.w3.org/2001/XMLSchema" xmlns:p="http://schemas.microsoft.com/office/2006/metadata/properties" xmlns:ns2="http://schemas.microsoft.com/sharepoint/v3/fields" xmlns:ns3="de73f249-d1f7-47e9-a439-9cfc7f39a99e" targetNamespace="http://schemas.microsoft.com/office/2006/metadata/properties" ma:root="true" ma:fieldsID="da821adfae5158d203b12f455d1467bd" ns2:_="" ns3:_="">
    <xsd:import namespace="http://schemas.microsoft.com/sharepoint/v3/fields"/>
    <xsd:import namespace="de73f249-d1f7-47e9-a439-9cfc7f39a99e"/>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e73f249-d1f7-47e9-a439-9cfc7f39a99e"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C_Collab_DocumentLanguage xmlns="de73f249-d1f7-47e9-a439-9cfc7f39a99e">EN</EC_Collab_DocumentLanguage>
    <_Status xmlns="http://schemas.microsoft.com/sharepoint/v3/fields">Not Started</_Status>
    <EC_Collab_Status xmlns="de73f249-d1f7-47e9-a439-9cfc7f39a99e">Not Started</EC_Collab_Status>
    <EC_Collab_Reference xmlns="de73f249-d1f7-47e9-a439-9cfc7f39a99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B974476-0376-4A98-9D50-2C55F1E51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de73f249-d1f7-47e9-a439-9cfc7f39a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577549-4AED-4A46-8A1C-7A9C2ABFCC67}">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de73f249-d1f7-47e9-a439-9cfc7f39a99e"/>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28192A68-C523-4E69-9D70-392359B25F01}">
  <ds:schemaRefs>
    <ds:schemaRef ds:uri="http://schemas.microsoft.com/sharepoint/v3/contenttype/forms"/>
  </ds:schemaRefs>
</ds:datastoreItem>
</file>

<file path=customXml/itemProps4.xml><?xml version="1.0" encoding="utf-8"?>
<ds:datastoreItem xmlns:ds="http://schemas.openxmlformats.org/officeDocument/2006/customXml" ds:itemID="{801E6C6A-FD92-4236-9845-66D08068B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92589</Words>
  <Characters>497209</Characters>
  <Application>Microsoft Office Word</Application>
  <DocSecurity>0</DocSecurity>
  <Lines>21617</Lines>
  <Paragraphs>13716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EC CoDe</cp:lastModifiedBy>
  <cp:revision>30</cp:revision>
  <dcterms:created xsi:type="dcterms:W3CDTF">2022-03-30T07:09:00Z</dcterms:created>
  <dcterms:modified xsi:type="dcterms:W3CDTF">2022-03-30T09:43:00Z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CP-026</vt:lpwstr>
  </property>
  <property fmtid="{D5CDD505-2E9C-101B-9397-08002B2CF9AE}" pid="7" name="Last edited using">
    <vt:lpwstr>LW 8.0, Build 20220128</vt:lpwstr>
  </property>
  <property fmtid="{D5CDD505-2E9C-101B-9397-08002B2CF9AE}" pid="8" name="Created using">
    <vt:lpwstr>LW 7.0.1, Build 20190916</vt:lpwstr>
  </property>
  <property fmtid="{D5CDD505-2E9C-101B-9397-08002B2CF9AE}" pid="9" name="IsMyDocuments">
    <vt:bool>true</vt:bool>
  </property>
  <property fmtid="{D5CDD505-2E9C-101B-9397-08002B2CF9AE}" pid="10" name="_LW_INVALIDATED__LW_INVALIDATED__LW_INVALIDATED__LW_INVALIDATED__LW_INVALIDATED_ContentTypeId">
    <vt:lpwstr>0x0101006B60C2855599C24386A71C4CF16AF561</vt:lpwstr>
  </property>
  <property fmtid="{D5CDD505-2E9C-101B-9397-08002B2CF9AE}" pid="11" name="_LW_INVALIDATED__LW_INVALIDATED__LW_INVALIDATED_ContentTypeId">
    <vt:lpwstr>0x010100258AA79CEB83498886A3A086811232500095A687319ECAE54E90D3A12635A71F9A</vt:lpwstr>
  </property>
</Properties>
</file>